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Orden, de 14 de diciembre de 2021, relativa a la declaración medioambiental de los productos destinados para su uso en la construcción y a la declaración medioambiental de los productos utilizados para el cálculo del comportamiento medioambiental de los edificios</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Boletín Oficial de la República Francesa n.º 0296 de 21 de diciembre de 2021</w:t>
      </w:r>
      <w:r>
        <w:rPr>
          <w:rFonts w:ascii="Times New Roman" w:hAnsi="Times New Roman"/>
          <w:sz w:val="24"/>
        </w:rPr>
        <w:br/>
        <w:t>Texto n.º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Anexo</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Anexo</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Anexo</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Anexo</w:t>
      </w:r>
    </w:p>
    <w:p w14:paraId="06845229"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Personas a las que afecta: los declarantes afectados por los productos de construcción y decoración, así como aparatos eléctricos, electrónicos y de climatización destinados a ser utilizados en obras de construcción o utilizados para el cálculo del comportamiento medioambiental de los edificios. </w:t>
      </w:r>
      <w:r>
        <w:rPr>
          <w:rFonts w:ascii="Times New Roman" w:hAnsi="Times New Roman"/>
          <w:sz w:val="24"/>
        </w:rPr>
        <w:br/>
        <w:t xml:space="preserve">Objeto: especificar las modalidades de aplicación de los artículos R. 171-14 a R. 171-22 y de los artículos R. 171-23 a R. 171-31 del Código de la construcción y la vivienda. </w:t>
      </w:r>
      <w:r>
        <w:rPr>
          <w:rFonts w:ascii="Times New Roman" w:hAnsi="Times New Roman"/>
          <w:sz w:val="24"/>
        </w:rPr>
        <w:br/>
        <w:t xml:space="preserve">Entrada en vigor: el texto entrará en vigor el 1 de enero de 2022. </w:t>
      </w:r>
      <w:r>
        <w:rPr>
          <w:rFonts w:ascii="Times New Roman" w:hAnsi="Times New Roman"/>
          <w:sz w:val="24"/>
        </w:rPr>
        <w:br/>
        <w:t xml:space="preserve">Nota explicativa: el objetivo de la Orden consiste en especificar las modalidades de aplicación de los artículos R. 171-14 a R. 171-22 y de los artículos R. 171-23 a R. 171-31 del Código de la construcción y la vivienda. </w:t>
      </w:r>
      <w:r>
        <w:rPr>
          <w:rFonts w:ascii="Times New Roman" w:hAnsi="Times New Roman"/>
          <w:sz w:val="24"/>
        </w:rPr>
        <w:br/>
        <w:t xml:space="preserve">La Orden establece: </w:t>
      </w:r>
      <w:r>
        <w:rPr>
          <w:rFonts w:ascii="Times New Roman" w:hAnsi="Times New Roman"/>
          <w:sz w:val="24"/>
        </w:rPr>
        <w:br/>
        <w:t xml:space="preserve">- detalles de la información a que se refiere el artículo R. 171-17 del Código de la construcción y la vivienda, </w:t>
      </w:r>
      <w:r>
        <w:rPr>
          <w:rFonts w:ascii="Times New Roman" w:hAnsi="Times New Roman"/>
          <w:sz w:val="24"/>
        </w:rPr>
        <w:br/>
        <w:t xml:space="preserve">- los métodos de cálculo de los indicadores contemplados en el artículo R. 171-17 del Código de la construcción y la vivienda, </w:t>
      </w:r>
      <w:r>
        <w:rPr>
          <w:rFonts w:ascii="Times New Roman" w:hAnsi="Times New Roman"/>
          <w:sz w:val="24"/>
        </w:rPr>
        <w:br/>
        <w:t xml:space="preserve">- los elementos contemplados en el artículo R. 171-21 del Código de la construcción y la vivienda, que justifican la información incluida en la declaración medioambiental, </w:t>
      </w:r>
      <w:r>
        <w:rPr>
          <w:rFonts w:ascii="Times New Roman" w:hAnsi="Times New Roman"/>
          <w:sz w:val="24"/>
        </w:rPr>
        <w:br/>
        <w:t xml:space="preserve">- el lugar en el que se registra la dirección de la base de datos o las bases de datos en la que se ponen a disposición del público las declaraciones medioambientales mencionadas en el artículo R. 171-17 del Código de la construcción y la vivienda, en posesión de un certificado de verificación, contemplado en el artículo R. 171-18 del Código de la construcción y la vivienda, </w:t>
      </w:r>
      <w:r>
        <w:rPr>
          <w:rFonts w:ascii="Times New Roman" w:hAnsi="Times New Roman"/>
          <w:sz w:val="24"/>
        </w:rPr>
        <w:br/>
        <w:t xml:space="preserve">- las condiciones para la elaboración de declaraciones medioambientales colectivas sobre productos de construcción o decoración o sobre aparatos por parte de varios declarantes, </w:t>
      </w:r>
      <w:r>
        <w:rPr>
          <w:rFonts w:ascii="Times New Roman" w:hAnsi="Times New Roman"/>
          <w:sz w:val="24"/>
        </w:rPr>
        <w:br/>
        <w:t xml:space="preserve">- las condiciones para la elaboración de declaraciones personalizables sobre productos de construcción o decoración o sobre aparatos. </w:t>
      </w:r>
      <w:r>
        <w:rPr>
          <w:rFonts w:ascii="Times New Roman" w:hAnsi="Times New Roman"/>
          <w:sz w:val="24"/>
        </w:rPr>
        <w:br/>
        <w:t xml:space="preserve">Referencias: los textos creados o modificados por la presente Orden pueden consultarse, en su redacción resultante de esta modificación, en el sitio web </w:t>
      </w:r>
      <w:proofErr w:type="spellStart"/>
      <w:r>
        <w:rPr>
          <w:rFonts w:ascii="Times New Roman" w:hAnsi="Times New Roman"/>
          <w:sz w:val="24"/>
        </w:rPr>
        <w:t>Légifrance</w:t>
      </w:r>
      <w:proofErr w:type="spellEnd"/>
      <w:r>
        <w:rPr>
          <w:rFonts w:ascii="Times New Roman" w:hAnsi="Times New Roman"/>
          <w:sz w:val="24"/>
        </w:rPr>
        <w:t xml:space="preserve">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La Ministra de la Transición Ecológica y la Ministra delegada de la Ministra de la Transición Ecológica, encargada de la Vivienda,</w:t>
      </w:r>
      <w:r>
        <w:rPr>
          <w:rFonts w:ascii="Times New Roman" w:hAnsi="Times New Roman"/>
          <w:sz w:val="24"/>
        </w:rPr>
        <w:br/>
        <w:t>Vista la Directiva (UE) 2015/1535 del Parlamento Europeo y del Consejo, de 9 de septiembre de 2015, por la que se establece un procedimiento de información en materia de reglamentaciones técnicas y de reglas relativas a los servicios de la sociedad de la información y la notificación n.º 2021/257/F dirigida a la Comisión Europea el 28 de abril de 2021 y la respuesta a esta el 29 de julio de 2021;</w:t>
      </w:r>
      <w:r>
        <w:rPr>
          <w:rFonts w:ascii="Times New Roman" w:hAnsi="Times New Roman"/>
          <w:sz w:val="24"/>
        </w:rPr>
        <w:br/>
        <w:t>Visto el Código de Consumo, en particular el punto 10 del artículo L. 412-1;</w:t>
      </w:r>
      <w:r>
        <w:rPr>
          <w:rFonts w:ascii="Times New Roman" w:hAnsi="Times New Roman"/>
          <w:sz w:val="24"/>
        </w:rPr>
        <w:br/>
        <w:t>Visto el Código de la construcción y la vivienda, en particular los artículos R. 171-14 y R. 171-31;</w:t>
      </w:r>
      <w:r>
        <w:rPr>
          <w:rFonts w:ascii="Times New Roman" w:hAnsi="Times New Roman"/>
          <w:sz w:val="24"/>
        </w:rPr>
        <w:br/>
        <w:t>Visto el dictamen del Consejo superior de la construcción y la eficiencia energética, de 13 de abril de 2021,</w:t>
      </w:r>
      <w:r>
        <w:rPr>
          <w:rFonts w:ascii="Times New Roman" w:hAnsi="Times New Roman"/>
          <w:sz w:val="24"/>
        </w:rPr>
        <w:br/>
        <w:t>Vistas las observaciones formuladas durante la consulta pública realizada entre el 18 de mayo y el 8 de junio de 2021, de conformidad con el artículo L. 123-19-1 del Código del Medio Ambiente;</w:t>
      </w:r>
      <w:r>
        <w:rPr>
          <w:rFonts w:ascii="Times New Roman" w:hAnsi="Times New Roman"/>
          <w:sz w:val="24"/>
        </w:rPr>
        <w:br/>
        <w:t>Por la presente, ordenan lo siguiente:</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Las disposiciones de la presente Orden se aplicarán a los productos de construcción y decoración, así como a los aparatos eléctricos, electrónicos y de climatización, mencionados en el artículo R. 171-14 del Código de la construcción y la vivienda y en el artículo R. 171-23 del Código de la construcción y la vivienda.</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los efectos de la presente Orden, se aplicarán las siguientes definiciones:</w:t>
      </w:r>
      <w:r>
        <w:rPr>
          <w:rFonts w:ascii="Times New Roman" w:hAnsi="Times New Roman"/>
          <w:sz w:val="24"/>
        </w:rPr>
        <w:br/>
        <w:t>«declaración personalizable»: declaración medioambiental con normas para adaptar la información mencionada para que corresponda a un producto determinado y a una herramienta informática para aplicar dichas normas;</w:t>
      </w:r>
      <w:r>
        <w:rPr>
          <w:rFonts w:ascii="Times New Roman" w:hAnsi="Times New Roman"/>
          <w:sz w:val="24"/>
        </w:rPr>
        <w:br/>
        <w:t>«declarante»: a efectos de los artículos siguientes, se entiende por «declarante» la definición del artículo R. 171-15 del Código de la construcción y la vivienda o con el significado de «responsable de la introducción en el mercado» tal como se define en el artículo R. 171-24 del Código de la construcción y la vivienda;</w:t>
      </w:r>
      <w:r>
        <w:rPr>
          <w:rFonts w:ascii="Times New Roman" w:hAnsi="Times New Roman"/>
          <w:sz w:val="24"/>
        </w:rPr>
        <w:br/>
        <w:t>«producto»: a efectos de los artículos siguientes, se entiende por «producto» los productos de construcción, productos de decoración y aparatos eléctricos, electrónicos y de climatización, tal como se definen en el artículo R. 171-15 del Código de la construcción y la vivienda.</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declaración medioambiental incluirá la información prevista en el artículo R. 171-17 del Código de la construcción y la vivienda.</w:t>
      </w:r>
      <w:r>
        <w:rPr>
          <w:rFonts w:ascii="Times New Roman" w:hAnsi="Times New Roman"/>
          <w:sz w:val="24"/>
        </w:rPr>
        <w:br/>
        <w:t xml:space="preserve">De conformidad con el punto 1 del artículo R. 171-17 del Código de la construcción y la vivienda, la declaración medioambiental deberá contener, para la etapa de producción, la </w:t>
      </w:r>
      <w:r>
        <w:rPr>
          <w:rFonts w:ascii="Times New Roman" w:hAnsi="Times New Roman"/>
          <w:sz w:val="24"/>
        </w:rPr>
        <w:lastRenderedPageBreak/>
        <w:t>etapa del proceso de construcción, la etapa de utilización, la etapa de final de la vida útil y la suma de estas etapas, los valores de los siguientes indicadores:</w:t>
      </w:r>
    </w:p>
    <w:p w14:paraId="1B8C0EF8" w14:textId="63840740"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aquellos que describen los impactos medioambientales:</w:t>
      </w:r>
      <w:r>
        <w:rPr>
          <w:rFonts w:ascii="Times New Roman" w:hAnsi="Times New Roman"/>
          <w:sz w:val="24"/>
        </w:rPr>
        <w:br/>
        <w:t>- calentamiento global (emisiones de gases de efecto invernadero),</w:t>
      </w:r>
      <w:r>
        <w:rPr>
          <w:rFonts w:ascii="Times New Roman" w:hAnsi="Times New Roman"/>
          <w:sz w:val="24"/>
        </w:rPr>
        <w:br/>
        <w:t>- agotamiento de la capa de ozono,</w:t>
      </w:r>
      <w:r>
        <w:rPr>
          <w:rFonts w:ascii="Times New Roman" w:hAnsi="Times New Roman"/>
          <w:sz w:val="24"/>
        </w:rPr>
        <w:br/>
        <w:t>- acidificación del suelo y del agua,</w:t>
      </w:r>
      <w:r>
        <w:rPr>
          <w:rFonts w:ascii="Times New Roman" w:hAnsi="Times New Roman"/>
          <w:sz w:val="24"/>
        </w:rPr>
        <w:br/>
        <w:t>- eutrofización,</w:t>
      </w:r>
      <w:r>
        <w:rPr>
          <w:rFonts w:ascii="Times New Roman" w:hAnsi="Times New Roman"/>
          <w:sz w:val="24"/>
        </w:rPr>
        <w:br/>
        <w:t>- formación fotoquímica de ozono,</w:t>
      </w:r>
      <w:r>
        <w:rPr>
          <w:rFonts w:ascii="Times New Roman" w:hAnsi="Times New Roman"/>
          <w:sz w:val="24"/>
        </w:rPr>
        <w:br/>
        <w:t>- agotamiento de los recursos abióticos – elementos,</w:t>
      </w:r>
      <w:r>
        <w:rPr>
          <w:rFonts w:ascii="Times New Roman" w:hAnsi="Times New Roman"/>
          <w:sz w:val="24"/>
        </w:rPr>
        <w:br/>
        <w:t>- agotamiento de los recursos abióticos – combustibles fósiles.</w:t>
      </w:r>
      <w:r>
        <w:rPr>
          <w:rFonts w:ascii="Times New Roman" w:hAnsi="Times New Roman"/>
          <w:sz w:val="24"/>
        </w:rPr>
        <w:br/>
        <w:t>- aquellos que describen la utilización de los recursos:</w:t>
      </w:r>
      <w:r>
        <w:rPr>
          <w:rFonts w:ascii="Times New Roman" w:hAnsi="Times New Roman"/>
          <w:sz w:val="24"/>
        </w:rPr>
        <w:br/>
        <w:t>- utilización de energía primaria renovable, con exclusión de los recursos energéticos primarios renovables utilizados como materias primas,</w:t>
      </w:r>
      <w:r>
        <w:rPr>
          <w:rFonts w:ascii="Times New Roman" w:hAnsi="Times New Roman"/>
          <w:sz w:val="24"/>
        </w:rPr>
        <w:br/>
        <w:t>- utilización de recursos energéticos primarios renovables utilizados como materias primas,</w:t>
      </w:r>
      <w:r>
        <w:rPr>
          <w:rFonts w:ascii="Times New Roman" w:hAnsi="Times New Roman"/>
          <w:sz w:val="24"/>
        </w:rPr>
        <w:br/>
        <w:t>- utilización total de recursos energéticos primarios renovables (energía primaria y recursos energéticos primarios utilizados como materias primas),</w:t>
      </w:r>
      <w:r>
        <w:rPr>
          <w:rFonts w:ascii="Times New Roman" w:hAnsi="Times New Roman"/>
          <w:sz w:val="24"/>
        </w:rPr>
        <w:br/>
        <w:t>- utilización de energía primaria no renovable, con exclusión de los recursos energéticos primarios no renovables utilizados como materias primas,</w:t>
      </w:r>
      <w:r>
        <w:rPr>
          <w:rFonts w:ascii="Times New Roman" w:hAnsi="Times New Roman"/>
          <w:sz w:val="24"/>
        </w:rPr>
        <w:br/>
        <w:t>- utilización de recursos energéticos primarios no renovables utilizados como materias primas,</w:t>
      </w:r>
      <w:r>
        <w:rPr>
          <w:rFonts w:ascii="Times New Roman" w:hAnsi="Times New Roman"/>
          <w:sz w:val="24"/>
        </w:rPr>
        <w:br/>
        <w:t>- utilización total de recursos energéticos primarios no renovables (energía primaria y recursos energéticos primarios utilizados como materias primas),</w:t>
      </w:r>
      <w:r>
        <w:rPr>
          <w:rFonts w:ascii="Times New Roman" w:hAnsi="Times New Roman"/>
          <w:sz w:val="24"/>
        </w:rPr>
        <w:br/>
        <w:t>- utilización de materia secundaria,</w:t>
      </w:r>
      <w:r>
        <w:rPr>
          <w:rFonts w:ascii="Times New Roman" w:hAnsi="Times New Roman"/>
          <w:sz w:val="24"/>
        </w:rPr>
        <w:br/>
        <w:t>- utilización de combustibles secundarios renovables,</w:t>
      </w:r>
      <w:r>
        <w:rPr>
          <w:rFonts w:ascii="Times New Roman" w:hAnsi="Times New Roman"/>
          <w:sz w:val="24"/>
        </w:rPr>
        <w:br/>
        <w:t>- utilización de combustibles secundarios no renovables,</w:t>
      </w:r>
      <w:r>
        <w:rPr>
          <w:rFonts w:ascii="Times New Roman" w:hAnsi="Times New Roman"/>
          <w:sz w:val="24"/>
        </w:rPr>
        <w:br/>
        <w:t>- utilización neta de agua dulce,</w:t>
      </w:r>
      <w:r>
        <w:rPr>
          <w:rFonts w:ascii="Times New Roman" w:hAnsi="Times New Roman"/>
          <w:sz w:val="24"/>
        </w:rPr>
        <w:br/>
        <w:t>- aquellos que describen las categorías de residuos:</w:t>
      </w:r>
      <w:r>
        <w:rPr>
          <w:rFonts w:ascii="Times New Roman" w:hAnsi="Times New Roman"/>
          <w:sz w:val="24"/>
        </w:rPr>
        <w:br/>
        <w:t>- residuos peligrosos eliminados,</w:t>
      </w:r>
      <w:r>
        <w:rPr>
          <w:rFonts w:ascii="Times New Roman" w:hAnsi="Times New Roman"/>
          <w:sz w:val="24"/>
        </w:rPr>
        <w:br/>
        <w:t>- residuos no peligrosos eliminados,</w:t>
      </w:r>
      <w:r>
        <w:rPr>
          <w:rFonts w:ascii="Times New Roman" w:hAnsi="Times New Roman"/>
          <w:sz w:val="24"/>
        </w:rPr>
        <w:br/>
        <w:t>- residuos radiactivos eliminados.</w:t>
      </w:r>
      <w:r>
        <w:rPr>
          <w:rFonts w:ascii="Times New Roman" w:hAnsi="Times New Roman"/>
          <w:sz w:val="24"/>
        </w:rPr>
        <w:br/>
        <w:t>- aquellos que describen los flujos salientes:</w:t>
      </w:r>
      <w:r>
        <w:rPr>
          <w:rFonts w:ascii="Times New Roman" w:hAnsi="Times New Roman"/>
          <w:sz w:val="24"/>
        </w:rPr>
        <w:br/>
        <w:t>- componentes destinados a la reutilización,</w:t>
      </w:r>
      <w:r>
        <w:rPr>
          <w:rFonts w:ascii="Times New Roman" w:hAnsi="Times New Roman"/>
          <w:sz w:val="24"/>
        </w:rPr>
        <w:br/>
        <w:t>- materiales destinados al reciclado,</w:t>
      </w:r>
      <w:r>
        <w:rPr>
          <w:rFonts w:ascii="Times New Roman" w:hAnsi="Times New Roman"/>
          <w:sz w:val="24"/>
        </w:rPr>
        <w:br/>
        <w:t>- materiales destinados a la recuperación de energía,</w:t>
      </w:r>
      <w:r>
        <w:rPr>
          <w:rFonts w:ascii="Times New Roman" w:hAnsi="Times New Roman"/>
          <w:sz w:val="24"/>
        </w:rPr>
        <w:br/>
        <w:t>- energía suministrada al aire libre.</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conformidad con el punto 4 del artículo R. 171-17 del Código de la construcción y la vivienda, en el caso de declaración medioambiental afectada por los requisitos del artículo 8 de la presente Orden, la declaración medioambiental deberá contener los rangos de variación (valores máximos y mínimos) de los indicadores de control dispuestos en el artículo 8 de la presente Orden.</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El declarante mantendrá a disposición de las autoridades de inspección y la entidad </w:t>
      </w:r>
      <w:r>
        <w:rPr>
          <w:rFonts w:ascii="Times New Roman" w:hAnsi="Times New Roman"/>
          <w:sz w:val="24"/>
        </w:rPr>
        <w:lastRenderedPageBreak/>
        <w:t>jurídica responsable de la aplicación de un programa de declaración medioambiental, tal como se define en el artículo R. 171-21 del Código de la construcción y la vivienda y en el artículo R. 171-26 del Código de la Construcción y la vivienda, todos los elementos, o los datos de contacto de las personas físicas o jurídicas que posean dichos elementos, para justificar la información incluida en la declaración medioambiental.</w:t>
      </w:r>
      <w:r>
        <w:rPr>
          <w:rFonts w:ascii="Times New Roman" w:hAnsi="Times New Roman"/>
          <w:sz w:val="24"/>
        </w:rPr>
        <w:br/>
        <w:t>Los elementos mencionados anteriormente son los siguientes:</w:t>
      </w:r>
    </w:p>
    <w:p w14:paraId="4D6FBAE8" w14:textId="42437A7C"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el origen de las materias primas, los materiales y los componentes del producto,</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la identificación de los insumos no incluidos en el inventario de la vida útil de conformidad con la norma de corte,</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la masa total de los insumos no incluidos en el inventario de la vida útil debido a la norma de corte,</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los resultados de los cálculos del inventario,</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los justificantes de la vida útil de referencia del producto,</w:t>
      </w:r>
      <w:r>
        <w:rPr>
          <w:rFonts w:ascii="Times New Roman" w:hAnsi="Times New Roman"/>
          <w:sz w:val="24"/>
        </w:rPr>
        <w:br/>
        <w:t>la documentación relativa a la representatividad tecnológica, geográfica y temporal de los datos genéricos utilizados, las referencias de las bases de datos de las que proceden y las referencias de los módulos de datos utilizados, en caso de que deban utilizarse datos genéricos procedentes de bases de datos públicas o privadas,</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los escenarios en los que se basa el inventario de la vida útil,</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los lugares de producción cubiertos por la declaración medioambiental,</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la producción de cada sitio, expresada con la unidad de cantidad definida en la unidad funcional,</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la prueba de que la muestra utilizada es representativa, en particular desde el punto de vista geográfico, temporal y tecnológico, de la producción del producto, cuando se utilice un método de muestreo,</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los elementos constitutivos del marco de validez de las declaraciones medioambientales afectadas por los requisitos del artículo 8 de la presente Orden,</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los elementos constitutivos de la declaración personalizable según el artículo 10 de la presente Orden.</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Los formatos de las unidades funcionales, tal como se definen en el artículo R. 171-15 del Código de la construcción y la vivienda, para cada categoría de productos de construcción y decoración se definen en el anexo I de la presente Orden.</w:t>
      </w:r>
      <w:r>
        <w:rPr>
          <w:rFonts w:ascii="Times New Roman" w:hAnsi="Times New Roman"/>
          <w:sz w:val="24"/>
        </w:rPr>
        <w:br/>
        <w:t>Los formatos de las unidades funcionales o de las unidades declaradas, tal como se definen en el artículo R. 171-15 del Código de la construcción y la vivienda para los aparatos eléctricos, electrónicos y de climatización se definen en el anexo II de la presente Orden.</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Los métodos de evaluación, de cálculo de la información y de determinación de los indicadores mencionados en los puntos 1, 2, 3, 14 y 15 del artículo R. 171-17 del Código de la construcción y la vivienda y especificados en el artículo 3 de la presente Orden, se supone que satisfacen los requisitos de la presente Orden si cumplen las siguientes condiciones:</w:t>
      </w:r>
    </w:p>
    <w:p w14:paraId="616E0A2A" w14:textId="619DD1CE"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r>
      <w:r w:rsidR="00EE73CC">
        <w:rPr>
          <w:rFonts w:ascii="Times New Roman" w:hAnsi="Times New Roman"/>
          <w:sz w:val="24"/>
        </w:rPr>
        <w:t xml:space="preserve">- </w:t>
      </w:r>
      <w:r>
        <w:rPr>
          <w:rFonts w:ascii="Times New Roman" w:hAnsi="Times New Roman"/>
          <w:sz w:val="24"/>
        </w:rPr>
        <w:t>no implicarán la omisión de procesos que representen un total superior al 5 % del valor de cada uno de los elementos de información mencionados,</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no darán lugar a la atribución al producto objeto de la declaración medioambiental de los beneficios asignados a otros productos, en el cálculo de la información mencionada, con excepción de los indicadores relativos a los beneficios y gastos asociados a la valorización al final de su vida útil,</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cumplirán la norma NF EN 15804+A1: 2014-04 o la norma XP C08-100-1: 2016-12 o la norma XP C08-100-1: 2016-12 y EN 50693: 2019-08, o cualquier norma equivalente,</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se ajustarán al método de cálculo de la evaluación de los beneficios y gastos asociados a la valorización al final de su vida útil, tal como se define en el anexo III de la presente Orden.</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Además, en el caso de las declaraciones medioambientales que dispongan de un certificado de conformidad después del 1 de octubre de 2022, cuando la declaración medioambiental abarque distintos modos de instalación del producto objeto de esta, los métodos de evaluación y de cálculo de la información mencionada respetarán las siguientes normas:</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se evaluarán los siguientes indicadores de control para cada uno de estos modos de instalación: calentamiento global, utilización de la energía primaria no renovable distinta de los recursos energéticos primarios no renovables utilizados como materia prima, residuos no peligrosos eliminados,</w:t>
      </w:r>
      <w:r>
        <w:rPr>
          <w:rFonts w:ascii="Times New Roman" w:hAnsi="Times New Roman"/>
          <w:sz w:val="24"/>
        </w:rPr>
        <w:br/>
        <w:t>- para cada uno de estos indicadores de control, el valor máximo obtenido para la suma de las etapas a las que se refiere el artículo 3 de la presente Orden se comparará con la media de los valores obtenidos (es decir, el impacto medio de los distintos modos de instalación). Si el valor máximo para uno de estos indicadores es superior a 1,1 veces el valor medio, deberá notificarse el valor menos favorable para cada uno de los indicadores enumerados en la declaración medioambiental (es decir, los valores menos favorables de los distintos modos de instalación). De lo contrario, podrá indicarse el valor medio para cada indicador.</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7</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dirección o las direcciones de las bases de datos mencionadas en el artículo R. 171-20 del Código de la construcción y de la vivienda, donde están disponibles los datos medioambientales del servicio y los datos medioambientales por defecto, definidos en el artículo R. 171-16 del Código de la construcción y la vivienda, así como las declaraciones medioambientales, se facilitan en el sitio del Ministerio de Construcción.</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declaración medioambiental podrá basarse en una declaración medioambiental colectiva de productos similares de varios declarantes:</w:t>
      </w:r>
      <w:r>
        <w:rPr>
          <w:rFonts w:ascii="Times New Roman" w:hAnsi="Times New Roman"/>
          <w:sz w:val="24"/>
        </w:rPr>
        <w:br/>
        <w:t xml:space="preserve">1) esta declaración medioambiental colectiva cumplirá las siguientes condiciones: </w:t>
      </w:r>
    </w:p>
    <w:p w14:paraId="7E91553F" w14:textId="0A1FAD83"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se referirá a un «producto estándar»,</w:t>
      </w:r>
      <w:r>
        <w:rPr>
          <w:rFonts w:ascii="Times New Roman" w:hAnsi="Times New Roman"/>
          <w:sz w:val="24"/>
        </w:rPr>
        <w:br/>
        <w:t>- se establecerá en las condiciones contempladas en los artículos anteriores,</w:t>
      </w:r>
      <w:r>
        <w:rPr>
          <w:rFonts w:ascii="Times New Roman" w:hAnsi="Times New Roman"/>
          <w:sz w:val="24"/>
        </w:rPr>
        <w:br/>
        <w:t>- deberá garantizarse la homogeneidad de los parámetros que influyen considerablemente en el valor de cada indicador; a tal fin, la declaración medioambiental colectiva deberá contener un marco de validez, tal como se define en el anexo IV de la presente Orden, que recoja la siguiente información:</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la identificación de los parámetros influyentes, especificando si se completan con datos genéricos o específicos,</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los períodos de validez de estos parámetros;</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el declarante que haya presentado la declaración medioambiental colectiva será el responsable de la información que contiene, incluida, en su caso, una lista de los productos en cuestión y las condiciones en las que los productos pueden estar vinculados a ella;</w:t>
      </w:r>
      <w:r>
        <w:rPr>
          <w:rFonts w:ascii="Times New Roman" w:hAnsi="Times New Roman"/>
          <w:sz w:val="24"/>
        </w:rPr>
        <w:br/>
        <w:t xml:space="preserve">3) los declarantes de los productos cubiertos por la dicha declaración medioambiental colectiva cumplirán las siguientes condiciones: </w:t>
      </w:r>
    </w:p>
    <w:p w14:paraId="5C7B5DE1" w14:textId="67907A8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serán los responsables de la información que transmiten al declarante mencionado,</w:t>
      </w:r>
      <w:r>
        <w:rPr>
          <w:rFonts w:ascii="Times New Roman" w:hAnsi="Times New Roman"/>
          <w:sz w:val="24"/>
        </w:rPr>
        <w:br/>
        <w:t>- respetarán el marco de validez de la declaración medioambiental colectiva,</w:t>
      </w:r>
      <w:r>
        <w:rPr>
          <w:rFonts w:ascii="Times New Roman" w:hAnsi="Times New Roman"/>
          <w:sz w:val="24"/>
        </w:rPr>
        <w:br/>
        <w:t>- proporcionarán un certificado que indique el cumplimiento del marco de validez de la declaración medioambiental colectiva,</w:t>
      </w:r>
      <w:r>
        <w:rPr>
          <w:rFonts w:ascii="Times New Roman" w:hAnsi="Times New Roman"/>
          <w:sz w:val="24"/>
        </w:rPr>
        <w:br/>
        <w:t>- mantendrán a disposición de las autoridades de inspección y la entidad jurídica responsable de aplicar un programa de declaraciones medioambientales los justificantes del cumplimiento del marco de validez;</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la declaración medioambiental colectiva cumplirá los requisitos de verificación por parte de un tercero independiente definidos en el artículo R. 171-18 del Código de la construcción y la vivienda y mencionados en el artículo R. 171-29 del Código de la construcción y la vivienda;</w:t>
      </w:r>
      <w:r>
        <w:rPr>
          <w:rFonts w:ascii="Times New Roman" w:hAnsi="Times New Roman"/>
          <w:sz w:val="24"/>
        </w:rPr>
        <w:br/>
        <w:t>5) los indicadores de control que deben considerarse serán, como mínimo: calentamiento climático, consumo de energía primaria no renovable distinto de los recursos de energía primaria no renovables utilizados como materias primas, residuos no peligrosos eliminados;</w:t>
      </w:r>
      <w:r>
        <w:rPr>
          <w:rFonts w:ascii="Times New Roman" w:hAnsi="Times New Roman"/>
          <w:sz w:val="24"/>
        </w:rPr>
        <w:br/>
        <w:t>6) las declaraciones medioambientales colectivas deberán cumplir los siguientes requisitos: cuando el valor máximo de cada indicador de control, obtenido para la suma de las etapas a que se refiere el artículo 3 de la presente Orden y mediante el cálculo de la variabilidad descrito en el anexo IV de la presente Orden, sea inferior o igual al valor medio del indicador multiplicado por un valor límite, los valores de los indicadores podrán calcularse con los valores medios de los parámetros sensibles. De lo contrario, deberá declararse el umbral menos favorable (el valor máximo que puede alcanzar el indicador si refleja un gasto y el valor mínimo si refleja un beneficio).</w:t>
      </w:r>
      <w:r>
        <w:rPr>
          <w:rFonts w:ascii="Times New Roman" w:hAnsi="Times New Roman"/>
          <w:sz w:val="24"/>
        </w:rPr>
        <w:br/>
        <w:t>En el caso de las declaraciones medioambientales colectivas con certificado de conformidad antes del 1 de octubre de 2022, el valor límite mencionado será 1,4 y el cálculo de la variabilidad mencionado cubrirá al menos los parámetros sensibles relativos a:</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la composición del producto: masa y tipo de materiales,</w:t>
      </w:r>
      <w:r>
        <w:rPr>
          <w:rFonts w:ascii="Times New Roman" w:hAnsi="Times New Roman"/>
          <w:sz w:val="24"/>
        </w:rPr>
        <w:br/>
        <w:t>- las masas de envases,</w:t>
      </w:r>
      <w:r>
        <w:rPr>
          <w:rFonts w:ascii="Times New Roman" w:hAnsi="Times New Roman"/>
          <w:sz w:val="24"/>
        </w:rPr>
        <w:br/>
        <w:t>- los procesos de fabricación distintos de la extracción y transformación de las materias primas (etapas A2 y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En el caso de las declaraciones medioambientales colectivas con certificado de conformidad después del 1 de octubre de 2022, el valor límite mencionado será 1,35 y el cálculo de la variabilidad mencionado cubrirá al menos los parámetros sensibles relativos a:</w:t>
      </w:r>
    </w:p>
    <w:p w14:paraId="40F7CD3B"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la composición del producto: masa y tipo de materiales,</w:t>
      </w:r>
      <w:r>
        <w:rPr>
          <w:rFonts w:ascii="Times New Roman" w:hAnsi="Times New Roman"/>
          <w:sz w:val="24"/>
        </w:rPr>
        <w:br/>
        <w:t>- las masas de envases,</w:t>
      </w:r>
      <w:r>
        <w:rPr>
          <w:rFonts w:ascii="Times New Roman" w:hAnsi="Times New Roman"/>
          <w:sz w:val="24"/>
        </w:rPr>
        <w:br/>
        <w:t>- los procesos de fabricación distintos de la extracción y transformación de las materias primas (etapas A2 y A3),</w:t>
      </w:r>
      <w:r>
        <w:rPr>
          <w:rFonts w:ascii="Times New Roman" w:hAnsi="Times New Roman"/>
          <w:sz w:val="24"/>
        </w:rPr>
        <w:br/>
        <w:t>- el transporte al emplazamiento (etapa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declaración medioambiental podrá basarse en productos similares del mismo declarante. Estas declaraciones medioambientales deberán cumplir los requisitos para las declaraciones medioambientales colectivas definidas en el artículo 8 de la presente Orden.</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declaración medioambiental podrá basarse en una declaración personalizable.</w:t>
      </w:r>
      <w:r>
        <w:rPr>
          <w:rFonts w:ascii="Times New Roman" w:hAnsi="Times New Roman"/>
          <w:sz w:val="24"/>
        </w:rPr>
        <w:br/>
        <w:t>Esta declaración personalizable cumplirá las siguientes condiciones:</w:t>
      </w:r>
    </w:p>
    <w:p w14:paraId="6A4F1CB3" w14:textId="6FBDFEE1"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se referirá a un «producto estándar»,</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se establecerá en las condiciones contempladas en los artículos anteriores,</w:t>
      </w:r>
      <w:r>
        <w:rPr>
          <w:rFonts w:ascii="Times New Roman" w:hAnsi="Times New Roman"/>
          <w:sz w:val="24"/>
        </w:rPr>
        <w:br/>
        <w:t>incluirá un conjunto de normas de cálculo para adaptar, sobre la base de parámetros modificables, la información mencionada en ella, para que corresponda a un producto similar al producto estándar, pero que difiere en tamaño, composición o determinados procesos de la vida útil,</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el valor de los parámetros modificables mencionados deberá poder ser verificable tras la entrega de un edificio,</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incluirá un marco de conformidad que defina los valores que pueden adoptar los parámetros modificables mencionados y las características que debe cumplir el producto similar mencionado.</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Toda declaración personalizable con certificado de conformidad después del 1 de octubre de </w:t>
      </w:r>
      <w:proofErr w:type="gramStart"/>
      <w:r>
        <w:rPr>
          <w:rFonts w:ascii="Times New Roman" w:hAnsi="Times New Roman"/>
          <w:sz w:val="24"/>
        </w:rPr>
        <w:t>2022,</w:t>
      </w:r>
      <w:proofErr w:type="gramEnd"/>
      <w:r>
        <w:rPr>
          <w:rFonts w:ascii="Times New Roman" w:hAnsi="Times New Roman"/>
          <w:sz w:val="24"/>
        </w:rPr>
        <w:t xml:space="preserve"> irá acompañada de una herramienta informática de cálculo para la aplicación de las citadas normas de cálculo y para la exportación de la información exigida en el </w:t>
      </w:r>
      <w:r>
        <w:rPr>
          <w:rFonts w:ascii="Times New Roman" w:hAnsi="Times New Roman"/>
          <w:sz w:val="24"/>
        </w:rPr>
        <w:lastRenderedPageBreak/>
        <w:t>artículo R. 171-17 del Código de la construcción y de la vivienda y en el artículo 3 de la presente Orden, junto con la lista de los parámetros modificables mencionados y sus valores asociados. Toda esta información se exportará como archivo informático según el formato definido en el sitio web del Ministerio de Construcción.</w:t>
      </w:r>
      <w:r>
        <w:rPr>
          <w:rFonts w:ascii="Times New Roman" w:hAnsi="Times New Roman"/>
          <w:sz w:val="24"/>
        </w:rPr>
        <w:br/>
        <w:t>La verificación por parte de un tercero independiente definida en el artículo R. 171-18 del Código de la construcción y de la vivienda y a que se refiere el artículo R. 171-29 del Código de la construcción y la vivienda también cubrirá, en el caso de una declaración personalizable, las normas de cálculo previstas en el presente artículo y la herramienta informática de cálculo indicada en el párrafo anterior.</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Se considerará que la certificación de las características medioambientales de acuerdo con el artículo R. 171-27 del Código de la construcción y la vivienda es conforme si tiene en cuenta todos los requisitos de la norma NF EN ISO 14024: 2018-03. Esta certificación de productos de construcción o decoración o de aparatos será expedida por un organismo acreditado a tal efecto por el Comité francés de acreditación (COFRAC) o por otro organismo de acreditación signatario de acuerdos multilaterales de reconocimiento mutuo.</w:t>
      </w:r>
      <w:r>
        <w:rPr>
          <w:rFonts w:ascii="Times New Roman" w:hAnsi="Times New Roman"/>
          <w:sz w:val="24"/>
        </w:rPr>
        <w:br/>
        <w:t>Este artículo no se aplicará a las declaraciones medioambientales utilizadas para el cálculo del comportamiento medioambiental de los edificios.</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Queda derogada la Orden, de 23 de diciembre de 2013, relativa a la declaración medioambiental de los productos de construcción y decoración destinados a su uso en las obras de construcción.</w:t>
      </w:r>
      <w:r>
        <w:rPr>
          <w:rFonts w:ascii="Times New Roman" w:hAnsi="Times New Roman"/>
          <w:sz w:val="24"/>
        </w:rPr>
        <w:br/>
        <w:t>Queda derogada la Orden, de 31 de agosto de 2015, relativa a la declaración medioambiental de los aparatos eléctricos, electrónicos y de climatización destinados a su uso en las obras de construcción.</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13</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Las disposiciones de la presente Orden entrarán en vigor el 1 de enero de 2022.</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14</w:t>
      </w:r>
    </w:p>
    <w:p w14:paraId="27D4B382" w14:textId="66E7DEEB" w:rsidR="00B77F10" w:rsidRDefault="00B77F10" w:rsidP="00B77F10">
      <w:pPr>
        <w:spacing w:before="100" w:beforeAutospacing="1" w:after="100" w:afterAutospacing="1" w:line="240" w:lineRule="auto"/>
        <w:ind w:left="450"/>
        <w:rPr>
          <w:rFonts w:ascii="Times New Roman" w:hAnsi="Times New Roman"/>
          <w:sz w:val="24"/>
        </w:rPr>
      </w:pPr>
      <w:r>
        <w:rPr>
          <w:rFonts w:ascii="Times New Roman" w:hAnsi="Times New Roman"/>
          <w:sz w:val="24"/>
        </w:rPr>
        <w:br/>
        <w:t>El director de Vivienda, Desarrollo Urbano y Paisajes será el responsable de la ejecución de la presente Orden, que se publicará en el Boletín Oficial de la República Francesa.</w:t>
      </w:r>
    </w:p>
    <w:p w14:paraId="685FCDD6" w14:textId="3E687D3C" w:rsidR="00EE73CC" w:rsidRDefault="00EE73CC" w:rsidP="00B77F10">
      <w:pPr>
        <w:spacing w:before="100" w:beforeAutospacing="1" w:after="100" w:afterAutospacing="1" w:line="240" w:lineRule="auto"/>
        <w:ind w:left="450"/>
        <w:rPr>
          <w:rFonts w:ascii="Times New Roman" w:hAnsi="Times New Roman"/>
          <w:sz w:val="24"/>
        </w:rPr>
      </w:pPr>
    </w:p>
    <w:p w14:paraId="49992F41" w14:textId="14B69CE5" w:rsidR="00EE73CC" w:rsidRDefault="00EE73CC" w:rsidP="00B77F10">
      <w:pPr>
        <w:spacing w:before="100" w:beforeAutospacing="1" w:after="100" w:afterAutospacing="1" w:line="240" w:lineRule="auto"/>
        <w:ind w:left="450"/>
        <w:rPr>
          <w:rFonts w:ascii="Times New Roman" w:hAnsi="Times New Roman"/>
          <w:sz w:val="24"/>
        </w:rPr>
      </w:pPr>
    </w:p>
    <w:p w14:paraId="3CADAD39" w14:textId="77777777" w:rsidR="00EE73CC" w:rsidRPr="00B77F10" w:rsidRDefault="00EE73CC" w:rsidP="00B77F10">
      <w:pPr>
        <w:spacing w:before="100" w:beforeAutospacing="1" w:after="100" w:afterAutospacing="1" w:line="240" w:lineRule="auto"/>
        <w:ind w:left="450"/>
        <w:rPr>
          <w:rFonts w:ascii="Times New Roman" w:eastAsia="Times New Roman" w:hAnsi="Times New Roman" w:cs="Times New Roman"/>
          <w:sz w:val="24"/>
          <w:szCs w:val="24"/>
        </w:rPr>
      </w:pP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Anexo</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ANEXOS</w:t>
      </w:r>
      <w:r>
        <w:rPr>
          <w:rFonts w:ascii="Times New Roman" w:hAnsi="Times New Roman"/>
          <w:sz w:val="24"/>
        </w:rPr>
        <w:br/>
        <w:t>ANEXO I</w:t>
      </w:r>
      <w:r>
        <w:rPr>
          <w:rFonts w:ascii="Times New Roman" w:hAnsi="Times New Roman"/>
          <w:sz w:val="24"/>
        </w:rPr>
        <w:br/>
        <w:t>FORMATOS DE UNIDADES FUNCIONALES PARA CADA CATEGORÍA DE PRODUCTOS DE CONSTRUCCIÓN O DECORACIÓN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9"/>
        <w:gridCol w:w="3034"/>
        <w:gridCol w:w="2914"/>
        <w:gridCol w:w="2578"/>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N.º</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FORMATO DE UNIDAD</w:t>
            </w:r>
            <w:r>
              <w:rPr>
                <w:rFonts w:ascii="Times New Roman" w:hAnsi="Times New Roman"/>
                <w:b/>
                <w:sz w:val="24"/>
              </w:rPr>
              <w:br/>
              <w:t>funcional en unidades</w:t>
            </w:r>
            <w:r>
              <w:rPr>
                <w:rFonts w:ascii="Times New Roman" w:hAnsi="Times New Roman"/>
                <w:b/>
                <w:sz w:val="24"/>
              </w:rPr>
              <w:br/>
              <w:t>del sistema internacional</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Carreteras, redes diversas (incluidas las redes interiores)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Tanques y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Una unidad de un volumen determinado</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Redes de evacuación y saneamiento (aguas de lluvia y aguas residuales)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medio</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Redes de abastecimiento de agua (interior y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medio</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Redes de suministro de 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medio</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Sistema de drenaje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medio</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Carreteras y revestimientos exteriores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superficie para un uso determinado (terraza exterior, carreteras de baja circulación, aparcamientos, etc.)</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Vallado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vallado</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Mangas/ductos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Estructura, albañilería, trabajos estructurales, carpintería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Bloques cerámicos y tuberías de chimenea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del conducto de sección interior determinado</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Soleras/soleras flotantes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para un espesor determinado</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Armazones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superficie cubierta o m</w:t>
            </w:r>
            <w:r>
              <w:rPr>
                <w:rFonts w:ascii="Times New Roman" w:hAnsi="Times New Roman"/>
                <w:sz w:val="24"/>
                <w:vertAlign w:val="superscript"/>
              </w:rPr>
              <w:t>3</w:t>
            </w:r>
            <w:r>
              <w:rPr>
                <w:rFonts w:ascii="Times New Roman" w:hAnsi="Times New Roman"/>
                <w:sz w:val="24"/>
              </w:rPr>
              <w:t xml:space="preserve"> o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Arriostramientos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arriostramientos o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Losas y </w:t>
            </w:r>
            <w:proofErr w:type="spellStart"/>
            <w:r>
              <w:rPr>
                <w:rFonts w:ascii="Times New Roman" w:hAnsi="Times New Roman"/>
                <w:sz w:val="24"/>
              </w:rPr>
              <w:t>prelosas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Elementos portantes horizontales (vigas, viguetas, bovedillas, forjados, dinteles)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del elemento portante (especificar el alcance y la sección) o m² (para el elemento de superficie) o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Elementos portantes verticales (postes/columnas/pilares)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del elemento (especificar la sección) o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Escaleras (interiores y exteriores)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Una unidad para una elevación de altura determinada</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Cimientos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m3</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Pequeños elementos de albañilería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(especificar la resistencia térmica)</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Suelos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suelo (especificar la carga soportada)</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Paredes (elementos arquitectónicos)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(especificar el espesor)</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Fachadas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Revestimiento (recubrimientos, aislamiento, chapado)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fachada</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Muros cortina y claraboyas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fachada (especificar el porcentaje de superficie opaca)</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Superficie exterior de fachadas (incluidos los sistemas compuestos de aislamiento térmico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fachada (especificar la resistencia térmica si procede)</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Tejados/impermeabilización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Elementos de cubierta hechos con elementos grandes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cobertura</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Elementos de cubierta hechos con elementos pequeños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cobertura</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Productos de impermeabilización y sellado para muros enterrados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cobertura</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Productos para </w:t>
            </w:r>
            <w:proofErr w:type="spellStart"/>
            <w:proofErr w:type="gramStart"/>
            <w:r>
              <w:rPr>
                <w:rFonts w:ascii="Times New Roman" w:hAnsi="Times New Roman"/>
                <w:sz w:val="24"/>
              </w:rPr>
              <w:t>el</w:t>
            </w:r>
            <w:proofErr w:type="spellEnd"/>
            <w:r>
              <w:rPr>
                <w:rFonts w:ascii="Times New Roman" w:hAnsi="Times New Roman"/>
                <w:sz w:val="24"/>
              </w:rPr>
              <w:t xml:space="preserve"> la</w:t>
            </w:r>
            <w:proofErr w:type="gramEnd"/>
            <w:r>
              <w:rPr>
                <w:rFonts w:ascii="Times New Roman" w:hAnsi="Times New Roman"/>
                <w:sz w:val="24"/>
              </w:rPr>
              <w:t xml:space="preserve"> impermeabilización de tejados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cobertura</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Elementos de tejados verdes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cobertura (especificar el tipo de vegetación soportada y, en su caso, las características térmicas)</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Carpintería interior y exterior, cierres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Ventanas, ventanas francesas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m² de carpintería (superficie abierta antes de la instalación) (especificar el valor </w:t>
            </w:r>
            <w:proofErr w:type="spellStart"/>
            <w:r>
              <w:rPr>
                <w:rFonts w:ascii="Times New Roman" w:hAnsi="Times New Roman"/>
                <w:sz w:val="24"/>
              </w:rPr>
              <w:t>Uw</w:t>
            </w:r>
            <w:proofErr w:type="spellEnd"/>
            <w:r>
              <w:rPr>
                <w:rFonts w:ascii="Times New Roman" w:hAnsi="Times New Roman"/>
                <w:sz w:val="24"/>
              </w:rPr>
              <w:t>, el factor solar, la clasificación aire-</w:t>
            </w:r>
            <w:proofErr w:type="gramStart"/>
            <w:r>
              <w:rPr>
                <w:rFonts w:ascii="Times New Roman" w:hAnsi="Times New Roman"/>
                <w:sz w:val="24"/>
              </w:rPr>
              <w:t>agua-viento</w:t>
            </w:r>
            <w:proofErr w:type="gramEnd"/>
            <w:r>
              <w:rPr>
                <w:rFonts w:ascii="Times New Roman" w:hAnsi="Times New Roman"/>
                <w:sz w:val="24"/>
              </w:rPr>
              <w:t xml:space="preserve"> y la transmisión de la luz)</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Barandillas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barandillas</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Puertas (interiores, exteriores, portales,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(superficie abierta antes de la instalación)</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Persianas, persianas enrollables, toldos, parasoles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superficie opaca/protegida</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Ventanas de techo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m² de carpintería (superficie abierta antes de la instalación) (especificar el valor </w:t>
            </w:r>
            <w:proofErr w:type="spellStart"/>
            <w:r>
              <w:rPr>
                <w:rFonts w:ascii="Times New Roman" w:hAnsi="Times New Roman"/>
                <w:sz w:val="24"/>
              </w:rPr>
              <w:t>Uw</w:t>
            </w:r>
            <w:proofErr w:type="spellEnd"/>
            <w:r>
              <w:rPr>
                <w:rFonts w:ascii="Times New Roman" w:hAnsi="Times New Roman"/>
                <w:sz w:val="24"/>
              </w:rPr>
              <w:t>, el factor solar, la clasificación aire-</w:t>
            </w:r>
            <w:proofErr w:type="gramStart"/>
            <w:r>
              <w:rPr>
                <w:rFonts w:ascii="Times New Roman" w:hAnsi="Times New Roman"/>
                <w:sz w:val="24"/>
              </w:rPr>
              <w:t>agua-viento</w:t>
            </w:r>
            <w:proofErr w:type="gramEnd"/>
            <w:r>
              <w:rPr>
                <w:rFonts w:ascii="Times New Roman" w:hAnsi="Times New Roman"/>
                <w:sz w:val="24"/>
              </w:rPr>
              <w:t xml:space="preserve"> y la transmisión de la luz)</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Paneles sándwich, paneles de tejado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Sistemas de revestimiento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 adicional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Bovedillas, forjados aislantes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 térmico y acústico para muros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 o el rendimiento acústico)</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 térmico y acústico para áticos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 térmico y acústico, a granel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 térmico y acústico para tejados de terraza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 térmico y acústico bajo soleras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 o el rendimiento acústico)</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 distribuido no portante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 térmico y acústico para muros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 acústico para tabiques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el rendimiento acústico)</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 térmico y acústico bajo losas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 o el rendimiento acústico)</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Aislamiento bajo pavimentación y losas de suelo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aislamiento (especificar la resistencia térmica)</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Tabiques, techos suspendidos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Tabiquería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tabiquería (especificar un comportamiento acústico, si procede)</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Techos suspendidos, techos tensados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techo suspendido (especificar el comportamiento acústico)</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Revestimientos de suelos y paredes, pinturas, productos de decoración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Pinturas, tintes y barnices, revestimientos de pintura (excepto </w:t>
            </w:r>
            <w:proofErr w:type="spellStart"/>
            <w:r>
              <w:rPr>
                <w:rFonts w:ascii="Times New Roman" w:hAnsi="Times New Roman"/>
                <w:sz w:val="24"/>
              </w:rPr>
              <w:t>saturadores</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superficie cubierta</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Zócalos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zócalos</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Revestimientos de muros y techos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revestimiento</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Revestimientos de suelos duros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revestimiento (especificar la clase de uso o la clasificación de resistencia al desgaste, la resistencia a la perforación, la resistencia al agua y la resistencia a los agentes químicos, o equivalentes)</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Revestimientos de suelo blandos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revestimiento (especificar la clase de uso o la clasificación de resistencia al desgaste, la resistencia a la perforación, la resistencia al agua y la resistencia a los agentes químicos, o equivalentes)</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Productos acústicos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revestimiento (especificar la clase de uso o la clasificación de resistencia al desgaste, la resistencia a la perforación, la resistencia al agua y la resistencia a los agentes químicos, o equivalentes)</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Saturadores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superficie cubierta</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Productos de preparación y aplicación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Pegamentos de carpintería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la densidad)</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Reparaciones e instalación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la densidad)</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Suelos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pegamento al suelo</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Morteros para albañilería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la densidad)</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Embaldosado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embaldosados</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Decoración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la densidad)</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Selladores y espumas de poliuretano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(especificar la masa lineal)</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Química de la construcción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la densidad)</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Productos para hormigón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(especificar la densidad)</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Resinas sintéticas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(especificar la densidad)</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Equipamiento sanitario y de baño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Grifería y columnas de ducha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 (especificar el tipo)</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Bañera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 (especificar el volumen de capacidad en litro y forma)</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Plato de ducha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 (especificar las dimensiones: anchura y longitud)</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Fregadero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 (especificar las dimensiones: anchura, longitud y número de senos)</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Lavabo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 (especificar las dimensiones: anchura, longitud y número de senos)</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Inodoro – Taza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Unidad (especificar las dimensiones: anchura y longitud)</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Anexo II</w:t>
      </w:r>
      <w:r>
        <w:rPr>
          <w:rFonts w:ascii="Times New Roman" w:hAnsi="Times New Roman"/>
          <w:sz w:val="24"/>
        </w:rPr>
        <w:br/>
        <w:t>Formatos de unidades funcionales o unidades declaradas para los aparatos.</w:t>
      </w:r>
    </w:p>
    <w:tbl>
      <w:tblPr>
        <w:tblW w:w="92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
        <w:gridCol w:w="1437"/>
        <w:gridCol w:w="1730"/>
        <w:gridCol w:w="1051"/>
        <w:gridCol w:w="1104"/>
        <w:gridCol w:w="1970"/>
        <w:gridCol w:w="2371"/>
      </w:tblGrid>
      <w:tr w:rsidR="00B77F10" w:rsidRPr="00B77F10" w14:paraId="503F1C5D"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N.º</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Categoría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Unidad funcional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Unidad declarada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Grupo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Solución</w:t>
            </w:r>
          </w:p>
        </w:tc>
      </w:tr>
      <w:tr w:rsidR="00B77F10" w:rsidRPr="00B77F10" w14:paraId="039605F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Aparatos de instalación para las redes eléctricas y de comunicación</w:t>
            </w:r>
            <w:r>
              <w:rPr>
                <w:rFonts w:ascii="Times New Roman" w:hAnsi="Times New Roman"/>
                <w:sz w:val="24"/>
              </w:rPr>
              <w:br/>
              <w:t>≤63 amperios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Accesorios de pared</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Automatismos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Sensores de movimiento</w:t>
            </w:r>
          </w:p>
        </w:tc>
      </w:tr>
      <w:tr w:rsidR="00B77F10" w:rsidRPr="00B77F10" w14:paraId="7811C1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Termostatos</w:t>
            </w:r>
          </w:p>
        </w:tc>
      </w:tr>
      <w:tr w:rsidR="00B77F10" w:rsidRPr="00B77F10" w14:paraId="0E80301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Variadores</w:t>
            </w:r>
          </w:p>
        </w:tc>
      </w:tr>
      <w:tr w:rsidR="00B77F10" w:rsidRPr="00B77F10" w14:paraId="260BEE0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Cajas de aparatos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 paredes de yeso</w:t>
            </w:r>
          </w:p>
        </w:tc>
      </w:tr>
      <w:tr w:rsidR="00B77F10" w:rsidRPr="00B77F10" w14:paraId="0CCBABC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 albañilería</w:t>
            </w:r>
          </w:p>
        </w:tc>
      </w:tr>
      <w:tr w:rsidR="00B77F10" w:rsidRPr="00B77F10" w14:paraId="242C8C2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Controles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w:t>
            </w:r>
          </w:p>
        </w:tc>
      </w:tr>
      <w:tr w:rsidR="00B77F10" w:rsidRPr="00B77F10" w14:paraId="6C0F1CB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Pulsadores</w:t>
            </w:r>
          </w:p>
        </w:tc>
      </w:tr>
      <w:tr w:rsidR="00B77F10" w:rsidRPr="00B77F10" w14:paraId="1D20722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Otros: VMC, persianas enrollables, etc.</w:t>
            </w:r>
          </w:p>
        </w:tc>
      </w:tr>
      <w:tr w:rsidR="00B77F10" w:rsidRPr="00B77F10" w14:paraId="3795B3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Placas y soportes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Subconjunto de aparatos de pared</w:t>
            </w:r>
          </w:p>
        </w:tc>
      </w:tr>
      <w:tr w:rsidR="00B77F10" w:rsidRPr="00B77F10" w14:paraId="7A5C47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Tomas de corriente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Tomas de corriente de baja tensión</w:t>
            </w:r>
          </w:p>
        </w:tc>
      </w:tr>
      <w:tr w:rsidR="00B77F10" w:rsidRPr="00B77F10" w14:paraId="1060CB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Tomas de corriente de alta tensión</w:t>
            </w:r>
          </w:p>
        </w:tc>
      </w:tr>
      <w:tr w:rsidR="00B77F10" w:rsidRPr="00B77F10" w14:paraId="35853E2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Tomas de corriente varias (TV, altavoz, informática, etc.)</w:t>
            </w:r>
          </w:p>
        </w:tc>
      </w:tr>
      <w:tr w:rsidR="00B77F10" w:rsidRPr="00B77F10" w14:paraId="0891FD7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Señalización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Salida de audio: altavoz</w:t>
            </w:r>
          </w:p>
        </w:tc>
      </w:tr>
      <w:tr w:rsidR="00B77F10" w:rsidRPr="00B77F10" w14:paraId="3E0878D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Salida de audio: campanas y timbres</w:t>
            </w:r>
          </w:p>
        </w:tc>
      </w:tr>
      <w:tr w:rsidR="00B77F10" w:rsidRPr="00B77F10" w14:paraId="413942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Indicadores luminosos</w:t>
            </w:r>
          </w:p>
        </w:tc>
      </w:tr>
      <w:tr w:rsidR="00B77F10" w:rsidRPr="00B77F10" w14:paraId="74E87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Accesorios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Mandos a distancia, obturadores, abrazaderas</w:t>
            </w:r>
          </w:p>
        </w:tc>
      </w:tr>
      <w:tr w:rsidR="00B77F10" w:rsidRPr="00B77F10" w14:paraId="691E7C6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Aparatos modulares para espacios cerrados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Aparatos de protección general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Conexiones</w:t>
            </w:r>
          </w:p>
        </w:tc>
      </w:tr>
      <w:tr w:rsidR="00B77F10" w:rsidRPr="00B77F10" w14:paraId="530F26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Disyuntores</w:t>
            </w:r>
          </w:p>
        </w:tc>
      </w:tr>
      <w:tr w:rsidR="00B77F10" w:rsidRPr="00B77F10" w14:paraId="1FBAD29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Disyuntores de conexión</w:t>
            </w:r>
          </w:p>
        </w:tc>
      </w:tr>
      <w:tr w:rsidR="00B77F10" w:rsidRPr="00B77F10" w14:paraId="4F2D53A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Interruptores/aisladores</w:t>
            </w:r>
          </w:p>
        </w:tc>
      </w:tr>
      <w:tr w:rsidR="00B77F10" w:rsidRPr="00B77F10" w14:paraId="1653AF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Inversores de la fuente</w:t>
            </w:r>
          </w:p>
        </w:tc>
      </w:tr>
      <w:tr w:rsidR="00B77F10" w:rsidRPr="00B77F10" w14:paraId="54DF4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Relés diferenciales</w:t>
            </w:r>
          </w:p>
        </w:tc>
      </w:tr>
      <w:tr w:rsidR="00B77F10" w:rsidRPr="00B77F10" w14:paraId="333082B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Protección contra rayos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Pararrayos</w:t>
            </w:r>
          </w:p>
        </w:tc>
      </w:tr>
      <w:tr w:rsidR="00B77F10" w:rsidRPr="00B77F10" w14:paraId="38BFC67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Pararrayos de telecomunicaciones</w:t>
            </w:r>
          </w:p>
        </w:tc>
      </w:tr>
      <w:tr w:rsidR="00B77F10" w:rsidRPr="00B77F10" w14:paraId="1202F0C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Protección de la línea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Disyuntores</w:t>
            </w:r>
          </w:p>
        </w:tc>
      </w:tr>
      <w:tr w:rsidR="00B77F10" w:rsidRPr="00B77F10" w14:paraId="580793B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Disyuntores de división</w:t>
            </w:r>
          </w:p>
        </w:tc>
      </w:tr>
      <w:tr w:rsidR="00B77F10" w:rsidRPr="00B77F10" w14:paraId="3D7804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Disyuntores de motor</w:t>
            </w:r>
          </w:p>
        </w:tc>
      </w:tr>
      <w:tr w:rsidR="00B77F10" w:rsidRPr="00B77F10" w14:paraId="09A5DDF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Fusibles</w:t>
            </w:r>
          </w:p>
        </w:tc>
      </w:tr>
      <w:tr w:rsidR="00B77F10" w:rsidRPr="00B77F10" w14:paraId="43734CD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Protección de línea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Bloques diferenciales</w:t>
            </w:r>
          </w:p>
        </w:tc>
      </w:tr>
      <w:tr w:rsidR="00B77F10" w:rsidRPr="00B77F10" w14:paraId="6C7E03D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Disyuntores diferenciales</w:t>
            </w:r>
          </w:p>
        </w:tc>
      </w:tr>
      <w:tr w:rsidR="00B77F10" w:rsidRPr="00B77F10" w14:paraId="60A967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 diferenciales</w:t>
            </w:r>
          </w:p>
        </w:tc>
      </w:tr>
      <w:tr w:rsidR="00B77F10" w:rsidRPr="00B77F10" w14:paraId="6427271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Gestión de la iluminación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 crepusculares</w:t>
            </w:r>
          </w:p>
        </w:tc>
      </w:tr>
      <w:tr w:rsidR="00B77F10" w:rsidRPr="00B77F10" w14:paraId="0DFC128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Gestión solar</w:t>
            </w:r>
          </w:p>
        </w:tc>
      </w:tr>
      <w:tr w:rsidR="00B77F10" w:rsidRPr="00B77F10" w14:paraId="2BDC0B6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Variadores</w:t>
            </w:r>
          </w:p>
        </w:tc>
      </w:tr>
      <w:tr w:rsidR="00B77F10" w:rsidRPr="00B77F10" w14:paraId="2BED94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Gestión de la energía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Cobertizos de carga</w:t>
            </w:r>
          </w:p>
        </w:tc>
      </w:tr>
      <w:tr w:rsidR="00B77F10" w:rsidRPr="00B77F10" w14:paraId="269954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Gestores de energía</w:t>
            </w:r>
          </w:p>
        </w:tc>
      </w:tr>
      <w:tr w:rsidR="00B77F10" w:rsidRPr="00B77F10" w14:paraId="127CAD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Gestión de persianas y contraventanas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Gestión de persianas y contraventanas</w:t>
            </w:r>
          </w:p>
        </w:tc>
      </w:tr>
      <w:tr w:rsidR="00B77F10" w:rsidRPr="00B77F10" w14:paraId="5C7BF1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Gestión del tiempo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 horarios</w:t>
            </w:r>
          </w:p>
        </w:tc>
      </w:tr>
      <w:tr w:rsidR="00B77F10" w:rsidRPr="00B77F10" w14:paraId="78BF2A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Temporizadores</w:t>
            </w:r>
          </w:p>
        </w:tc>
      </w:tr>
      <w:tr w:rsidR="00B77F10" w:rsidRPr="00B77F10" w14:paraId="5BF984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Relés de temporizador</w:t>
            </w:r>
          </w:p>
        </w:tc>
      </w:tr>
      <w:tr w:rsidR="00B77F10" w:rsidRPr="00B77F10" w14:paraId="60C6A08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Gestión térmica (calefacción, ventilación)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Termostatos</w:t>
            </w:r>
          </w:p>
        </w:tc>
      </w:tr>
      <w:tr w:rsidR="00B77F10" w:rsidRPr="00B77F10" w14:paraId="3BCC0BE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Medición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Contadores de energía</w:t>
            </w:r>
          </w:p>
        </w:tc>
      </w:tr>
      <w:tr w:rsidR="00B77F10" w:rsidRPr="00B77F10" w14:paraId="3AD6C6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Sensores de lluvia, solares, etc.</w:t>
            </w:r>
          </w:p>
        </w:tc>
      </w:tr>
      <w:tr w:rsidR="00B77F10" w:rsidRPr="00B77F10" w14:paraId="0D7FD6A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Voltímetros, amperímetros</w:t>
            </w:r>
          </w:p>
        </w:tc>
      </w:tr>
      <w:tr w:rsidR="00B77F10" w:rsidRPr="00B77F10" w14:paraId="103C5FA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Dispositivos de control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Pulsadores</w:t>
            </w:r>
          </w:p>
        </w:tc>
      </w:tr>
      <w:tr w:rsidR="00B77F10" w:rsidRPr="00B77F10" w14:paraId="150B06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Contactores</w:t>
            </w:r>
          </w:p>
        </w:tc>
      </w:tr>
      <w:tr w:rsidR="00B77F10" w:rsidRPr="00B77F10" w14:paraId="333E4B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 inversores, conmutadores, etc.</w:t>
            </w:r>
          </w:p>
        </w:tc>
      </w:tr>
      <w:tr w:rsidR="00B77F10" w:rsidRPr="00B77F10" w14:paraId="19AE77E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Interruptores a distancia</w:t>
            </w:r>
          </w:p>
        </w:tc>
      </w:tr>
      <w:tr w:rsidR="00B77F10" w:rsidRPr="00B77F10" w14:paraId="5A025F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Dispositivos de señalización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Campanas y timbres</w:t>
            </w:r>
          </w:p>
        </w:tc>
      </w:tr>
      <w:tr w:rsidR="00B77F10" w:rsidRPr="00B77F10" w14:paraId="054F7F1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Indicadores luminosos</w:t>
            </w:r>
          </w:p>
        </w:tc>
      </w:tr>
      <w:tr w:rsidR="00B77F10" w:rsidRPr="00B77F10" w14:paraId="028633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Domótica y sistemas de comunicación</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Redes multimedia y VDI (voz, datos e imágenes)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Equipamiento modular para domótica</w:t>
            </w:r>
          </w:p>
        </w:tc>
      </w:tr>
      <w:tr w:rsidR="00B77F10" w:rsidRPr="00B77F10" w14:paraId="39DA30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Aparatos terminales para domótica</w:t>
            </w:r>
          </w:p>
        </w:tc>
      </w:tr>
      <w:tr w:rsidR="00B77F10" w:rsidRPr="00B77F10" w14:paraId="30BE1D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Distribuidores de señalización/detección</w:t>
            </w:r>
          </w:p>
        </w:tc>
      </w:tr>
      <w:tr w:rsidR="00B77F10" w:rsidRPr="00B77F10" w14:paraId="0E3B73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Puntos de acceso de wifi</w:t>
            </w:r>
          </w:p>
        </w:tc>
      </w:tr>
      <w:tr w:rsidR="00B77F10" w:rsidRPr="00B77F10" w14:paraId="1BA4C94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Espacios cerrados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Armarios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Armarios de poliéster</w:t>
            </w:r>
          </w:p>
        </w:tc>
      </w:tr>
      <w:tr w:rsidR="00B77F10" w:rsidRPr="00B77F10" w14:paraId="665E1A2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Armarios metálicos</w:t>
            </w:r>
          </w:p>
        </w:tc>
      </w:tr>
      <w:tr w:rsidR="00B77F10" w:rsidRPr="00B77F10" w14:paraId="3E28A6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Conexiones</w:t>
            </w:r>
          </w:p>
        </w:tc>
      </w:tr>
      <w:tr w:rsidR="00B77F10" w:rsidRPr="00B77F10" w14:paraId="23DC5F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Aparatos para armarios</w:t>
            </w:r>
          </w:p>
        </w:tc>
      </w:tr>
      <w:tr w:rsidR="00B77F10" w:rsidRPr="00B77F10" w14:paraId="279CFC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Tapas de terminales</w:t>
            </w:r>
          </w:p>
        </w:tc>
      </w:tr>
      <w:tr w:rsidR="00B77F10" w:rsidRPr="00B77F10" w14:paraId="061BB3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Cajas empotradas</w:t>
            </w:r>
          </w:p>
        </w:tc>
      </w:tr>
      <w:tr w:rsidR="00B77F10" w:rsidRPr="00B77F10" w14:paraId="1D6E2D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Cajas impermeables</w:t>
            </w:r>
          </w:p>
        </w:tc>
      </w:tr>
      <w:tr w:rsidR="00B77F10" w:rsidRPr="00B77F10" w14:paraId="4042A32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Cajas montadas en superficie</w:t>
            </w:r>
          </w:p>
        </w:tc>
      </w:tr>
      <w:tr w:rsidR="00B77F10" w:rsidRPr="00B77F10" w14:paraId="02F253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Cajas VDI</w:t>
            </w:r>
          </w:p>
        </w:tc>
      </w:tr>
      <w:tr w:rsidR="00B77F10" w:rsidRPr="00B77F10" w14:paraId="161B3F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Caja de conexión</w:t>
            </w:r>
          </w:p>
        </w:tc>
      </w:tr>
      <w:tr w:rsidR="00B77F10" w:rsidRPr="00B77F10" w14:paraId="65A59F3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Escritorios, gestión térmica de los espacios cerrados</w:t>
            </w:r>
          </w:p>
        </w:tc>
      </w:tr>
      <w:tr w:rsidR="00B77F10" w:rsidRPr="00B77F10" w14:paraId="4BB012F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Soluciones de enrutamiento de cables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Sistemas de enrutamiento de cables y bastidores de cables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Rutas de cables de alambre</w:t>
            </w:r>
          </w:p>
        </w:tc>
      </w:tr>
      <w:tr w:rsidR="00B77F10" w:rsidRPr="00B77F10" w14:paraId="674B90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Bandejas de cable de losas</w:t>
            </w:r>
          </w:p>
        </w:tc>
      </w:tr>
      <w:tr w:rsidR="00B77F10" w:rsidRPr="00B77F10" w14:paraId="26E0BE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Bastidores de cable</w:t>
            </w:r>
          </w:p>
        </w:tc>
      </w:tr>
      <w:tr w:rsidR="00B77F10" w:rsidRPr="00B77F10" w14:paraId="50D79C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Sistemas de canalización y conductos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Conductos</w:t>
            </w:r>
          </w:p>
        </w:tc>
      </w:tr>
      <w:tr w:rsidR="00B77F10" w:rsidRPr="00B77F10" w14:paraId="6930BA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Conductos perfilados</w:t>
            </w:r>
          </w:p>
        </w:tc>
      </w:tr>
      <w:tr w:rsidR="00B77F10" w:rsidRPr="00B77F10" w14:paraId="435D71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Tubos y conductos rígidos</w:t>
            </w:r>
          </w:p>
        </w:tc>
      </w:tr>
      <w:tr w:rsidR="00B77F10" w:rsidRPr="00B77F10" w14:paraId="3932E3A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Canalización de suministro</w:t>
            </w:r>
          </w:p>
        </w:tc>
      </w:tr>
      <w:tr w:rsidR="00B77F10" w:rsidRPr="00B77F10" w14:paraId="7F3415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Canalización de suelo</w:t>
            </w:r>
          </w:p>
        </w:tc>
      </w:tr>
      <w:tr w:rsidR="00B77F10" w:rsidRPr="00B77F10" w14:paraId="4D2766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Canalización de instalación</w:t>
            </w:r>
          </w:p>
        </w:tc>
      </w:tr>
      <w:tr w:rsidR="00B77F10" w:rsidRPr="00B77F10" w14:paraId="24B924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Molduras y zócalos</w:t>
            </w:r>
          </w:p>
        </w:tc>
      </w:tr>
      <w:tr w:rsidR="00B77F10" w:rsidRPr="00B77F10" w14:paraId="04064F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Otros productos puntuales para el enrutamiento de cables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Conducto de alojamiento técnico (GTL)</w:t>
            </w:r>
          </w:p>
        </w:tc>
      </w:tr>
      <w:tr w:rsidR="00B77F10" w:rsidRPr="00B77F10" w14:paraId="5A9BE3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Canalización de suelo</w:t>
            </w:r>
          </w:p>
        </w:tc>
      </w:tr>
      <w:tr w:rsidR="00B77F10" w:rsidRPr="00B77F10" w14:paraId="2D465B3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Cajas divisoras y columnas verticales de instalación</w:t>
            </w:r>
          </w:p>
        </w:tc>
      </w:tr>
      <w:tr w:rsidR="00B77F10" w:rsidRPr="00B77F10" w14:paraId="3C99A8F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Enrutamiento de cables para armarios</w:t>
            </w:r>
          </w:p>
        </w:tc>
      </w:tr>
      <w:tr w:rsidR="00B77F10" w:rsidRPr="00B77F10" w14:paraId="7EDFC0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Otros y accesorios</w:t>
            </w:r>
          </w:p>
        </w:tc>
      </w:tr>
      <w:tr w:rsidR="00B77F10" w:rsidRPr="00B77F10" w14:paraId="5B608A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Otros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Conexión/empalme (fuera del espacio cerrado)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Bloques de empalme</w:t>
            </w:r>
          </w:p>
        </w:tc>
      </w:tr>
      <w:tr w:rsidR="00B77F10" w:rsidRPr="00B77F10" w14:paraId="30FBE9E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Conectores</w:t>
            </w:r>
          </w:p>
        </w:tc>
      </w:tr>
      <w:tr w:rsidR="00B77F10" w:rsidRPr="00B77F10" w14:paraId="0BE3976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Tomas de corriente industriales</w:t>
            </w:r>
          </w:p>
        </w:tc>
      </w:tr>
      <w:tr w:rsidR="00B77F10" w:rsidRPr="00B77F10" w14:paraId="1A06494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Suministro eléctrico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Transformadores</w:t>
            </w:r>
          </w:p>
        </w:tc>
      </w:tr>
      <w:tr w:rsidR="00B77F10" w:rsidRPr="00B77F10" w14:paraId="37211C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Fuentes centrales</w:t>
            </w:r>
          </w:p>
        </w:tc>
      </w:tr>
      <w:tr w:rsidR="00B77F10" w:rsidRPr="00B77F10" w14:paraId="5EDD812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Aparatos eléctricos móviles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Lámpara portátil</w:t>
            </w:r>
          </w:p>
        </w:tc>
      </w:tr>
      <w:tr w:rsidR="00B77F10" w:rsidRPr="00B77F10" w14:paraId="1FEA93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Regletas, adaptadores, otros</w:t>
            </w:r>
          </w:p>
        </w:tc>
      </w:tr>
      <w:tr w:rsidR="00B77F10" w:rsidRPr="00B77F10" w14:paraId="176BC77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Motorización de la apertura de solapas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Motorización de la apertura de puertas, portones, etc.</w:t>
            </w:r>
          </w:p>
        </w:tc>
      </w:tr>
      <w:tr w:rsidR="00B77F10" w:rsidRPr="00B77F10" w14:paraId="62761E5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Motorización de persianas enrollables</w:t>
            </w:r>
          </w:p>
        </w:tc>
      </w:tr>
      <w:tr w:rsidR="00B77F10" w:rsidRPr="00B77F10" w14:paraId="7815C73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Alambres y cables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Redes eléctricas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Cables de tensión media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Cables de baja tensión &lt;1 kV</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Accesorios de red eléctrica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Transferencia de energía y datos dentro del edificio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Alambres y cables de energía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Cables de </w:t>
            </w:r>
            <w:r>
              <w:rPr>
                <w:rFonts w:ascii="Times New Roman" w:hAnsi="Times New Roman"/>
                <w:sz w:val="24"/>
              </w:rPr>
              <w:lastRenderedPageBreak/>
              <w:t>comunicación de cobre y fibra óptica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Accesorios dentro del edificio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Otros alambres y cables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Sin aislamiento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Cables de calefacción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Seguridad de las personas y control del acceso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Detección y control del acceso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de detección de intrusos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Aparatos de detección de intrusos</w:t>
            </w:r>
          </w:p>
        </w:tc>
      </w:tr>
      <w:tr w:rsidR="00B77F10" w:rsidRPr="00B77F10" w14:paraId="3772E8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Aparatos de control (teclado, mando a distancia, etc.)</w:t>
            </w:r>
          </w:p>
        </w:tc>
      </w:tr>
      <w:tr w:rsidR="00B77F10" w:rsidRPr="00B77F10" w14:paraId="6408C6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Centrales de alarma</w:t>
            </w:r>
          </w:p>
        </w:tc>
      </w:tr>
      <w:tr w:rsidR="00B77F10" w:rsidRPr="00B77F10" w14:paraId="06CA08D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Aparatos de señalización (sirena, transmisor, etc.)</w:t>
            </w:r>
          </w:p>
        </w:tc>
      </w:tr>
      <w:tr w:rsidR="00B77F10" w:rsidRPr="00B77F10" w14:paraId="3C0ACE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Sistemas de control del acceso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Porteros con audio</w:t>
            </w:r>
          </w:p>
        </w:tc>
      </w:tr>
      <w:tr w:rsidR="00B77F10" w:rsidRPr="00B77F10" w14:paraId="4C7010E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Porteros con vídeos</w:t>
            </w:r>
          </w:p>
        </w:tc>
      </w:tr>
      <w:tr w:rsidR="00B77F10" w:rsidRPr="00B77F10" w14:paraId="1CE28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Videovigilancia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de videovigilancia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Aparatos de captura de imágenes (cámaras)</w:t>
            </w:r>
          </w:p>
        </w:tc>
      </w:tr>
      <w:tr w:rsidR="00B77F10" w:rsidRPr="00B77F10" w14:paraId="338428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Aparatos de gestión de imágenes</w:t>
            </w:r>
          </w:p>
        </w:tc>
      </w:tr>
      <w:tr w:rsidR="00B77F10" w:rsidRPr="00B77F10" w14:paraId="2A62D0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Interconexiones</w:t>
            </w:r>
          </w:p>
        </w:tc>
      </w:tr>
      <w:tr w:rsidR="00B77F10" w:rsidRPr="00B77F10" w14:paraId="5AC984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Seguridad del edificio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Sistema de iluminación de seguridad</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Entorno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Unidades autónomas de iluminación de emergencia (B.A.E.S)</w:t>
            </w:r>
          </w:p>
        </w:tc>
      </w:tr>
      <w:tr w:rsidR="00B77F10" w:rsidRPr="00B77F10" w14:paraId="0E7BF1B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Iluminación para fuente central (L.S.C)</w:t>
            </w:r>
          </w:p>
        </w:tc>
      </w:tr>
      <w:tr w:rsidR="00B77F10" w:rsidRPr="00B77F10" w14:paraId="0B957AD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Unidades de faros</w:t>
            </w:r>
          </w:p>
        </w:tc>
      </w:tr>
      <w:tr w:rsidR="00B77F10" w:rsidRPr="00B77F10" w14:paraId="32107BC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Evacuación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Unidades autónomas de iluminación de emergencia (B.A.E.S)</w:t>
            </w:r>
          </w:p>
        </w:tc>
      </w:tr>
      <w:tr w:rsidR="00B77F10" w:rsidRPr="00B77F10" w14:paraId="1A9A61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Unidades independientes de iluminación residencial (B.A.E.H)</w:t>
            </w:r>
          </w:p>
        </w:tc>
      </w:tr>
      <w:tr w:rsidR="00B77F10" w:rsidRPr="00B77F10" w14:paraId="5B5B786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 de doble función (B.A.E.S + B.A.E.H.)</w:t>
            </w:r>
          </w:p>
        </w:tc>
      </w:tr>
      <w:tr w:rsidR="00B77F10" w:rsidRPr="00B77F10" w14:paraId="60BD07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Iluminación para fuente central (L.S.C)</w:t>
            </w:r>
          </w:p>
        </w:tc>
      </w:tr>
      <w:tr w:rsidR="00B77F10" w:rsidRPr="00B77F10" w14:paraId="461F4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(dispositivo de iluminación)</w:t>
            </w:r>
          </w:p>
        </w:tc>
      </w:tr>
      <w:tr w:rsidR="00B77F10" w:rsidRPr="00B77F10" w14:paraId="585B07A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(dispositivo de identificación mejorado)</w:t>
            </w:r>
          </w:p>
        </w:tc>
      </w:tr>
      <w:tr w:rsidR="00B77F10" w:rsidRPr="00B77F10" w14:paraId="56CA42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w:t>
            </w:r>
            <w:proofErr w:type="gramStart"/>
            <w:r>
              <w:rPr>
                <w:rFonts w:ascii="Times New Roman" w:hAnsi="Times New Roman"/>
                <w:sz w:val="24"/>
              </w:rPr>
              <w:t>B.R</w:t>
            </w:r>
            <w:proofErr w:type="gramEnd"/>
          </w:p>
        </w:tc>
      </w:tr>
      <w:tr w:rsidR="00B77F10" w:rsidRPr="00B77F10" w14:paraId="1C0B32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Iluminación de emergencia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Unidades independientes de iluminación residencial (B.A.E.H)</w:t>
            </w:r>
          </w:p>
        </w:tc>
      </w:tr>
      <w:tr w:rsidR="00B77F10" w:rsidRPr="00B77F10" w14:paraId="06EF702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 de doble función (B.A.E.S + B.A.E.H.)</w:t>
            </w:r>
          </w:p>
        </w:tc>
      </w:tr>
      <w:tr w:rsidR="00B77F10" w:rsidRPr="00B77F10" w14:paraId="3310E9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Intervención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Unidades autónomas de intervención portátiles (B.A.P.I)</w:t>
            </w:r>
          </w:p>
        </w:tc>
      </w:tr>
      <w:tr w:rsidR="00B77F10" w:rsidRPr="00B77F10" w14:paraId="6C04FF8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Suministro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Fuente central para la instalación de iluminación de emergencia</w:t>
            </w:r>
          </w:p>
        </w:tc>
      </w:tr>
      <w:tr w:rsidR="00B77F10" w:rsidRPr="00B77F10" w14:paraId="0476AE1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Seguridad contra incendios</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Seguridad contra incendios y alarma técnica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Detectores de humo/alarmas independientes</w:t>
            </w:r>
          </w:p>
        </w:tc>
      </w:tr>
      <w:tr w:rsidR="00B77F10" w:rsidRPr="00B77F10" w14:paraId="0108CDE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Alarmas técnicas y detectores (inundación, gas, etc.)</w:t>
            </w:r>
          </w:p>
        </w:tc>
      </w:tr>
      <w:tr w:rsidR="00B77F10" w:rsidRPr="00B77F10" w14:paraId="07BE589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Detectores autónomos de monóxido de carbono</w:t>
            </w:r>
          </w:p>
        </w:tc>
      </w:tr>
      <w:tr w:rsidR="00B77F10" w:rsidRPr="00B77F10" w14:paraId="2E560D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Alarmas técnicas y detectores</w:t>
            </w:r>
          </w:p>
        </w:tc>
      </w:tr>
      <w:tr w:rsidR="00B77F10" w:rsidRPr="00B77F10" w14:paraId="6FB63ED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Aparatos de climatización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Calefacción o refrigeración o producción de agua caliente sanitaria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Caldera (solo calefacción)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Caldera de gas</w:t>
            </w:r>
          </w:p>
        </w:tc>
      </w:tr>
      <w:tr w:rsidR="00B77F10" w:rsidRPr="00B77F10" w14:paraId="7D6145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Caldera de fuel</w:t>
            </w:r>
          </w:p>
        </w:tc>
      </w:tr>
      <w:tr w:rsidR="00B77F10" w:rsidRPr="00B77F10" w14:paraId="67AC5E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Caldera híbrida</w:t>
            </w:r>
          </w:p>
        </w:tc>
      </w:tr>
      <w:tr w:rsidR="00B77F10" w:rsidRPr="00B77F10" w14:paraId="599CC5D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Caldera de biomasa</w:t>
            </w:r>
          </w:p>
        </w:tc>
      </w:tr>
      <w:tr w:rsidR="00B77F10" w:rsidRPr="00B77F10" w14:paraId="0B6DC1C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Caldera mixta (calefacción y agua caliente sanitaria)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Caldera de gas</w:t>
            </w:r>
          </w:p>
        </w:tc>
      </w:tr>
      <w:tr w:rsidR="00B77F10" w:rsidRPr="00B77F10" w14:paraId="0972193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Caldera de fuel</w:t>
            </w:r>
          </w:p>
        </w:tc>
      </w:tr>
      <w:tr w:rsidR="00B77F10" w:rsidRPr="00B77F10" w14:paraId="4D2C85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Aparatos independientes de biomasa</w:t>
            </w:r>
          </w:p>
        </w:tc>
      </w:tr>
      <w:tr w:rsidR="00B77F10" w:rsidRPr="00B77F10" w14:paraId="169653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Bomba de calor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Bomba de calor de compresión eléctrica</w:t>
            </w:r>
          </w:p>
        </w:tc>
      </w:tr>
      <w:tr w:rsidR="00B77F10" w:rsidRPr="00B77F10" w14:paraId="03D84A0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Bomba de calor híbrida</w:t>
            </w:r>
          </w:p>
        </w:tc>
      </w:tr>
      <w:tr w:rsidR="00B77F10" w:rsidRPr="00B77F10" w14:paraId="4917C6A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Bomba de circulación de agua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Radiador</w:t>
            </w:r>
          </w:p>
        </w:tc>
      </w:tr>
      <w:tr w:rsidR="00B77F10" w:rsidRPr="00B77F10" w14:paraId="5ADCA8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Radiador toallero</w:t>
            </w:r>
          </w:p>
        </w:tc>
      </w:tr>
      <w:tr w:rsidR="00B77F10" w:rsidRPr="00B77F10" w14:paraId="0831CE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Calefacción eléctrica directa a través de una unidad fija visible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Convector</w:t>
            </w:r>
          </w:p>
        </w:tc>
      </w:tr>
      <w:tr w:rsidR="00B77F10" w:rsidRPr="00B77F10" w14:paraId="5BC7E9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Radiante</w:t>
            </w:r>
          </w:p>
        </w:tc>
      </w:tr>
      <w:tr w:rsidR="00B77F10" w:rsidRPr="00B77F10" w14:paraId="6AD73E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Radiador</w:t>
            </w:r>
          </w:p>
        </w:tc>
      </w:tr>
      <w:tr w:rsidR="00B77F10" w:rsidRPr="00B77F10" w14:paraId="2D4723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Aparatos con función secundaria como radiador toallero</w:t>
            </w:r>
          </w:p>
        </w:tc>
      </w:tr>
      <w:tr w:rsidR="00B77F10" w:rsidRPr="00B77F10" w14:paraId="34BF430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Producción de agua caliente sanitaria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Calentador de agua de almacenamiento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Calentador de agua eléctrico</w:t>
            </w:r>
          </w:p>
        </w:tc>
      </w:tr>
      <w:tr w:rsidR="00B77F10" w:rsidRPr="00B77F10" w14:paraId="5FD5115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Calentador de agua termodinámico</w:t>
            </w:r>
          </w:p>
        </w:tc>
      </w:tr>
      <w:tr w:rsidR="00B77F10" w:rsidRPr="00B77F10" w14:paraId="477AF5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Calentador de agua de gas</w:t>
            </w:r>
          </w:p>
        </w:tc>
      </w:tr>
      <w:tr w:rsidR="00B77F10" w:rsidRPr="00B77F10" w14:paraId="544728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Calentador de agua solar individual</w:t>
            </w:r>
          </w:p>
        </w:tc>
      </w:tr>
      <w:tr w:rsidR="00B77F10" w:rsidRPr="00B77F10" w14:paraId="5112EFC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Unidades terminales de confort</w:t>
            </w:r>
          </w:p>
        </w:tc>
        <w:tc>
          <w:tcPr>
            <w:tcW w:w="1464"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Ventiloconvectores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Ventiloconvectores</w:t>
            </w:r>
            <w:proofErr w:type="spellEnd"/>
          </w:p>
        </w:tc>
      </w:tr>
      <w:tr w:rsidR="00B77F10" w:rsidRPr="00B77F10" w14:paraId="384F2C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o m³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Vigas climáticas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Vigas climáticas pasivas</w:t>
            </w:r>
          </w:p>
        </w:tc>
      </w:tr>
      <w:tr w:rsidR="00B77F10" w:rsidRPr="00B77F10" w14:paraId="2936C72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Vigas climáticas activas</w:t>
            </w:r>
          </w:p>
        </w:tc>
      </w:tr>
      <w:tr w:rsidR="00B77F10" w:rsidRPr="00B77F10" w14:paraId="04B7CB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Radiadores dinámicos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Radiadores dinámicos</w:t>
            </w:r>
          </w:p>
        </w:tc>
      </w:tr>
      <w:tr w:rsidR="00B77F10" w:rsidRPr="00B77F10" w14:paraId="17CA868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Conductos y accesorios de red</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Codos y accesorios</w:t>
            </w:r>
          </w:p>
        </w:tc>
      </w:tr>
      <w:tr w:rsidR="00B77F10" w:rsidRPr="00B77F10" w14:paraId="75AAB13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Conductos flexibles</w:t>
            </w:r>
          </w:p>
        </w:tc>
      </w:tr>
      <w:tr w:rsidR="00B77F10" w:rsidRPr="00B77F10" w14:paraId="146D6AC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Conductos rígidos</w:t>
            </w:r>
          </w:p>
        </w:tc>
      </w:tr>
      <w:tr w:rsidR="00B77F10" w:rsidRPr="00B77F10" w14:paraId="63144C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Difusión de aire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Entradas de aire</w:t>
            </w:r>
          </w:p>
        </w:tc>
      </w:tr>
      <w:tr w:rsidR="00B77F10" w:rsidRPr="00B77F10" w14:paraId="23380A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Terminales pasivos</w:t>
            </w:r>
          </w:p>
        </w:tc>
      </w:tr>
      <w:tr w:rsidR="00B77F10" w:rsidRPr="00B77F10" w14:paraId="47C6081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Difusores</w:t>
            </w:r>
          </w:p>
        </w:tc>
      </w:tr>
      <w:tr w:rsidR="00B77F10" w:rsidRPr="00B77F10" w14:paraId="7D7827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Filtración de aire</w:t>
            </w:r>
          </w:p>
        </w:tc>
      </w:tr>
      <w:tr w:rsidR="00B77F10" w:rsidRPr="00B77F10" w14:paraId="7776850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Aberturas de extracción e insuflación</w:t>
            </w:r>
          </w:p>
        </w:tc>
      </w:tr>
      <w:tr w:rsidR="00B77F10" w:rsidRPr="00B77F10" w14:paraId="0DB009C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Tratamiento del aire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Central de tratamiento del aire</w:t>
            </w:r>
          </w:p>
        </w:tc>
      </w:tr>
      <w:tr w:rsidR="00B77F10" w:rsidRPr="00B77F10" w14:paraId="28F80E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Central de doble flujo</w:t>
            </w:r>
          </w:p>
        </w:tc>
      </w:tr>
      <w:tr w:rsidR="00B77F10" w:rsidRPr="00B77F10" w14:paraId="112508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Caja de ventilación</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VMC de flujo simple</w:t>
            </w:r>
          </w:p>
        </w:tc>
      </w:tr>
      <w:tr w:rsidR="00B77F10" w:rsidRPr="00B77F10" w14:paraId="33D5133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VMC de flujo doble</w:t>
            </w:r>
          </w:p>
        </w:tc>
      </w:tr>
      <w:tr w:rsidR="00B77F10" w:rsidRPr="00B77F10" w14:paraId="4C8E15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Caja de ventilación</w:t>
            </w:r>
          </w:p>
        </w:tc>
      </w:tr>
      <w:tr w:rsidR="00B77F10" w:rsidRPr="00B77F10" w14:paraId="40A02F5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Refrigeración</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Unidad de producción de agua helada</w:t>
            </w:r>
          </w:p>
        </w:tc>
      </w:tr>
      <w:tr w:rsidR="00B77F10" w:rsidRPr="00B77F10" w14:paraId="70B8C49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Torre de refrigeración</w:t>
            </w:r>
          </w:p>
        </w:tc>
      </w:tr>
      <w:tr w:rsidR="00B77F10" w:rsidRPr="00B77F10" w14:paraId="32625D6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Aerorefrigerantes</w:t>
            </w:r>
            <w:proofErr w:type="spellEnd"/>
          </w:p>
        </w:tc>
      </w:tr>
      <w:tr w:rsidR="00B77F10" w:rsidRPr="00B77F10" w14:paraId="434400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Extractor mecánico de humo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m3/h</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Torreta, ventilador</w:t>
            </w:r>
          </w:p>
        </w:tc>
      </w:tr>
      <w:tr w:rsidR="00B77F10" w:rsidRPr="00B77F10" w14:paraId="5AE690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Amortiguador de incendios o cortafuegos, amortiguador, obturador</w:t>
            </w:r>
          </w:p>
        </w:tc>
      </w:tr>
      <w:tr w:rsidR="00B77F10" w:rsidRPr="00B77F10" w14:paraId="1F0F10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Caja de relé</w:t>
            </w:r>
          </w:p>
        </w:tc>
      </w:tr>
      <w:tr w:rsidR="00B77F10" w:rsidRPr="00B77F10" w14:paraId="7270989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Producción local de electricidad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Generador de electricidad</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Módulos fotovoltaicos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Silicio cristalino (monocristalino o policristalino)</w:t>
            </w:r>
          </w:p>
        </w:tc>
      </w:tr>
      <w:tr w:rsidR="00B77F10" w:rsidRPr="00B77F10" w14:paraId="627A81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Capas finas</w:t>
            </w:r>
          </w:p>
        </w:tc>
      </w:tr>
      <w:tr w:rsidR="00B77F10" w:rsidRPr="00B77F10" w14:paraId="5DA7E0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Aerogeneradores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Horizontal</w:t>
            </w:r>
          </w:p>
        </w:tc>
      </w:tr>
      <w:tr w:rsidR="00B77F10" w:rsidRPr="00B77F10" w14:paraId="5A5971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Vertical</w:t>
            </w:r>
          </w:p>
        </w:tc>
      </w:tr>
      <w:tr w:rsidR="00B77F10" w:rsidRPr="00B77F10" w14:paraId="1250AA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Conversión y regulación</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Conversión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Inversores síncronos</w:t>
            </w:r>
          </w:p>
        </w:tc>
      </w:tr>
      <w:tr w:rsidR="00B77F10" w:rsidRPr="00B77F10" w14:paraId="57FF554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Inversores autónomos</w:t>
            </w:r>
          </w:p>
        </w:tc>
      </w:tr>
      <w:tr w:rsidR="00B77F10" w:rsidRPr="00B77F10" w14:paraId="34A2A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Convertidor de CC/CC</w:t>
            </w:r>
          </w:p>
        </w:tc>
      </w:tr>
      <w:tr w:rsidR="00B77F10" w:rsidRPr="00B77F10" w14:paraId="6D974E8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Convertidor de CA/CC</w:t>
            </w:r>
          </w:p>
        </w:tc>
      </w:tr>
      <w:tr w:rsidR="00B77F10" w:rsidRPr="00B77F10" w14:paraId="0B461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Regulación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Controlador de carga</w:t>
            </w:r>
          </w:p>
        </w:tc>
      </w:tr>
      <w:tr w:rsidR="00B77F10" w:rsidRPr="00B77F10" w14:paraId="053A13A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Almacenamiento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Batería electroquímica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Plomo-ácido</w:t>
            </w:r>
          </w:p>
        </w:tc>
      </w:tr>
      <w:tr w:rsidR="00B77F10" w:rsidRPr="00B77F10" w14:paraId="17CBB55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Litio- ion</w:t>
            </w:r>
          </w:p>
        </w:tc>
      </w:tr>
      <w:tr w:rsidR="00B77F10" w:rsidRPr="00B77F10" w14:paraId="34A8F9B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Otros</w:t>
            </w:r>
          </w:p>
        </w:tc>
      </w:tr>
      <w:tr w:rsidR="00B77F10" w:rsidRPr="00B77F10" w14:paraId="592D3F5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Supervisión</w:t>
            </w:r>
          </w:p>
        </w:tc>
        <w:tc>
          <w:tcPr>
            <w:tcW w:w="1464"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Supervisión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Aparatos de supervisión</w:t>
            </w:r>
          </w:p>
        </w:tc>
      </w:tr>
      <w:tr w:rsidR="00B77F10" w:rsidRPr="00B77F10" w14:paraId="221F3F4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Aparatos de iluminación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Aparatos para iluminación de interiores y fuentes de alimentación</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Iluminación empotrada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Iluminación empotrada interior lineal para iluminación comercial</w:t>
            </w:r>
          </w:p>
        </w:tc>
      </w:tr>
      <w:tr w:rsidR="00B77F10" w:rsidRPr="00B77F10" w14:paraId="36EC666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Iluminación empotrada interior no lineal para iluminación comercial</w:t>
            </w:r>
          </w:p>
        </w:tc>
      </w:tr>
      <w:tr w:rsidR="00B77F10" w:rsidRPr="00B77F10" w14:paraId="74700B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Iluminación empotrada interior para iluminación de acento (puntos)</w:t>
            </w:r>
          </w:p>
        </w:tc>
      </w:tr>
      <w:tr w:rsidR="00B77F10" w:rsidRPr="00B77F10" w14:paraId="07CBA8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Iluminación </w:t>
            </w:r>
            <w:r>
              <w:rPr>
                <w:rFonts w:ascii="Times New Roman" w:hAnsi="Times New Roman"/>
                <w:sz w:val="24"/>
              </w:rPr>
              <w:lastRenderedPageBreak/>
              <w:t>montada en superficie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Iluminación de techo, </w:t>
            </w:r>
            <w:r>
              <w:rPr>
                <w:rFonts w:ascii="Times New Roman" w:hAnsi="Times New Roman"/>
                <w:sz w:val="24"/>
              </w:rPr>
              <w:lastRenderedPageBreak/>
              <w:t>accesorios lineales suspendidos interiores para iluminación terciaria o industrial</w:t>
            </w:r>
          </w:p>
        </w:tc>
      </w:tr>
      <w:tr w:rsidR="00B77F10" w:rsidRPr="00B77F10" w14:paraId="2031FC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Iluminación funcional interior lineal de pared montada en superficie</w:t>
            </w:r>
          </w:p>
        </w:tc>
      </w:tr>
      <w:tr w:rsidR="00B77F10" w:rsidRPr="00B77F10" w14:paraId="6339BE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Iluminación de techo, iluminación de pared montada en superficie, accesorios decorativos suspendidos interiores</w:t>
            </w:r>
          </w:p>
        </w:tc>
      </w:tr>
      <w:tr w:rsidR="00B77F10" w:rsidRPr="00B77F10" w14:paraId="4354D5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Ojos de buey interiores</w:t>
            </w:r>
          </w:p>
        </w:tc>
      </w:tr>
      <w:tr w:rsidR="00B77F10" w:rsidRPr="00B77F10" w14:paraId="2E27CB7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Tiras de iluminación interior (sin dispositivos ópticos, a diferencia de los productos lineales)</w:t>
            </w:r>
          </w:p>
        </w:tc>
      </w:tr>
      <w:tr w:rsidR="00B77F10" w:rsidRPr="00B77F10" w14:paraId="4090BD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Focos interiores, montados en pared o en carril o suspendidos, para iluminación con acento</w:t>
            </w:r>
          </w:p>
        </w:tc>
      </w:tr>
      <w:tr w:rsidR="00B77F10" w:rsidRPr="00B77F10" w14:paraId="4B95AF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Accesorios de iluminación interior impermeables</w:t>
            </w:r>
          </w:p>
        </w:tc>
      </w:tr>
      <w:tr w:rsidR="00B77F10" w:rsidRPr="00B77F10" w14:paraId="791B7F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Barras y tiras flexibles LED (incluida la fuente de alimentación)</w:t>
            </w:r>
          </w:p>
        </w:tc>
      </w:tr>
      <w:tr w:rsidR="00B77F10" w:rsidRPr="00B77F10" w14:paraId="254F281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Accesorios suspendidos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Accesorios industriales</w:t>
            </w:r>
          </w:p>
        </w:tc>
      </w:tr>
      <w:tr w:rsidR="00B77F10" w:rsidRPr="00B77F10" w14:paraId="0A27075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Estructuras continuas en línea para iluminación terciaria o industrial</w:t>
            </w:r>
          </w:p>
        </w:tc>
      </w:tr>
      <w:tr w:rsidR="00B77F10" w:rsidRPr="00B77F10" w14:paraId="7C7BF2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Soportes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Rieles de suministro de focos</w:t>
            </w:r>
          </w:p>
        </w:tc>
      </w:tr>
      <w:tr w:rsidR="00B77F10" w:rsidRPr="00B77F10" w14:paraId="2AA11EE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Aparatos para iluminación de exteriores y fuentes de alimentación</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Focos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Focos para deportes y espacios grandes</w:t>
            </w:r>
          </w:p>
        </w:tc>
      </w:tr>
      <w:tr w:rsidR="00B77F10" w:rsidRPr="00B77F10" w14:paraId="02FC73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Focos exteriores para iluminación decorativa</w:t>
            </w:r>
          </w:p>
        </w:tc>
      </w:tr>
      <w:tr w:rsidR="00B77F10" w:rsidRPr="00B77F10" w14:paraId="354680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Accesorios de iluminación para alumbrado exterior, distintos de los focos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Accesorios de iluminación para iluminación decorativa</w:t>
            </w:r>
          </w:p>
        </w:tc>
      </w:tr>
      <w:tr w:rsidR="00B77F10" w:rsidRPr="00B77F10" w14:paraId="61B17E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Accesorios de iluminación para iluminación funcional</w:t>
            </w:r>
          </w:p>
        </w:tc>
      </w:tr>
      <w:tr w:rsidR="00B77F10" w:rsidRPr="00B77F10" w14:paraId="4367BB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Iluminación por períodos</w:t>
            </w:r>
          </w:p>
        </w:tc>
      </w:tr>
      <w:tr w:rsidR="00B77F10" w:rsidRPr="00B77F10" w14:paraId="09C1E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Focos empotrados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Focos exteriores para empotrar en suelos o paredes</w:t>
            </w:r>
          </w:p>
        </w:tc>
      </w:tr>
      <w:tr w:rsidR="00B77F10" w:rsidRPr="00B77F10" w14:paraId="410EBC7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Iluminación empotrada para balizamiento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Iluminación exterior de balizamiento para empotrar en el suelo o en las paredes</w:t>
            </w:r>
          </w:p>
        </w:tc>
      </w:tr>
      <w:tr w:rsidR="00B77F10" w:rsidRPr="00B77F10" w14:paraId="746257F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Postes y columnas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Postes exteriores decorativos</w:t>
            </w:r>
          </w:p>
        </w:tc>
      </w:tr>
      <w:tr w:rsidR="00B77F10" w:rsidRPr="00B77F10" w14:paraId="2408F68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Columnas luminosas exteriores decorativas</w:t>
            </w:r>
          </w:p>
        </w:tc>
      </w:tr>
      <w:tr w:rsidR="00B77F10" w:rsidRPr="00B77F10" w14:paraId="2982017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Accesorios de iluminación impermeables IP &gt; 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Iluminación de pared montadas en superficie y pórticos impermeables</w:t>
            </w:r>
          </w:p>
        </w:tc>
      </w:tr>
      <w:tr w:rsidR="00B77F10" w:rsidRPr="00B77F10" w14:paraId="0815962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Iluminación empotrada sumergible para piscinas o fuentes</w:t>
            </w:r>
          </w:p>
        </w:tc>
      </w:tr>
      <w:tr w:rsidR="00B77F10" w:rsidRPr="00B77F10" w14:paraId="73BFCE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Focos sumergibles para piscinas o fuentes</w:t>
            </w:r>
          </w:p>
        </w:tc>
      </w:tr>
      <w:tr w:rsidR="00B77F10" w:rsidRPr="00B77F10" w14:paraId="29AC0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Unidad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Mástiles y soportes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Mástiles</w:t>
            </w:r>
          </w:p>
        </w:tc>
      </w:tr>
      <w:tr w:rsidR="00B77F10" w:rsidRPr="00B77F10" w14:paraId="38416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Palos</w:t>
            </w:r>
          </w:p>
        </w:tc>
      </w:tr>
      <w:tr w:rsidR="00B77F10" w:rsidRPr="00B77F10" w14:paraId="3B70497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Varios soportes para accesorios de iluminación exterior</w:t>
            </w:r>
          </w:p>
        </w:tc>
      </w:tr>
      <w:tr w:rsidR="00B77F10" w:rsidRPr="00B77F10" w14:paraId="7FE45D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Varios</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Anexo III</w:t>
      </w:r>
      <w:r>
        <w:rPr>
          <w:rFonts w:ascii="Times New Roman" w:hAnsi="Times New Roman"/>
          <w:caps/>
          <w:sz w:val="24"/>
        </w:rPr>
        <w:br/>
        <w:t>Cálculo de los beneficios y gastos asociados a la valorización al final de su vida útil.</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La visualización de un valor positivo indica un gasto neto y un valor negativo indica un beneficio neto.</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En el caso de la valorización de materiales, para un determinado flujo de residuos valorizados (y, por lo tanto, un material lambda concreto), se aplicará la siguiente fórmula:</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ChargeNetRecycl</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 – MS (IS – IV),</w:t>
      </w:r>
      <w:r>
        <w:rPr>
          <w:rFonts w:ascii="Times New Roman" w:hAnsi="Times New Roman"/>
          <w:sz w:val="24"/>
        </w:rPr>
        <w:br/>
        <w:t>donde:</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masa (kg) de materia secundaria efectivamente recuperada de la masa de las existencias recogidas (componentes lambda del material del flujo «materiales destinados al reciclado»;</w:t>
      </w:r>
      <w:r>
        <w:rPr>
          <w:rFonts w:ascii="Times New Roman" w:hAnsi="Times New Roman"/>
          <w:sz w:val="24"/>
        </w:rPr>
        <w:br/>
      </w:r>
      <w:proofErr w:type="spellStart"/>
      <w:r>
        <w:rPr>
          <w:rFonts w:ascii="Times New Roman" w:hAnsi="Times New Roman"/>
          <w:sz w:val="24"/>
        </w:rPr>
        <w:t>IVval</w:t>
      </w:r>
      <w:proofErr w:type="spellEnd"/>
      <w:r>
        <w:rPr>
          <w:rFonts w:ascii="Times New Roman" w:hAnsi="Times New Roman"/>
          <w:sz w:val="24"/>
        </w:rPr>
        <w:t xml:space="preserve"> = inventario de producción (por kg) del material (o de la mezcla) para el que se sustituye la materia secundaria lambda valorizada en el sistema posterior que lo utiliza (no se trata del inventario de producción del producto posterior, sino del inventario de producción que constituye este producto posterior);</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 inventario de producción (por kg) de materia secundaria listo para su uso en el sistema posterior a partir de las existencias;</w:t>
      </w:r>
      <w:r>
        <w:rPr>
          <w:rFonts w:ascii="Times New Roman" w:hAnsi="Times New Roman"/>
          <w:sz w:val="24"/>
        </w:rPr>
        <w:br/>
        <w:t>MS = masa (kg) de materia secundaria incorporada al producto objeto de la declaración en la fabricación (componentes lambda del material del flujo «utilización de materia secundaria»;</w:t>
      </w:r>
      <w:r>
        <w:rPr>
          <w:rFonts w:ascii="Times New Roman" w:hAnsi="Times New Roman"/>
          <w:sz w:val="24"/>
        </w:rPr>
        <w:br/>
        <w:t>IV = inventario de producción (por kg) de material virgen utilizado para producir el producto objeto de la declaración, a falta de valorización del material;</w:t>
      </w:r>
      <w:r>
        <w:rPr>
          <w:rFonts w:ascii="Times New Roman" w:hAnsi="Times New Roman"/>
          <w:sz w:val="24"/>
        </w:rPr>
        <w:br/>
        <w:t>IS = inventario de producción (por kg) de materia secundaria listo para su uso para la producción del producto objeto de la declaración.</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2. En el caso de una recuperación de energía, para un determinado flujo de residuos valorizados, se aplicará siguiente la fórmula:</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ChargeNetValoNRJ</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PCISval</w:t>
      </w:r>
      <w:proofErr w:type="spellEnd"/>
      <w:r>
        <w:rPr>
          <w:rFonts w:ascii="Times New Roman" w:hAnsi="Times New Roman"/>
          <w:sz w:val="24"/>
        </w:rPr>
        <w:t xml:space="preserve"> × </w:t>
      </w:r>
      <w:proofErr w:type="spellStart"/>
      <w:r>
        <w:rPr>
          <w:rFonts w:ascii="Times New Roman" w:hAnsi="Times New Roman"/>
          <w:sz w:val="24"/>
        </w:rPr>
        <w:t>REval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w:t>
      </w:r>
      <w:r>
        <w:rPr>
          <w:rFonts w:ascii="Times New Roman" w:hAnsi="Times New Roman"/>
          <w:sz w:val="24"/>
        </w:rPr>
        <w:br/>
        <w:t>donde:</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masa (en kg) de la materia secundaria efectivamente recuperada de la masa de existencias acumulada (componentes lambda del material de flujo «materiales destinados a la recuperación de energía»;</w:t>
      </w:r>
      <w:r>
        <w:rPr>
          <w:rFonts w:ascii="Times New Roman" w:hAnsi="Times New Roman"/>
          <w:sz w:val="24"/>
        </w:rPr>
        <w:br/>
      </w:r>
      <w:proofErr w:type="spellStart"/>
      <w:r>
        <w:rPr>
          <w:rFonts w:ascii="Times New Roman" w:hAnsi="Times New Roman"/>
          <w:sz w:val="24"/>
        </w:rPr>
        <w:t>IVval</w:t>
      </w:r>
      <w:proofErr w:type="spellEnd"/>
      <w:r>
        <w:rPr>
          <w:rFonts w:ascii="Times New Roman" w:hAnsi="Times New Roman"/>
          <w:sz w:val="24"/>
        </w:rPr>
        <w:t xml:space="preserve"> = inventario de producción (por kg) de la energía para el que se sustituye la energía recuperada mediante la recuperación de energía de la materia secundaria en el sistema posterior (es decir, no se trata del inventario de producción del sistema posterior al que contribuirá la materia secundaria, sino del inventario de producción de energía consumida por el sistema posterior, expresado en MJ suministrados);</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 inventario (por kg) de la recuperación de energía de la materia secundaria procedente de las existencias, para el que el flujo de referencia es la masa de materia secundaria valorizada;</w:t>
      </w:r>
      <w:r>
        <w:rPr>
          <w:rFonts w:ascii="Times New Roman" w:hAnsi="Times New Roman"/>
          <w:sz w:val="24"/>
        </w:rPr>
        <w:br/>
      </w:r>
      <w:proofErr w:type="spellStart"/>
      <w:r>
        <w:rPr>
          <w:rFonts w:ascii="Times New Roman" w:hAnsi="Times New Roman"/>
          <w:sz w:val="24"/>
        </w:rPr>
        <w:t>PCISval</w:t>
      </w:r>
      <w:proofErr w:type="spellEnd"/>
      <w:r>
        <w:rPr>
          <w:rFonts w:ascii="Times New Roman" w:hAnsi="Times New Roman"/>
          <w:sz w:val="24"/>
        </w:rPr>
        <w:t xml:space="preserve"> = PCI (MJ/kg) de la materia secundaria recuperada;</w:t>
      </w:r>
      <w:r>
        <w:rPr>
          <w:rFonts w:ascii="Times New Roman" w:hAnsi="Times New Roman"/>
          <w:sz w:val="24"/>
        </w:rPr>
        <w:br/>
      </w:r>
      <w:proofErr w:type="spellStart"/>
      <w:r>
        <w:rPr>
          <w:rFonts w:ascii="Times New Roman" w:hAnsi="Times New Roman"/>
          <w:sz w:val="24"/>
        </w:rPr>
        <w:t>REval</w:t>
      </w:r>
      <w:proofErr w:type="spellEnd"/>
      <w:r>
        <w:rPr>
          <w:rFonts w:ascii="Times New Roman" w:hAnsi="Times New Roman"/>
          <w:sz w:val="24"/>
        </w:rPr>
        <w:t xml:space="preserve"> = rendimiento energético de la instalación de recuperación de energía de la materia secundaria recuperada;</w:t>
      </w:r>
      <w:r>
        <w:rPr>
          <w:rFonts w:ascii="Times New Roman" w:hAnsi="Times New Roman"/>
          <w:sz w:val="24"/>
        </w:rPr>
        <w:br/>
        <w:t>El beneficio global para el producto declarado se obtendrá como la suma de todos los beneficios calculados para cada uno de los materiales/flujos.</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Artículo</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ANEXO IV</w:t>
      </w:r>
      <w:r>
        <w:rPr>
          <w:rFonts w:ascii="Times New Roman" w:hAnsi="Times New Roman"/>
          <w:sz w:val="24"/>
        </w:rPr>
        <w:br/>
        <w:t>MARCO PARA VALIDEZ DE LAS DECLARACIONES MEDIOAMBIENTALES COLECTIVAS DE PRODUCTOS</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Homogeneidad</w:t>
      </w:r>
      <w:r>
        <w:rPr>
          <w:rFonts w:ascii="Times New Roman" w:hAnsi="Times New Roman"/>
          <w:sz w:val="24"/>
        </w:rPr>
        <w:br/>
        <w:t>El análisis de la vida útil implicará una gran cantidad de datos para numerosos escenarios. Algunos datos se recopilarán in situ, algunos se calcularán y otros se estimarán. Los datos utilizados en un análisis de la vida útil serán, por lo tanto, datos con un cierto nivel de incertidumbre. De este modo, el resultado de un análisis de la vida útil será más o menos sensible a las variaciones de los datos de entrada.</w:t>
      </w:r>
      <w:r>
        <w:rPr>
          <w:rFonts w:ascii="Times New Roman" w:hAnsi="Times New Roman"/>
          <w:sz w:val="24"/>
        </w:rPr>
        <w:br/>
        <w:t>El artículo 8 de la presente Orden exige que los impactos medioambientales de los declarantes que utilizan la misma declaración medioambiental colectiva sean homogéneos. Así pues, una declaración medioambiental colectiva abarcará los productos homogéneos desde el punto de vista medioambiental si es posible garantizar que todos los productos cubiertos declaren impactos medioambientales por debajo de un valor límite cuando cumplan el marco de validez asociado a esa declaración medioambiental colectiva.</w:t>
      </w:r>
      <w:r>
        <w:rPr>
          <w:rFonts w:ascii="Times New Roman" w:hAnsi="Times New Roman"/>
          <w:sz w:val="24"/>
        </w:rPr>
        <w:br/>
        <w:t>Se acepta que esta homogeneidad solo deba demostrarse para determinados indicadores de control.</w:t>
      </w:r>
      <w:r>
        <w:rPr>
          <w:rFonts w:ascii="Times New Roman" w:hAnsi="Times New Roman"/>
          <w:sz w:val="24"/>
        </w:rPr>
        <w:br/>
        <w:t xml:space="preserve">En el caso de los indicadores derivados de un análisis de la vida útil, la demostración </w:t>
      </w:r>
      <w:r>
        <w:rPr>
          <w:rFonts w:ascii="Times New Roman" w:hAnsi="Times New Roman"/>
          <w:sz w:val="24"/>
        </w:rPr>
        <w:lastRenderedPageBreak/>
        <w:t>de la homogeneidad se realizará mediante un estudio de sensibilidad de los parámetros inciertos y los parámetros que varían de un declarante a otro. Se recomienda encarecidamente que este estudio se lleve a cabo en una fase muy temprana del proceso del análisis de la vida útil y que la declaración medioambiental colectiva se base en dicho estudio.</w:t>
      </w:r>
      <w:r>
        <w:rPr>
          <w:rFonts w:ascii="Times New Roman" w:hAnsi="Times New Roman"/>
          <w:sz w:val="24"/>
        </w:rPr>
        <w:br/>
        <w:t>2. Estudio de sensibilidad</w:t>
      </w:r>
      <w:r>
        <w:rPr>
          <w:rFonts w:ascii="Times New Roman" w:hAnsi="Times New Roman"/>
          <w:sz w:val="24"/>
        </w:rPr>
        <w:br/>
        <w:t>Un estudio de sensibilidad del análisis de la vida útil deberá incluir las siguientes etapas:</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selección de los indicadores de control;</w:t>
      </w:r>
      <w:r>
        <w:rPr>
          <w:rFonts w:ascii="Times New Roman" w:hAnsi="Times New Roman"/>
          <w:sz w:val="24"/>
        </w:rPr>
        <w:br/>
        <w:t>b) identificación de los parámetros sensibles: estudio de la contribución para identificar los parámetros de entrada que más contribuyen a explicar el valor de los indicadores de control (resultados del análisis de la vida útil);</w:t>
      </w:r>
      <w:r>
        <w:rPr>
          <w:rFonts w:ascii="Times New Roman" w:hAnsi="Times New Roman"/>
          <w:sz w:val="24"/>
        </w:rPr>
        <w:br/>
        <w:t>c) determinación de los rangos de variación de los parámetros sensibles (límites de intervalo y posiblemente distribución estadística);</w:t>
      </w:r>
      <w:r>
        <w:rPr>
          <w:rFonts w:ascii="Times New Roman" w:hAnsi="Times New Roman"/>
          <w:sz w:val="24"/>
        </w:rPr>
        <w:br/>
        <w:t>d) simulaciones parametrizadas basadas en las etapas de las letras b) y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El estudio de sensibilidad podrá ser iterativo. El resultado del estudio de sensibilidad deberá ser:</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una lista de factores que influyen en los resultados del análisis de la vida útil (parámetros sensibles) y sus dominios de variación autorizados (esta lista constituye el dominio de la validez);</w:t>
      </w:r>
      <w:r>
        <w:rPr>
          <w:rFonts w:ascii="Times New Roman" w:hAnsi="Times New Roman"/>
          <w:sz w:val="24"/>
        </w:rPr>
        <w:br/>
        <w:t>b) para cada indicador de control, un rango de variación probable (intervalo de confianza del 95 %) de los valores de indicadores, obtenidos por las simulaciones parametrizadas.</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Etapa 1: selección de los indicadores de control</w:t>
      </w:r>
      <w:r>
        <w:rPr>
          <w:rFonts w:ascii="Times New Roman" w:hAnsi="Times New Roman"/>
          <w:sz w:val="24"/>
        </w:rPr>
        <w:br/>
        <w:t>La selección de los indicadores de control deberá ser razonable. Podrán elegirse caso por caso entre los mencionados en el artículo 3 de la presente Orden. Su selección deberá estar justificada. Deberán estudiarse, como mínimo, los siguientes indicadores:</w:t>
      </w:r>
    </w:p>
    <w:p w14:paraId="3EA16B40" w14:textId="2ABD020B"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calentamiento global,</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utilización de energía primaria no renovable, con exclusión de los recursos energéticos primarios no renovables utilizados como materias primas,</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residuos no peligrosos eliminados.</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Etapa 2: identificación de los parámetros sensibles</w:t>
      </w:r>
      <w:r>
        <w:rPr>
          <w:rFonts w:ascii="Times New Roman" w:hAnsi="Times New Roman"/>
          <w:sz w:val="24"/>
        </w:rPr>
        <w:br/>
        <w:t>Deberá realizarse un análisis de los parámetros sensibles para cada indicador de control. Con este fin, se propone que, como enfoque inicial, los impactos se dividan en función de los procesos incluidos en la vida útil. Este análisis deberá basarse en el escenario de referencia descrito en el estudio de sensibilidad.</w:t>
      </w:r>
      <w:r>
        <w:rPr>
          <w:rFonts w:ascii="Times New Roman" w:hAnsi="Times New Roman"/>
          <w:sz w:val="24"/>
        </w:rPr>
        <w:br/>
        <w:t>Se recomienda tener en cuenta todos los procesos con:</w:t>
      </w:r>
    </w:p>
    <w:p w14:paraId="76853F55"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 una contribución superior al 5 % a uno de los indicadores de control en el escenario de referencia,</w:t>
      </w:r>
      <w:r>
        <w:rPr>
          <w:rFonts w:ascii="Times New Roman" w:hAnsi="Times New Roman"/>
          <w:sz w:val="24"/>
        </w:rPr>
        <w:br/>
        <w:t>- o impactos acumulativos que representen al menos el 80 % de los impactos de uno de los indicadores de control.</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continuación, deberán identificarse los parámetros (entrada o salida del proceso, parámetro interior de modelización del proceso) del modelo de análisis de la vida útil que cambian esta contribución. Estos son los parámetros que se consideran sensibles.</w:t>
      </w:r>
      <w:r>
        <w:rPr>
          <w:rFonts w:ascii="Times New Roman" w:hAnsi="Times New Roman"/>
          <w:sz w:val="24"/>
        </w:rPr>
        <w:br/>
        <w:t>Al final de este estudio, el declarante tendrá una lista de los procesos que más contribuyen a los indicadores de control a lo largo de toda la vida útil y una lista de parámetros sensibles.</w:t>
      </w:r>
      <w:r>
        <w:rPr>
          <w:rFonts w:ascii="Times New Roman" w:hAnsi="Times New Roman"/>
          <w:sz w:val="24"/>
        </w:rPr>
        <w:br/>
        <w:t>Etapa 3: determinación de los rangos de variación de los parámetros sensibles</w:t>
      </w:r>
      <w:r>
        <w:rPr>
          <w:rFonts w:ascii="Times New Roman" w:hAnsi="Times New Roman"/>
          <w:sz w:val="24"/>
        </w:rPr>
        <w:br/>
        <w:t>Esta etapa consiste en definir el rango de variación de cada parámetro sensible. Este rango deberá proponerse, como mínimo, en forma de intervalos. Si se conoce, podrá preverse una ley para la distribución del parámetro en el intervalo definido anteriormente.</w:t>
      </w:r>
      <w:r>
        <w:rPr>
          <w:rFonts w:ascii="Times New Roman" w:hAnsi="Times New Roman"/>
          <w:sz w:val="24"/>
        </w:rPr>
        <w:br/>
        <w:t>Después de esta etapa, cada parámetro sensible se asociará con un rango de variación.</w:t>
      </w:r>
      <w:r>
        <w:rPr>
          <w:rFonts w:ascii="Times New Roman" w:hAnsi="Times New Roman"/>
          <w:sz w:val="24"/>
        </w:rPr>
        <w:br/>
        <w:t>Etapa 4: cálculo de la variabilidad de los indicadores Sobre la base de las etapas 2 y 3, esta etapa consistirá en utilizar un método matemático adecuado para determinar los rangos de variación de los indicadores (valores máximos, valores medios y valores mínimos) al someter el modelo de análisis de la vida útil a variaciones en parámetros sensibles.</w:t>
      </w:r>
      <w:r>
        <w:rPr>
          <w:rFonts w:ascii="Times New Roman" w:hAnsi="Times New Roman"/>
          <w:sz w:val="24"/>
        </w:rPr>
        <w:br/>
        <w:t>El resultado de la etapa 4 es un conjunto de rangos de valores tomados por cada uno de los indicadores cubiertos por el estudio de sensibilidad.</w:t>
      </w:r>
      <w:r>
        <w:rPr>
          <w:rFonts w:ascii="Times New Roman" w:hAnsi="Times New Roman"/>
          <w:sz w:val="24"/>
        </w:rPr>
        <w:br/>
        <w:t>El cálculo de la variabilidad de los indicadores cubrirá al menos los parámetros sensibles relacionados con los elementos previstos en el artículo 8 de la presente Orden.</w:t>
      </w:r>
      <w:r>
        <w:rPr>
          <w:rFonts w:ascii="Times New Roman" w:hAnsi="Times New Roman"/>
          <w:sz w:val="24"/>
        </w:rPr>
        <w:br/>
        <w:t>Las etapas 3 y 4 podrán realizarse por iteración para adaptar el rango de parámetros sensibles a las condiciones de homogeneidad requeridas.</w:t>
      </w:r>
      <w:r>
        <w:rPr>
          <w:rFonts w:ascii="Times New Roman" w:hAnsi="Times New Roman"/>
          <w:sz w:val="24"/>
        </w:rPr>
        <w:br/>
        <w:t>Informe del estudio de sensibilidad</w:t>
      </w:r>
      <w:r>
        <w:rPr>
          <w:rFonts w:ascii="Times New Roman" w:hAnsi="Times New Roman"/>
          <w:sz w:val="24"/>
        </w:rPr>
        <w:br/>
        <w:t>El informe deberá incluir los elementos correspondientes a las cuatro etapas del estudio de sensibilidad y el resultado final del estudio de sensibilidad, incluido el dominio de la validez de la declaración medioambiental colectiva y los rangos de variación de los indicadores de control.</w:t>
      </w:r>
      <w:r>
        <w:rPr>
          <w:rFonts w:ascii="Times New Roman" w:hAnsi="Times New Roman"/>
          <w:sz w:val="24"/>
        </w:rPr>
        <w:br/>
        <w:t>3. Estudio de sensibilidad y valores medioambientales declarados</w:t>
      </w:r>
      <w:r>
        <w:rPr>
          <w:rFonts w:ascii="Times New Roman" w:hAnsi="Times New Roman"/>
          <w:sz w:val="24"/>
        </w:rPr>
        <w:br/>
        <w:t>Los resultados del estudio de sensibilidad condicionarán los valores medioambientales comunicados en la declaración medioambiental colectiva, tal como se especifica en el artículo 8 de la presente Orden.</w:t>
      </w:r>
      <w:r>
        <w:rPr>
          <w:rFonts w:ascii="Times New Roman" w:hAnsi="Times New Roman"/>
          <w:sz w:val="24"/>
        </w:rPr>
        <w:br/>
        <w:t xml:space="preserve">Cuando el valor máximo (o máximo al 95 % de confianza, si se utiliza un enfoque estadístico) del rango de variación de cada indicador del impacto medioambiental sea inferior o igual al valor medio del indicador multiplicado por un valor límite (especificado en el artículo 8 de la presente Orden), los valores de los indicadores del impacto medioambiental declarados se calcularán con los valores medios de los parámetros sensibles. En caso contrario, es decir, si al menos uno de los indicadores del impacto medioambiental tiene un valor máximo superior al valor medio del indicador multiplicado por un valor límite (especificado en el artículo 8 de la presente Orden), deberá declararse el límite menos favorable (el valor máximo que puede alcanzar el indicador si refleja un gasto y el valor mínimo si refleja un beneficio). Si </w:t>
      </w:r>
      <w:r>
        <w:rPr>
          <w:rFonts w:ascii="Times New Roman" w:hAnsi="Times New Roman"/>
          <w:sz w:val="24"/>
        </w:rPr>
        <w:lastRenderedPageBreak/>
        <w:t>los indicadores reflejan un gasto, este límite corresponderá al valor de los indicadores obtenidos cuando se utilizan los valores máximos (o los valores máximos con una probabilidad del 95 %, si se utiliza un enfoque estadístico) de los parámetros sensibles.</w:t>
      </w:r>
      <w:r>
        <w:rPr>
          <w:rFonts w:ascii="Times New Roman" w:hAnsi="Times New Roman"/>
          <w:sz w:val="24"/>
        </w:rPr>
        <w:br/>
        <w:t>4. Identificación precisa de los productos objeto de una declaración</w:t>
      </w:r>
      <w:r>
        <w:rPr>
          <w:rFonts w:ascii="Times New Roman" w:hAnsi="Times New Roman"/>
          <w:sz w:val="24"/>
        </w:rPr>
        <w:br/>
        <w:t>Para determinar si es probable que un producto esté cubierto por una declaración medioambiental colectiva, será necesario determinar si el producto es similar al producto estándar cubierto y si el declarante de dicho producto está autorizado a utilizar esta declaración medioambiental colectiva.</w:t>
      </w:r>
      <w:r>
        <w:rPr>
          <w:rFonts w:ascii="Times New Roman" w:hAnsi="Times New Roman"/>
          <w:sz w:val="24"/>
        </w:rPr>
        <w:br/>
        <w:t>Identificación del producto estándar</w:t>
      </w:r>
      <w:r>
        <w:rPr>
          <w:rFonts w:ascii="Times New Roman" w:hAnsi="Times New Roman"/>
          <w:sz w:val="24"/>
        </w:rPr>
        <w:br/>
        <w:t>El producto estándar deberá definirse y describirse correctamente para facilitar la conciliación entre la descripción de un producto y la del producto estándar. La descripción del producto estándar deberá incluir, como mínimo, lo siguiente:</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una lista de los principales componentes o los materiales predominantes;</w:t>
      </w:r>
      <w:r>
        <w:rPr>
          <w:rFonts w:ascii="Times New Roman" w:hAnsi="Times New Roman"/>
          <w:sz w:val="24"/>
        </w:rPr>
        <w:br/>
        <w:t>b) información sobre la funcionalidad o el nivel de rendimiento.</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Esta identificación deberá ser suficiente para averiguar de manera rápida e inequívoca si un producto concreto puede estar cubierto por la declaración colectiva.</w:t>
      </w:r>
      <w:r>
        <w:rPr>
          <w:rFonts w:ascii="Times New Roman" w:hAnsi="Times New Roman"/>
          <w:sz w:val="24"/>
        </w:rPr>
        <w:br/>
        <w:t>Identificación de los declarantes que pueden utilizar la declaración medioambiental colectiva</w:t>
      </w:r>
      <w:r>
        <w:rPr>
          <w:rFonts w:ascii="Times New Roman" w:hAnsi="Times New Roman"/>
          <w:sz w:val="24"/>
        </w:rPr>
        <w:br/>
        <w:t>Dado que la declaración medioambiental colectiva es propiedad y responsabilidad de una colectividad, esta podrá decidir que solo determinados declarantes pueden utilizar la declaración medioambiental colectiva.</w:t>
      </w:r>
      <w:r>
        <w:rPr>
          <w:rFonts w:ascii="Times New Roman" w:hAnsi="Times New Roman"/>
          <w:sz w:val="24"/>
        </w:rPr>
        <w:br/>
        <w:t>Deberá facilitarse una lista de los declarantes autorizados a utilizar una declaración medioambiental colectiva:</w:t>
      </w:r>
    </w:p>
    <w:p w14:paraId="2AB81917" w14:textId="3F61BD0C"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en forma de una lista exhaustiva de nombres, o</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en forma de condición de pertenencia a una colectividad (asociación, sindicato, signatarios de una carta de buenas prácticas, etc.). En este caso, la lista de miembros de esa colectividad deberá estar a disposición del público.</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Contenido del marco de validez</w:t>
      </w:r>
      <w:r>
        <w:rPr>
          <w:rFonts w:ascii="Times New Roman" w:hAnsi="Times New Roman"/>
          <w:sz w:val="24"/>
        </w:rPr>
        <w:br/>
        <w:t>El marco de validez contendrá, como mínimo:</w:t>
      </w:r>
    </w:p>
    <w:p w14:paraId="76B32132" w14:textId="36365F21"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la identificación del producto estándar (obligatorio),</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los productos cubiertos por la declaración medioambiental colectiva,</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la identificación de los declarantes que pueden utilizar la declaración medioambiental colectiva,</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el informe del estudio de sensibilidad, con el rango de validez y la prueba de que los valores declarados de los indicadores son homogéneos.</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Utilización del marco de validez</w:t>
      </w:r>
      <w:r>
        <w:rPr>
          <w:rFonts w:ascii="Times New Roman" w:hAnsi="Times New Roman"/>
          <w:sz w:val="24"/>
        </w:rPr>
        <w:br/>
      </w:r>
      <w:r>
        <w:rPr>
          <w:rFonts w:ascii="Times New Roman" w:hAnsi="Times New Roman"/>
          <w:sz w:val="24"/>
        </w:rPr>
        <w:lastRenderedPageBreak/>
        <w:t>Para que un declarante pueda utilizar una declaración medioambiental colectiva para su producto, deberá justificar que:</w:t>
      </w:r>
    </w:p>
    <w:p w14:paraId="0B262F36" w14:textId="1473A1E3"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su producto es conforme al «producto estándar» objeto de la declaración medioambiental colectiva,</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figura en la lista de declarantes autorizados para la declaración medioambiental colectiva en cuestión,</w:t>
      </w:r>
      <w:r>
        <w:rPr>
          <w:rFonts w:ascii="Times New Roman" w:hAnsi="Times New Roman"/>
          <w:sz w:val="24"/>
        </w:rPr>
        <w:br/>
      </w:r>
      <w:r w:rsidR="00EE73CC">
        <w:rPr>
          <w:rFonts w:ascii="Times New Roman" w:hAnsi="Times New Roman"/>
          <w:sz w:val="24"/>
        </w:rPr>
        <w:t xml:space="preserve">- </w:t>
      </w:r>
      <w:r>
        <w:rPr>
          <w:rFonts w:ascii="Times New Roman" w:hAnsi="Times New Roman"/>
          <w:sz w:val="24"/>
        </w:rPr>
        <w:t>cumple el rango de validez de la declaración medioambiental colectiva en cuestión.</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 14 de diciembre de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La </w:t>
      </w:r>
      <w:proofErr w:type="gramStart"/>
      <w:r>
        <w:rPr>
          <w:rFonts w:ascii="Times New Roman" w:hAnsi="Times New Roman"/>
          <w:sz w:val="24"/>
        </w:rPr>
        <w:t>Ministra Delegada</w:t>
      </w:r>
      <w:proofErr w:type="gramEnd"/>
      <w:r>
        <w:rPr>
          <w:rFonts w:ascii="Times New Roman" w:hAnsi="Times New Roman"/>
          <w:sz w:val="24"/>
        </w:rPr>
        <w:t xml:space="preserve"> de la Transición Ecológica, responsable por la Vivienda,</w:t>
      </w:r>
      <w:r>
        <w:rPr>
          <w:rFonts w:ascii="Times New Roman" w:hAnsi="Times New Roman"/>
          <w:sz w:val="24"/>
        </w:rPr>
        <w:br/>
        <w:t>En nombre de la Ministra y por delegación:</w:t>
      </w:r>
      <w:r>
        <w:rPr>
          <w:rFonts w:ascii="Times New Roman" w:hAnsi="Times New Roman"/>
          <w:sz w:val="24"/>
        </w:rPr>
        <w:br/>
        <w:t>El Director de Vivienda, Desarrollo Urbano y Paisajes,</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La </w:t>
      </w:r>
      <w:proofErr w:type="gramStart"/>
      <w:r>
        <w:rPr>
          <w:rFonts w:ascii="Times New Roman" w:hAnsi="Times New Roman"/>
          <w:sz w:val="24"/>
        </w:rPr>
        <w:t>Ministra</w:t>
      </w:r>
      <w:proofErr w:type="gramEnd"/>
      <w:r>
        <w:rPr>
          <w:rFonts w:ascii="Times New Roman" w:hAnsi="Times New Roman"/>
          <w:sz w:val="24"/>
        </w:rPr>
        <w:t xml:space="preserve"> de la Transición Ecológica,</w:t>
      </w:r>
      <w:r>
        <w:rPr>
          <w:rFonts w:ascii="Times New Roman" w:hAnsi="Times New Roman"/>
          <w:sz w:val="24"/>
        </w:rPr>
        <w:br/>
        <w:t>En nombre de la Ministra y por delegación:</w:t>
      </w:r>
      <w:r>
        <w:rPr>
          <w:rFonts w:ascii="Times New Roman" w:hAnsi="Times New Roman"/>
          <w:sz w:val="24"/>
        </w:rPr>
        <w:br/>
        <w:t>El Director de Vivienda, Desarrollo Urbano y Paisajes,</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97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F2E4D"/>
    <w:rsid w:val="004C6E58"/>
    <w:rsid w:val="00657670"/>
    <w:rsid w:val="00B77F10"/>
    <w:rsid w:val="00D64750"/>
    <w:rsid w:val="00EE73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7734</Words>
  <Characters>44316</Characters>
  <Application>Microsoft Office Word</Application>
  <DocSecurity>0</DocSecurity>
  <Lines>3693</Lines>
  <Paragraphs>826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2022-05-04T11:10:00Z</dcterms:created>
  <dcterms:modified xsi:type="dcterms:W3CDTF">2022-05-04T11:10:00Z</dcterms:modified>
</cp:coreProperties>
</file>