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Besluit van 14 december 2021 betreffende de milieuverklaring van producten die bestemd zijn voor gebruik in gebouwen en de milieuverklaring van de producten die worden gebruikt voor de berekening van de milieuprestaties van gebouwen</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JORF-nr. 0296 van 21 december 2021</w:t>
      </w:r>
      <w:r>
        <w:rPr>
          <w:rFonts w:ascii="Times New Roman" w:hAnsi="Times New Roman"/>
          <w:sz w:val="24"/>
        </w:rPr>
        <w:br/>
        <w:t>Tekstnr.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Bijlage</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Bijlage</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Bijlage</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Bijlage</w:t>
      </w:r>
    </w:p>
    <w:p w14:paraId="06845229" w14:textId="1F5A9654"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Betrokken doelgroepen: registranten die te maken hebben met bouw- en decoratieproducten, alsook met elektrische, elektronische en klimaattechnische apparatuur bedoeld voor gebruik in bouwwerkzaamheden of die wordt gebruikt om de milieuprestaties van gebouwen te berekenen. </w:t>
      </w:r>
      <w:r>
        <w:rPr>
          <w:rFonts w:ascii="Times New Roman" w:hAnsi="Times New Roman"/>
          <w:sz w:val="24"/>
        </w:rPr>
        <w:br/>
        <w:t xml:space="preserve">Doelstelling: om de toepassing te specificeren van de artikelen R. 171-14 tot en met R. 171-22 en de artikelen R. 171-23 tot en met R. 171-31 van de Code inzake Bouw en Huisvesting. </w:t>
      </w:r>
      <w:r>
        <w:rPr>
          <w:rFonts w:ascii="Times New Roman" w:hAnsi="Times New Roman"/>
          <w:sz w:val="24"/>
        </w:rPr>
        <w:br/>
        <w:t xml:space="preserve">Inwerkingtreding: de tekst treedt in werking op 1 januari 2022. </w:t>
      </w:r>
      <w:r>
        <w:rPr>
          <w:rFonts w:ascii="Times New Roman" w:hAnsi="Times New Roman"/>
          <w:sz w:val="24"/>
        </w:rPr>
        <w:br/>
        <w:t xml:space="preserve">Opmerking: het doel van het besluit is het specificeren van de toepassing van de artikelen R. 171-14 tot en met R. 171-22 en de artikelen R. 171-23 tot en met R. 171-31 van de Code inzake Bouw en Huisvesting. </w:t>
      </w:r>
      <w:r>
        <w:rPr>
          <w:rFonts w:ascii="Times New Roman" w:hAnsi="Times New Roman"/>
          <w:sz w:val="24"/>
        </w:rPr>
        <w:br/>
        <w:t xml:space="preserve">Het besluit bepaalt: </w:t>
      </w:r>
      <w:r>
        <w:rPr>
          <w:rFonts w:ascii="Times New Roman" w:hAnsi="Times New Roman"/>
          <w:sz w:val="24"/>
        </w:rPr>
        <w:br/>
      </w:r>
      <w:r w:rsidR="00392390">
        <w:rPr>
          <w:rFonts w:ascii="Times New Roman" w:hAnsi="Times New Roman"/>
          <w:sz w:val="24"/>
        </w:rPr>
        <w:t>-</w:t>
      </w:r>
      <w:r>
        <w:rPr>
          <w:rFonts w:ascii="Times New Roman" w:hAnsi="Times New Roman"/>
          <w:sz w:val="24"/>
        </w:rPr>
        <w:t xml:space="preserve"> nadere gegevens over de informatie bedoeld in artikel R. 171-17 van de Code inzake Bouw en Huisvesting; </w:t>
      </w:r>
      <w:r>
        <w:rPr>
          <w:rFonts w:ascii="Times New Roman" w:hAnsi="Times New Roman"/>
          <w:sz w:val="24"/>
        </w:rPr>
        <w:br/>
      </w:r>
      <w:r w:rsidR="00392390">
        <w:rPr>
          <w:rFonts w:ascii="Times New Roman" w:hAnsi="Times New Roman"/>
          <w:sz w:val="24"/>
        </w:rPr>
        <w:t>-</w:t>
      </w:r>
      <w:r>
        <w:rPr>
          <w:rFonts w:ascii="Times New Roman" w:hAnsi="Times New Roman"/>
          <w:sz w:val="24"/>
        </w:rPr>
        <w:t xml:space="preserve"> de berekeningsmethoden van de indicatoren bedoeld in artikel R. 171-17 van de Code inzake Bouw en Huisvesting; </w:t>
      </w:r>
      <w:r>
        <w:rPr>
          <w:rFonts w:ascii="Times New Roman" w:hAnsi="Times New Roman"/>
          <w:sz w:val="24"/>
        </w:rPr>
        <w:br/>
      </w:r>
      <w:r w:rsidR="00392390">
        <w:rPr>
          <w:rFonts w:ascii="Times New Roman" w:hAnsi="Times New Roman"/>
          <w:sz w:val="24"/>
        </w:rPr>
        <w:t>-</w:t>
      </w:r>
      <w:r>
        <w:rPr>
          <w:rFonts w:ascii="Times New Roman" w:hAnsi="Times New Roman"/>
          <w:sz w:val="24"/>
        </w:rPr>
        <w:t xml:space="preserve"> de elementen, zoals bedoeld in artikel R. 171-21 van de Code inzake Bouw en Huisvesting, ter rechtvaardiging van de informatie in de milieuverklaring; </w:t>
      </w:r>
      <w:r>
        <w:rPr>
          <w:rFonts w:ascii="Times New Roman" w:hAnsi="Times New Roman"/>
          <w:sz w:val="24"/>
        </w:rPr>
        <w:br/>
      </w:r>
      <w:r w:rsidR="00392390">
        <w:rPr>
          <w:rFonts w:ascii="Times New Roman" w:hAnsi="Times New Roman"/>
          <w:sz w:val="24"/>
        </w:rPr>
        <w:t>-</w:t>
      </w:r>
      <w:r>
        <w:rPr>
          <w:rFonts w:ascii="Times New Roman" w:hAnsi="Times New Roman"/>
          <w:sz w:val="24"/>
        </w:rPr>
        <w:t xml:space="preserve"> waar het adres van de databank(en) waar de milieuverklaringen, zoals bedoeld in artikel R. 171-17 van de Code inzake Bouw en Huisvesting, in bezit van een verificatiecertificaat, zoals bedoeld in artikel R. 171-18 van de Code inzake Bouw en Huisvesting, voor het publiek beschikbaar wordt gesteld, is ingevuld; </w:t>
      </w:r>
      <w:r>
        <w:rPr>
          <w:rFonts w:ascii="Times New Roman" w:hAnsi="Times New Roman"/>
          <w:sz w:val="24"/>
        </w:rPr>
        <w:br/>
      </w:r>
      <w:r w:rsidR="00392390">
        <w:rPr>
          <w:rFonts w:ascii="Times New Roman" w:hAnsi="Times New Roman"/>
          <w:sz w:val="24"/>
        </w:rPr>
        <w:t>-</w:t>
      </w:r>
      <w:r>
        <w:rPr>
          <w:rFonts w:ascii="Times New Roman" w:hAnsi="Times New Roman"/>
          <w:sz w:val="24"/>
        </w:rPr>
        <w:t xml:space="preserve"> de voorwaarden voor het opstellen van collectieve milieuverklaringen betreffende bouw- of decoratieproducten of uitrusting door meerdere registranten; </w:t>
      </w:r>
      <w:r>
        <w:rPr>
          <w:rFonts w:ascii="Times New Roman" w:hAnsi="Times New Roman"/>
          <w:sz w:val="24"/>
        </w:rPr>
        <w:br/>
      </w:r>
      <w:r w:rsidR="00392390">
        <w:rPr>
          <w:rFonts w:ascii="Times New Roman" w:hAnsi="Times New Roman"/>
          <w:sz w:val="24"/>
        </w:rPr>
        <w:t>-</w:t>
      </w:r>
      <w:r>
        <w:rPr>
          <w:rFonts w:ascii="Times New Roman" w:hAnsi="Times New Roman"/>
          <w:sz w:val="24"/>
        </w:rPr>
        <w:t xml:space="preserve"> de voorwaarden voor het opstellen van aangiften voor bouw- en decoratieproducten of uitrusting. </w:t>
      </w:r>
      <w:r>
        <w:rPr>
          <w:rFonts w:ascii="Times New Roman" w:hAnsi="Times New Roman"/>
          <w:sz w:val="24"/>
        </w:rPr>
        <w:br/>
        <w:t xml:space="preserve">Verwijzingen: de bij dit besluit ingevoerde of gewijzigde teksten kunnen in hun uit deze wijziging voortvloeiende formulering worden geraadpleegd op de website van Légifrance (https://www.legifrance.gouv.fr). </w:t>
      </w:r>
    </w:p>
    <w:p w14:paraId="1D50A1A0" w14:textId="3B26D3DE"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De minister van Ecologische Transitie en de met huisvesting belaste Geassocieerde </w:t>
      </w:r>
      <w:r w:rsidR="00C879EF">
        <w:rPr>
          <w:rFonts w:ascii="Times New Roman" w:hAnsi="Times New Roman"/>
          <w:sz w:val="24"/>
        </w:rPr>
        <w:t>m</w:t>
      </w:r>
      <w:r>
        <w:rPr>
          <w:rFonts w:ascii="Times New Roman" w:hAnsi="Times New Roman"/>
          <w:sz w:val="24"/>
        </w:rPr>
        <w:t xml:space="preserve">inister, </w:t>
      </w:r>
      <w:r>
        <w:rPr>
          <w:rFonts w:ascii="Times New Roman" w:hAnsi="Times New Roman"/>
          <w:sz w:val="24"/>
        </w:rPr>
        <w:lastRenderedPageBreak/>
        <w:t>gebonden aan de Minister van Ecologische Transitie,</w:t>
      </w:r>
      <w:r>
        <w:rPr>
          <w:rFonts w:ascii="Times New Roman" w:hAnsi="Times New Roman"/>
          <w:sz w:val="24"/>
        </w:rPr>
        <w:br/>
        <w:t>Gezien Richtlijn (EU) 2015/1535 van het Europees Parlement en de Raad van 9 september 2015 betreffende een informatieprocedure op het gebied van technische voorschriften en regels betreffende de diensten van de informatiemaatschappij en Kennisgevingnr. 2021/257/F, gericht aan de Europese Commissie op 28 april 2021 en het antwoord daarop op 29 juli 2021;</w:t>
      </w:r>
      <w:r>
        <w:rPr>
          <w:rFonts w:ascii="Times New Roman" w:hAnsi="Times New Roman"/>
          <w:sz w:val="24"/>
        </w:rPr>
        <w:br/>
        <w:t>Gezien de Consumentencode, en met name artikel L. 412-1, punt 10, daarvan;</w:t>
      </w:r>
      <w:r>
        <w:rPr>
          <w:rFonts w:ascii="Times New Roman" w:hAnsi="Times New Roman"/>
          <w:sz w:val="24"/>
        </w:rPr>
        <w:br/>
        <w:t>Gezien de Code inzake Bouw en Huisvesting, en met name de artikelen R. 171-14 tot en met R. 171-31 daarvan;</w:t>
      </w:r>
      <w:r>
        <w:rPr>
          <w:rFonts w:ascii="Times New Roman" w:hAnsi="Times New Roman"/>
          <w:sz w:val="24"/>
        </w:rPr>
        <w:br/>
        <w:t>Gezien het advies van de Hoge Raad inzake bouw en energie-efficiëntie van 13 april 2021;</w:t>
      </w:r>
      <w:r>
        <w:rPr>
          <w:rFonts w:ascii="Times New Roman" w:hAnsi="Times New Roman"/>
          <w:sz w:val="24"/>
        </w:rPr>
        <w:br/>
        <w:t>Gezien de opmerkingen die zijn gemaakt tijdens de openbare raadpleging van 18 mei tot 8 juni 2021, overeenkomstig artikel L. 123-19-1 van de milieucode;</w:t>
      </w:r>
      <w:r>
        <w:rPr>
          <w:rFonts w:ascii="Times New Roman" w:hAnsi="Times New Roman"/>
          <w:sz w:val="24"/>
        </w:rPr>
        <w:br/>
        <w:t>Gelast hierbij het volgende:</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bepalingen van dit besluit zijn van toepassing op bouwproducten, decoratieproducten en elektrische, elektronische en klimaattechnische apparatuur, bedoeld in artikel R. 171-14 van de Code inzake Bouw en Huisvesting en artikel R. 171-23 van de Code inzake Bouw en Huisvesting.</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Voor de toepassing van dit besluit gelden de volgende definities:</w:t>
      </w:r>
      <w:r>
        <w:rPr>
          <w:rFonts w:ascii="Times New Roman" w:hAnsi="Times New Roman"/>
          <w:sz w:val="24"/>
        </w:rPr>
        <w:br/>
        <w:t>"Toewijsbare verklaring": milieuverklaring met regels voor de aanpassing van de daarin vermelde informatie aan een bepaald product en een computerinstrument om die regels toe te passen.</w:t>
      </w:r>
      <w:r>
        <w:rPr>
          <w:rFonts w:ascii="Times New Roman" w:hAnsi="Times New Roman"/>
          <w:sz w:val="24"/>
        </w:rPr>
        <w:br/>
        <w:t>In de volgende artikelen wordt onder "declarant" verstaan "declarant", zoals gedefinieerd in artikel R. 171-15 van de Code inzake Bouw en Huisvesting of binnen de betekenis van "verantwoordelijk voor het op de markt brengen" zoals gedefinieerd in artikel R. 171-24 van de Code inzake Bouw en Huisvesting.</w:t>
      </w:r>
      <w:r>
        <w:rPr>
          <w:rFonts w:ascii="Times New Roman" w:hAnsi="Times New Roman"/>
          <w:sz w:val="24"/>
        </w:rPr>
        <w:br/>
        <w:t>In de volgende artikelen wordt onder "product" verstaan "bouwproducten", "decoratieproducten" en "elektrische, elektronische en klimaattechnische apparatuur", zoals gedefinieerd in artikel R. 171-15 van de Code inzake Bouw en Huisvesting.</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milieuverklaring bevat de informatie als bedoeld in artikel R. 171-17 va de Code inzake Bouw en Huisvesting.</w:t>
      </w:r>
      <w:r>
        <w:rPr>
          <w:rFonts w:ascii="Times New Roman" w:hAnsi="Times New Roman"/>
          <w:sz w:val="24"/>
        </w:rPr>
        <w:br/>
        <w:t>Krachtens artikel R. 171-17, punt 1, van de Code inzake Bouw en Huisvesting, bevat de milieuverklaring, voor het productiestadium, het stadium van het bouwproces, het gebruiksstadium, het stadium aan het einde van de levensduur en de som van deze stadia, de waarden van de volgende indicatoren:</w:t>
      </w:r>
    </w:p>
    <w:p w14:paraId="1B8C0EF8" w14:textId="393251CC"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beschrijving van de milieueffecten: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de opwarming van de aarde (broeikasgasemissies);</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afbraak van de ozonlaag;</w:t>
      </w:r>
      <w:r>
        <w:rPr>
          <w:rFonts w:ascii="Times New Roman" w:hAnsi="Times New Roman"/>
          <w:sz w:val="24"/>
        </w:rPr>
        <w:br/>
      </w:r>
      <w:r w:rsidR="00392390">
        <w:rPr>
          <w:rFonts w:ascii="Times New Roman" w:hAnsi="Times New Roman"/>
          <w:sz w:val="24"/>
        </w:rPr>
        <w:lastRenderedPageBreak/>
        <w:t xml:space="preserve">- </w:t>
      </w:r>
      <w:r>
        <w:rPr>
          <w:rFonts w:ascii="Times New Roman" w:hAnsi="Times New Roman"/>
          <w:sz w:val="24"/>
        </w:rPr>
        <w:t>verzuring van bodem en water;</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eutrofiëring;</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fotochemische ozonvorming;</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uitputting van abiotische hulpbronnen – elementen;</w:t>
      </w:r>
      <w:r>
        <w:rPr>
          <w:rFonts w:ascii="Times New Roman" w:hAnsi="Times New Roman"/>
          <w:sz w:val="24"/>
        </w:rPr>
        <w:br/>
        <w:t>- uitputting van abiotische hulpbronnen – fossiele brandstoffen.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beschrijving van het gebruik van hulpbronnen: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gebruik van hernieuwbare primaire energie, met uitzondering van hernieuwbare primaire energiebronnen die als grondstof worden gebruikt;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gebruik van hernieuwbare primaire energiebronnen die als grondstof worden gebruikt;</w:t>
      </w:r>
      <w:r>
        <w:rPr>
          <w:rFonts w:ascii="Times New Roman" w:hAnsi="Times New Roman"/>
          <w:sz w:val="24"/>
        </w:rPr>
        <w:br/>
        <w:t>totaal gebruik van hernieuwbare primaire energiebronnen (primaire energie en primaire energiebronnen die als grondstoffen worden gebruikt);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gebruik van niet-hernieuwbare primaire energie, met uitzondering van niet-hernieuwbare primaire energiebronnen die als grondstof worden gebruikt;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gebruik van niet-hernieuwbare primaire energiebronnen die als grondstof worden gebruikt;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totaal gebruik van niet-hernieuwbare primaire energiebronnen (primaire energie en primaire energiebronnen die als grondstoffen worden gebruikt);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gebruik van secundair materiaal;</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gebruik van hernieuwbare secundaire brandstoffen;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gebruik van niet-hernieuwbare secundaire brandstoffen;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netto gebruik van zoet water.</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beschrijving van de categorieën afvalstoffen: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gevaarlijke afvalstoffen die worden verwijderd;</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niet-gevaarlijke afvalstoffen die worden verwijderd;</w:t>
      </w:r>
      <w:r>
        <w:rPr>
          <w:rFonts w:ascii="Times New Roman" w:hAnsi="Times New Roman"/>
          <w:sz w:val="24"/>
        </w:rPr>
        <w:br/>
        <w:t>- radioactief afval dat wordt verwijderd.</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beschrijving van uitgaande stromen: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onderdelen die bestemd zijn voor hergebruik;</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voor recycling bestemde materialen;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materialen die bestemd zijn voor energieterugwinning;</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energie geleverd buitenshuis.</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Krachtens artikel R. 171-17, punt 4, van de Code inzake Bouw en Huisvesting, in geval van een milieuverklaring waarop de eisen van artikel 8 van dit besluit van toepassing zijn, bevat de milieuverklaring de variatiemarges (maximum- en minimumwaarden) van de in artikel 8 van dit besluit gedefinieerde controle-indicatoren.</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registrant houdt alle gegevens of contactgegevens van de natuurlijke of rechtspersonen die deze gegevens bezitten, ter beschikking van de toezichthoudende autoriteiten en de rechtspersoon verantwoordelijk voor de implementatie van een milieuverklaringsprogramma, zoals gedefinieerd in artikel R. 171-21 van de Code inzake Bouw en Huisvesting en in artikel R. 171-26 van de Code inzake Bouw en Huisvesting, ter rechtvaardiging van de informatie in de milieuverklaring.</w:t>
      </w:r>
      <w:r>
        <w:rPr>
          <w:rFonts w:ascii="Times New Roman" w:hAnsi="Times New Roman"/>
          <w:sz w:val="24"/>
        </w:rPr>
        <w:br/>
        <w:t>De hierboven genoemde elementen zijn:</w:t>
      </w:r>
    </w:p>
    <w:p w14:paraId="4D6FBAE8" w14:textId="149F0F2D"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de oorsprong van de grondstoffen, materialen en componenten van het product;</w:t>
      </w:r>
      <w:r>
        <w:rPr>
          <w:rFonts w:ascii="Times New Roman" w:hAnsi="Times New Roman"/>
          <w:sz w:val="24"/>
        </w:rPr>
        <w:br/>
      </w:r>
      <w:r w:rsidR="00392390">
        <w:rPr>
          <w:rFonts w:ascii="Times New Roman" w:hAnsi="Times New Roman"/>
          <w:sz w:val="24"/>
        </w:rPr>
        <w:lastRenderedPageBreak/>
        <w:t xml:space="preserve">- </w:t>
      </w:r>
      <w:r>
        <w:rPr>
          <w:rFonts w:ascii="Times New Roman" w:hAnsi="Times New Roman"/>
          <w:sz w:val="24"/>
        </w:rPr>
        <w:t>identificatie van niet in de levenscyclusinventaris opgenomen inputs overeenkomstig de afbakeningsregel;</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de totale massa van de inputs die niet in de levenscyclusinventaris zijn opgenomen als gevolg van de afbakeningsregel;</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de resultaten van de inventarisberekeningen;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bewijsmateriaal voor de referentielevenscyclus van het product;</w:t>
      </w:r>
      <w:r>
        <w:rPr>
          <w:rFonts w:ascii="Times New Roman" w:hAnsi="Times New Roman"/>
          <w:sz w:val="24"/>
        </w:rPr>
        <w:br/>
        <w:t>- documentatie over hoe technologisch, geografisch en tijdelijk representatief de gebruikte generieke gegevens zijn, referenties van de databanken waaruit zij afkomstig zijn en referenties van de gebruikte gegevensmodules, in het geval dat gebruik moet worden gemaakt van generieke gegevens die afkomstig zijn uit openbare of particuliere databanken;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de scenario’s waarop de levenscyclusinventaris is gebaseerd;</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de productielocatie(s) waarop de milieuverklaring betrekking heeft;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de productie van elke locatie, uitgedrukt in de hoeveelheidseenheid die in de functionele eenheid is gedefinieerd;</w:t>
      </w:r>
      <w:r>
        <w:rPr>
          <w:rFonts w:ascii="Times New Roman" w:hAnsi="Times New Roman"/>
          <w:sz w:val="24"/>
        </w:rPr>
        <w:br/>
        <w:t>- het bewijs dat de gebruikte bemonstering representatief is, met name vanuit geografisch, tijds- en technologisch oogpunt, voor de productie van het product, als er een bemonsteringsmethode wordt gebruikt;</w:t>
      </w:r>
      <w:r>
        <w:rPr>
          <w:rFonts w:ascii="Times New Roman" w:hAnsi="Times New Roman"/>
          <w:sz w:val="24"/>
        </w:rPr>
        <w:br/>
        <w:t>- de bestanddelen van het geldigheidskader voor milieuverklaringen waarop de eisen van artikel 8 van dit besluit van toepassing zijn;</w:t>
      </w:r>
      <w:r>
        <w:rPr>
          <w:rFonts w:ascii="Times New Roman" w:hAnsi="Times New Roman"/>
          <w:sz w:val="24"/>
        </w:rPr>
        <w:br/>
        <w:t>- de samenstellende elementen van de in artikel 10 van dit besluit bedoelde toewijsbare verklaring.</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functionele eenheidsformaten, zoals gedefinieerd in artikel R. 171-15 van de Code inzake Bouw en Huisvesting, voor elke categorie van bouw- en decoratieproducten zijn gedefinieerd in bijlage I van dit besluit.</w:t>
      </w:r>
      <w:r>
        <w:rPr>
          <w:rFonts w:ascii="Times New Roman" w:hAnsi="Times New Roman"/>
          <w:sz w:val="24"/>
        </w:rPr>
        <w:br/>
        <w:t>De formaten van functionele eenheden of opgegeven eenheden, zoals gedefinieerd in artikel R. 171-15 van de Code inzake Bouw en Huisvesting, voor elektrische, elektronische en klimaattechnische apparatuur, zijn gedefinieerd in bijlage II van dit besluit.</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methoden voor het evalueren, berekenen van de informatie en bepalen van de indicatoren zoals bedoeld in artikel R. 171-17, punt 1, 2, 3, 14 en 15, van de Code inzake Bouw en Huisvesting, en opgegeven in artikel 3 van dit besluit, worden verondersteld te voldoen aan de vereisten van dit besluit als ze voldoen aan alle volgende voorwaarden:</w:t>
      </w:r>
    </w:p>
    <w:p w14:paraId="616E0A2A" w14:textId="5F2679EA"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Zij mogen niet leiden tot het weglaten van processen die in totaal meer dan 5 % van de waarde van elk van de genoemde gegevens vertegenwoordigen;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Zij leiden er niet toe dat een product wordt verleend dat onderworpen is aan de milieuverklaring van de voordelen die aan andere producten worden toegekend bij de berekening van de vermelde gegevens, met uitzondering van indicatoren betreffende winsten en uitgaven in verband met de waardebepaling aan het einde van de levensduur;</w:t>
      </w:r>
      <w:r>
        <w:rPr>
          <w:rFonts w:ascii="Times New Roman" w:hAnsi="Times New Roman"/>
          <w:sz w:val="24"/>
        </w:rPr>
        <w:br/>
        <w:t xml:space="preserve">- ze ofwel voldoen aan de NF EN 15804 + A1 norm: 2014-04 of de XP C08-100-1 norm: </w:t>
      </w:r>
      <w:r>
        <w:rPr>
          <w:rFonts w:ascii="Times New Roman" w:hAnsi="Times New Roman"/>
          <w:sz w:val="24"/>
        </w:rPr>
        <w:lastRenderedPageBreak/>
        <w:t>2016-12 of de XP C08-100-1 normen: 2016-12 en EN 50693: 2019-08 normen, of een gelijkwaardige norm;</w:t>
      </w:r>
      <w:r>
        <w:rPr>
          <w:rFonts w:ascii="Times New Roman" w:hAnsi="Times New Roman"/>
          <w:sz w:val="24"/>
        </w:rPr>
        <w:br/>
        <w:t>- ze voldoen aan de in bijlage III van dit besluit omschreven methode voor de berekening van de winsten en uitgaven in verband met de waardebepaling aan het einde van de levensduur.</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Bovendien moeten, voor milieuverklaringen in het bezit van een certificaat van conformiteit met ingang van 1 oktober 2022, wanneer de milieuverklaring betrekking heeft op verschillende manieren om het onder de milieuverklaring vallende product te installeren, de methoden voor de beoordeling en berekening van de bedoelde informatie aan de volgende regels voldoen:</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voor elk van deze installatiemodi worden de volgende controle-indicatoren beoordeeld: klimaatopwarming, niet-hernieuwbaar primair energiegebruik, met uitzondering van niet-hernieuwbare/onvervangbare energiebronnen die als grondstoffen worden gebruikt, verwijderd niet-gevaarlijk afval;</w:t>
      </w:r>
      <w:r>
        <w:rPr>
          <w:rFonts w:ascii="Times New Roman" w:hAnsi="Times New Roman"/>
          <w:sz w:val="24"/>
        </w:rPr>
        <w:br/>
        <w:t>- voor elk van deze controle-indicatoren wordt de voor de som van de in artikel 3 van dit besluit bedoelde stappen verkregen maximumwaarde vergeleken met het gemiddelde van de verkregen waarden (d.w.z. het gemiddelde effect van de verschillende installatiemodi). Indien de maximumwaarde voor een van deze indicatoren groter is dan 1,1 maal de gemiddelde waarde, is het dus de slechtste waarde die moet worden gerapporteerd voor elk van de in de milieuverklaring vermelde indicatoren (d.w.z. de slechtste waarden van de verschillende legmodi). Anders kan de gemiddelde waarde voor elke indicator worden gerapporteerd.</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7</w:t>
      </w:r>
    </w:p>
    <w:p w14:paraId="771B2C89" w14:textId="5C0CF8C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Het/de adres(sen) van de databank(en), zoals bedoeld in artikel R. 171-20 van de Code inzake Bouw en Huisvesting, waar de milieugegevens van de service en standaardmilieugegevens beschikbaar zijn, zoals gedefinieerd in artikel R. 171-16 van de Code inzake Bouw en Huisvesting, evenals de milieuverklaringen, worden verstrekt op de locatie van het voor de bouw verantwoordelijke </w:t>
      </w:r>
      <w:r w:rsidR="00C879EF">
        <w:rPr>
          <w:rFonts w:ascii="Times New Roman" w:hAnsi="Times New Roman"/>
          <w:sz w:val="24"/>
        </w:rPr>
        <w:t>M</w:t>
      </w:r>
      <w:r>
        <w:rPr>
          <w:rFonts w:ascii="Times New Roman" w:hAnsi="Times New Roman"/>
          <w:sz w:val="24"/>
        </w:rPr>
        <w:t>inisterie.</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milieuverklaring kan gebaseerd zijn op een collectieve milieuverklaring van soortgelijke producten van verschillende registranten.</w:t>
      </w:r>
      <w:r>
        <w:rPr>
          <w:rFonts w:ascii="Times New Roman" w:hAnsi="Times New Roman"/>
          <w:sz w:val="24"/>
        </w:rPr>
        <w:br/>
        <w:t>1. Deze collectieve milieuverklaring voldoet aan de volgende voorwaarden:</w:t>
      </w:r>
    </w:p>
    <w:p w14:paraId="7E91553F" w14:textId="053FF26E"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Het gaat om een „standaardproduct”;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Zij wordt vastgesteld onder de in de voorgaande artikelen bedoelde voorwaarden;</w:t>
      </w:r>
      <w:r>
        <w:rPr>
          <w:rFonts w:ascii="Times New Roman" w:hAnsi="Times New Roman"/>
          <w:sz w:val="24"/>
        </w:rPr>
        <w:br/>
        <w:t>- de homogeniteit van parameters die de waarde van elke indicator aanzienlijk beïnvloeden, moet worden gewaarborgd; daartoe bevat de collectieve milieuverklaring een geldigheidskader als omschreven in bijlage IV van dit besluit, waarin de volgende informatie wordt verzameld:</w:t>
      </w:r>
      <w:r>
        <w:rPr>
          <w:rFonts w:ascii="Times New Roman" w:hAnsi="Times New Roman"/>
          <w:sz w:val="24"/>
        </w:rPr>
        <w:br/>
      </w:r>
      <w:r w:rsidR="00392390">
        <w:rPr>
          <w:rFonts w:ascii="Times New Roman" w:hAnsi="Times New Roman"/>
          <w:sz w:val="24"/>
        </w:rPr>
        <w:lastRenderedPageBreak/>
        <w:t xml:space="preserve">- </w:t>
      </w:r>
      <w:r>
        <w:rPr>
          <w:rFonts w:ascii="Times New Roman" w:hAnsi="Times New Roman"/>
          <w:sz w:val="24"/>
        </w:rPr>
        <w:t>De identificatie van de invloedrijke parameters, met vermelding van de vraag of deze zijn aangevuld met generieke of specifieke gegevens;</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De geldigheidsduur van deze parameters.</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De registrant die de collectieve milieuverklaring heeft ingediend, is verantwoordelijk voor de informatie die hij bevat, met inbegrip van een lijst van de betrokken producten en de voorwaarden waaronder de producten daaraan kunnen worden gekoppeld, indien nodig;</w:t>
      </w:r>
      <w:r>
        <w:rPr>
          <w:rFonts w:ascii="Times New Roman" w:hAnsi="Times New Roman"/>
          <w:sz w:val="24"/>
        </w:rPr>
        <w:br/>
        <w:t>3. De registranten van de producten waarop deze collectieve milieuverklaring betrekking heeft, moeten aan de volgende voorwaarden voldoen:</w:t>
      </w:r>
    </w:p>
    <w:p w14:paraId="5C7B5DE1" w14:textId="5D227BC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Zij zijn verantwoordelijk voor de informatie die zij aan de bovengenoemde registrant doorgeven;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Zij eerbiedigen het geldigheidskader van de collectieve milieuverklaring;</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Zij verstrekken een certificaat waaruit blijkt dat aan het geldigheidskader van de collectieve milieuverklaring is voldaan;</w:t>
      </w:r>
      <w:r>
        <w:rPr>
          <w:rFonts w:ascii="Times New Roman" w:hAnsi="Times New Roman"/>
          <w:sz w:val="24"/>
        </w:rPr>
        <w:br/>
        <w:t>- ze houden voor de controle-instanties en de juridische entiteit verantwoordelijk voor de implementatie van een millieuverklaringsprogramma, het bewijsmateriaal ter beschikking dat aan de geldigheidskaders is voldaan.</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De collectieve milieuverklaring voldoet aan de verificatievereisten van verificatie door een onafhankelijke derde, gedefinieerd in artikel R. 171-18 van de Code inzake Bouw en Huisvesting en zoals bedoeld in artikel R. 171-29 van de Code inzake Bouw en Huisvesting.</w:t>
      </w:r>
      <w:r>
        <w:rPr>
          <w:rFonts w:ascii="Times New Roman" w:hAnsi="Times New Roman"/>
          <w:sz w:val="24"/>
        </w:rPr>
        <w:br/>
        <w:t>5. De in aanmerking te nemen controle-indicatoren zijn ten minste: klimaatopwarming, gebruik van niet-hernieuwbare primaire energie, met uitzondering van niet-hernieuwbare primaire energiebronnen die als grondstof worden gebruikt, verwijderd ongevaarlijk afval;</w:t>
      </w:r>
      <w:r>
        <w:rPr>
          <w:rFonts w:ascii="Times New Roman" w:hAnsi="Times New Roman"/>
          <w:sz w:val="24"/>
        </w:rPr>
        <w:br/>
        <w:t>6. Collectieve milieuverklaringen moeten aan de volgende eisen voldoen:</w:t>
      </w:r>
      <w:r>
        <w:rPr>
          <w:rFonts w:ascii="Times New Roman" w:hAnsi="Times New Roman"/>
          <w:sz w:val="24"/>
        </w:rPr>
        <w:br/>
        <w:t>wanneer de maximumwaarde van elke controle-indicator, verkregen voor de som van de in artikel 3 van dit besluit bedoelde stappen en door de berekening van de in bijlage IV van dit besluit beschreven variabiliteit, kleiner is dan of gelijk is aan de gemiddelde waarde van de indicator vermenigvuldigd met een grenswaarde, mogen de waarden van de indicatoren worden berekend met de gemiddelde waarden van de gevoelige parameters. Anders moet de minst gunstige drempel worden opgegeven (de maximumwaarde die de indicator kan bereiken bij weergave van een uitgave en de minimumwaarde bij weergave van een winst).</w:t>
      </w:r>
      <w:r>
        <w:rPr>
          <w:rFonts w:ascii="Times New Roman" w:hAnsi="Times New Roman"/>
          <w:sz w:val="24"/>
        </w:rPr>
        <w:br/>
        <w:t>Voor collectieve milieuverklaringen met een certificaat van conformiteit vóór 1 oktober 2022, bedraagt de bovengenoemde grenswaarde "1,4" en de berekening van de hierboven vermelde variabiliteit moet ten minste betrekking hebben op de gevoelige parameters met betrekking tot:</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de samenstelling van het product: massa en aard van de materialen;</w:t>
      </w:r>
      <w:r>
        <w:rPr>
          <w:rFonts w:ascii="Times New Roman" w:hAnsi="Times New Roman"/>
          <w:sz w:val="24"/>
        </w:rPr>
        <w:br/>
        <w:t>- de verpakkingsmassa’s;</w:t>
      </w:r>
      <w:r>
        <w:rPr>
          <w:rFonts w:ascii="Times New Roman" w:hAnsi="Times New Roman"/>
          <w:sz w:val="24"/>
        </w:rPr>
        <w:br/>
        <w:t>- productieprocessen, afgezien van de winning en verwerking van grondstoffen (fase A2 en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Voor collectieve milieuverklaringen met een certificaat van conformiteit vanaf 1 oktober 2022, bedraagt de bovengenoemde grenswaarde "1,35" en de berekening van de hierboven bedoelde variabiliteit moet ten minste betrekking hebben op de gevoelige parameters met betrekking tot:</w:t>
      </w:r>
    </w:p>
    <w:p w14:paraId="40F7CD3B" w14:textId="039843E5"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de samenstelling van het product: massa en aard van de materialen;</w:t>
      </w:r>
      <w:r>
        <w:rPr>
          <w:rFonts w:ascii="Times New Roman" w:hAnsi="Times New Roman"/>
          <w:sz w:val="24"/>
        </w:rPr>
        <w:br/>
        <w:t>- de verpakkingsmassa’s;</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Productieprocessen, afgezien van de winning en verwerking van grondstoffen (fase A2 en A3);</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Vervoer naar de site (fase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milieuverklaring kan gebaseerd zijn op soortgelijke producten van dezelfde registrant. Deze milieuverklaringen moeten voldoen aan de eisen voor collectieve milieuverklaringen gedefinieerd in artikel 8 van dit besluit.</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milieuverklaring kan gebaseerd zijn op een toewijsbare verklaring.</w:t>
      </w:r>
      <w:r>
        <w:rPr>
          <w:rFonts w:ascii="Times New Roman" w:hAnsi="Times New Roman"/>
          <w:sz w:val="24"/>
        </w:rPr>
        <w:br/>
        <w:t>Deze aanwijsbare verklaring voldoet aan de volgende voorwaarden:</w:t>
      </w:r>
    </w:p>
    <w:p w14:paraId="6A4F1CB3" w14:textId="2B54F148"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Het gaat om een „standaardproduct”;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Zij wordt vastgesteld onder de in de voorgaande artikelen bedoelde voorwaarden;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Het bevat een reeks berekeningsregels voor de aanpassing, op basis van veranderlijke parameters, van de daarin vermelde informatie aan een product dat vergelijkbaar is met het standaardproduct, maar waarvan de afmetingen, samenstelling of bepaalde levenscyclusprocessen verschillen;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De waarde van de hierboven bedoelde veranderbare parameters moet bij de levering van een gebouw controleerbaar kunnen zijn;</w:t>
      </w:r>
      <w:r>
        <w:rPr>
          <w:rFonts w:ascii="Times New Roman" w:hAnsi="Times New Roman"/>
          <w:sz w:val="24"/>
        </w:rPr>
        <w:br/>
        <w:t>- het bevat een conformiteitskader waarin de waarden worden gedefinieerd die kunnen worden genomen door de hierboven genoemde veranderbare parameters en de kenmerken waaraan het bovenbedoelde soortgelijke product moet voldoen.</w:t>
      </w:r>
    </w:p>
    <w:p w14:paraId="780CDE8F" w14:textId="33BC975B"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Elke aanwijsbare verklaring met een certificaat van conformiteit na 1 oktober 2022 gaat vergezeld van een computerberekeningsinstrument voor de toepassing van de bovengenoemde berekeningsregels en voor de uitvoer van de in artikel R. 171-17 van de Code inzake Bouw en Huisvesting en in artikel 3 van dit besluit bedoelde informatie, alsmede van de lijst van bovengenoemde veranderlijke parameters en de bijbehorende waarden daarvan. Al deze informatie wordt geëxporteerd als een computerbestand volgens het formaat gedefinieerd op de website van het </w:t>
      </w:r>
      <w:r w:rsidR="00C879EF">
        <w:rPr>
          <w:rFonts w:ascii="Times New Roman" w:hAnsi="Times New Roman"/>
          <w:sz w:val="24"/>
        </w:rPr>
        <w:t>M</w:t>
      </w:r>
      <w:r>
        <w:rPr>
          <w:rFonts w:ascii="Times New Roman" w:hAnsi="Times New Roman"/>
          <w:sz w:val="24"/>
        </w:rPr>
        <w:t>inisterie belast met de bouw.</w:t>
      </w:r>
      <w:r>
        <w:rPr>
          <w:rFonts w:ascii="Times New Roman" w:hAnsi="Times New Roman"/>
          <w:sz w:val="24"/>
        </w:rPr>
        <w:br/>
        <w:t xml:space="preserve">De onafhankelijke verificatie door derden, gedefinieerd in artikel R. 171-18 van de Code inzake Bouw en Huisvesting en vermeld in artikel R. 171-29 van de Code inzake Bouw </w:t>
      </w:r>
      <w:r>
        <w:rPr>
          <w:rFonts w:ascii="Times New Roman" w:hAnsi="Times New Roman"/>
          <w:sz w:val="24"/>
        </w:rPr>
        <w:lastRenderedPageBreak/>
        <w:t>en Huisvesting, heeft ook betrekking op de in dit artikel bedoelde berekeningsregels en het in het voorgaande lid bedoelde computerberekeningsinstrument.</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in artikel R. 171-27 van de Code inzake Bouw en Huisvesting bedoelde certificering van milieukenmerken wordt geacht in overeenstemming te zijn als daarbij rekening wordt gehouden met alle eisen van norm NF EN ISO 14024: 2018-03. Deze certificering van bouw- of decoratieproducten of apparatuur wordt afgegeven door een daartoe geaccrediteerde organisatie door het Franse Accreditatiecomité (COFRAC) of door een andere accreditatie-instantie die multilaterale overeenkomsten inzake wederzijdse erkenning heeft ondertekend.</w:t>
      </w:r>
      <w:r>
        <w:rPr>
          <w:rFonts w:ascii="Times New Roman" w:hAnsi="Times New Roman"/>
          <w:sz w:val="24"/>
        </w:rPr>
        <w:br/>
        <w:t>Dit deel is niet van toepassing op milieuverklaringen die worden gebruikt bij de berekening van de milieuprestaties van gebouwen.</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Het besluit van 23 december 2013 betreffende de milieuverklaring van bouw- en decoratieproducten voor gebruik in bouwwerken wordt ingetrokken.</w:t>
      </w:r>
      <w:r>
        <w:rPr>
          <w:rFonts w:ascii="Times New Roman" w:hAnsi="Times New Roman"/>
          <w:sz w:val="24"/>
        </w:rPr>
        <w:br/>
        <w:t>Het besluit van 31 augustus 2015 betreffende de milieuverklaring van elektrische, elektronische en klimaattechnische apparatuur voor gebruik bij bouwwerkzaamheden wordt ingetrokken.</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13</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bepalingen van dit besluit treden in werking op 1 januari 2022.</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 Directeur Huisvesting, Stadsontwikkeling en Landschappen is verantwoordelijk voor de uitvoering van dit besluit, dat wordt gepubliceerd in het Staatsblad van de Franse Republiek.</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Bijlage</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BIJLAGEN</w:t>
      </w:r>
      <w:r>
        <w:rPr>
          <w:rFonts w:ascii="Times New Roman" w:hAnsi="Times New Roman"/>
          <w:sz w:val="24"/>
        </w:rPr>
        <w:br/>
        <w:t>BIJLAGE I</w:t>
      </w:r>
      <w:r>
        <w:rPr>
          <w:rFonts w:ascii="Times New Roman" w:hAnsi="Times New Roman"/>
          <w:sz w:val="24"/>
        </w:rPr>
        <w:br/>
        <w:t>FUNCTIONELE EENHEIDSFORMATEN VOOR ELKE CATEGORIE BOUW- OF DECORATIEPRODUCTEN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5"/>
        <w:gridCol w:w="2621"/>
        <w:gridCol w:w="2896"/>
        <w:gridCol w:w="2983"/>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FUNCTIE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EENHEIDSFORMAAT</w:t>
            </w:r>
            <w:r>
              <w:rPr>
                <w:rFonts w:ascii="Times New Roman" w:hAnsi="Times New Roman"/>
                <w:b/>
                <w:sz w:val="24"/>
              </w:rPr>
              <w:br/>
              <w:t>functioneel in eenheden</w:t>
            </w:r>
            <w:r>
              <w:rPr>
                <w:rFonts w:ascii="Times New Roman" w:hAnsi="Times New Roman"/>
                <w:b/>
                <w:sz w:val="24"/>
              </w:rPr>
              <w:br/>
              <w:t>van het internationale systeem</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Wegen, diverse netwerken (inclusief interne netwerken)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Tanks en reservoirs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Een eenheid van een bepaald volume</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Riolerings- en rioleringsnetten (regenwater en afvalwater)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Netwerken voor watervoorziening (interieur en exterieur)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Gasvoorzieningsnetwerken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Rioleringssysteem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Wegen en externe oppervlakten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oppervlakte voor een bepaald gebruik (extern terras, wegen met weinig verkeer, parkeren, enz.)</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Omheining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van omheining</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Mantels/buizen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Structuur, metselwerk, groot werk, frame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Rookblokken en schoorsteenpijpen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van het gegeven binnenste deel van kanaal</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Dekvloeren/zwevende dekvloeren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voor een bepaalde dikte</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Frames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overdekte oppervlakte of m</w:t>
            </w:r>
            <w:r>
              <w:rPr>
                <w:rFonts w:ascii="Times New Roman" w:hAnsi="Times New Roman"/>
                <w:sz w:val="24"/>
                <w:vertAlign w:val="superscript"/>
              </w:rPr>
              <w:t>3</w:t>
            </w:r>
            <w:r>
              <w:rPr>
                <w:rFonts w:ascii="Times New Roman" w:hAnsi="Times New Roman"/>
                <w:sz w:val="24"/>
              </w:rPr>
              <w:t xml:space="preserve"> of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Beugels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beugels of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Platen en prefabplaten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Horizontale lagerelementen (balken, gebinte, isolatie, holle kernplaten, lege platen, lintels)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dragend element (omtrek en doorsnede specificeren) of m² (voor oppervlakte-element) of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Verticale belastbare elementen (palen/kolommen/pijlers)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element (deel specificeren) of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Trappen (binnen en buiten)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Een eenheid voor een bepaalde hoogte</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Funderingen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Kleine metselwerk componenten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(vermeld de thermische weerstand)</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Vloeren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vloerbedekking (specificeer de ondersteunde belasting)</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Muren (architectuurelementen)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(dikte specificeren)</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Gevels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Bekleding (kleding, klimaatgevels, bekleding)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gevel</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Gordijnwanden en dakramen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gevel (percentage ondoorzichtig oppervlak aangeven)</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Externe oppervlakten van gevels (inclusief samengestelde externe warmte-isolatiesystemen)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gevel (indien van toepassing de thermische weerstand specificeren)</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Dakbedekking/afdichting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Grote dakbedekkingselementen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van de dekking</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Kleine dakbedekkingselementen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van de dekking</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Waterdichte en afdichtingsproducten voor ondergrondse muren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van de dekking</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Producten voor het afdichten van daken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van de dekking</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Groene dakelementen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dekking (specificeer het ondersteunde vegetatietype en de thermische kenmerken indien van toepassing)</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Binnen- en buitentimmerwerk, sluitingen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Ramen, Franse ramen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schrijnwerk (open oppervlakte vóór montage) (specificeer U-waarde, zonnefactor, luchtwater wind rating en lichttransmissie)</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Vangrails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van vangrails</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Deuren (interne, externe, portaal, enz.)</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(open oppervlakte vóór installatie)</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Rolluiken, rolgordijnen, louvres, zonweringen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ondoorzichtig/beschermd oppervlak</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Dakramen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schrijnwerk (open oppervlakte vóór montage) (specificeer U-waarde, zonnefactor, luchtwater wind rating en lichttransmissie)</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Visgraatdozen, dakpanelen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thermische weerstand)</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Voeringssystemen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thermische weerstand)</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Extra isolatie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thermische weerstand)</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Platen met holle kern, isolerende panelen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thermische weerstand)</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Thermische en akoestische wandisolatoren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warmteweerstand of geluidsprestaties)</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Thermische en akoestische isolatoren voor zolder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warmteweerstand)</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Warmte- en geluidsisolatie, in bulk</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warmteweerstand)</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Warmte- en geluidsisolatoren voor dakterras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warmteweerstand)</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Warmte- en geluidsisolatie onder dekvloer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warmteweerstand of geluidsprestaties)</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Niet-dragende gedistribueerde isolatie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warmteweerstand)</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Warmte- en geluidsisolatoren voor wanden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warmteweerstand)</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Geluidsisolatoren voor partities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geluidsprestaties)</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Warmte- en geluidsisolatie onder platen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warmteweerstand of geluidsprestaties)</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Isolatie onder bestrating en bodemplaten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isolatie (vermeld warmteweerstand)</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Verdeling, verlaagde plafonds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Partitionering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partitionering (indien relevant een akoestische prestatie specificeren)</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Verlaagde plafonds, rekplafonds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verlaagd plafond (vermeld akoestische prestaties)</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Vloer- en wandbekleding, verven, decoratieproducten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Verf, beitsen en vernissen, verflagen (zonder verzadiging)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bedekte oppervlakte</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Plintplanken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van plinten</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Wand- en plafondcoating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coating</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Harde vloerbedekkingen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coating (specificeer de gebruiksklasse of classificatie van slijtvastheid en ponsvastheid, watergedrag en bestendigheid tegen chemische agentia, of gelijkwaardig)</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Zachte vloerbedekkingen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coating (specificeer de gebruiksklasse of classificatie van slijtvastheid en ponsvastheid, watergedrag en bestendigheid tegen chemische agentia, of gelijkwaardig)</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Akoestische producten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coating (specificeer de gebruiksklasse of classificatie van slijtvastheid en ponsvastheid, watergedrag en bestendigheid tegen chemische agentia, of gelijkwaardig)</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Saturators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bedekte oppervlakte</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Bereidings- en uitvoeringsproducten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Kleefstoffen voor timmerwerk</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(dichtheid specificeren)</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Reparaties en montage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(dichtheid specificeren)</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Grond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kleefstof aan de grond</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Metselmortel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(dichtheid specificeren)</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Betegeling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betegeld</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Decoratie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(dichtheid specificeren)</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Mastiek en polyurethaanschuim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(vermeld lineaire massa)</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Scheikunde gebouw</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(dichtheid specificeren)</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Producten voor beton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(dichtheid specificeren)</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Synthetische harsen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(dichtheid specificeren)</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Sanitaire en badkamervoorzieningen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Kranen en douchekolommen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Eenheid (type specificeren)</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Badkuip</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Eenheid (vermeld volume in liter en vorm)</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Douchebak</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Eenheid (specificeer afmetingen: breedte en lengte)</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Afwasbak</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Eenheid (specificeer afmetingen: breedte, lengte en aantal bakken)</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Wastafel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Eenheid (specificeer afmetingen: breedte, lengte en aantal bakken)</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toilet - pot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Eenheid (specificeer afmetingen: breedte en lengte)</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Andere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Diversen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Bijlage</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BIJLAGE II</w:t>
      </w:r>
      <w:r>
        <w:rPr>
          <w:rFonts w:ascii="Times New Roman" w:hAnsi="Times New Roman"/>
          <w:sz w:val="24"/>
        </w:rPr>
        <w:br/>
        <w:t>Formaten van functionele eenheden of eenheden die voor de faciliteiten zijn opgegeven.</w:t>
      </w:r>
    </w:p>
    <w:tbl>
      <w:tblPr>
        <w:tblW w:w="8797"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1"/>
        <w:gridCol w:w="1277"/>
        <w:gridCol w:w="1271"/>
        <w:gridCol w:w="1687"/>
        <w:gridCol w:w="1140"/>
        <w:gridCol w:w="1052"/>
        <w:gridCol w:w="1799"/>
      </w:tblGrid>
      <w:tr w:rsidR="00B77F10" w:rsidRPr="00B77F10" w14:paraId="503F1C5D" w14:textId="77777777" w:rsidTr="00392390">
        <w:trPr>
          <w:tblCellSpacing w:w="15" w:type="dxa"/>
          <w:jc w:val="center"/>
        </w:trPr>
        <w:tc>
          <w:tcPr>
            <w:tcW w:w="526" w:type="dxa"/>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Nr.</w:t>
            </w:r>
          </w:p>
        </w:tc>
        <w:tc>
          <w:tcPr>
            <w:tcW w:w="1247" w:type="dxa"/>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Functie</w:t>
            </w:r>
          </w:p>
        </w:tc>
        <w:tc>
          <w:tcPr>
            <w:tcW w:w="1241" w:type="dxa"/>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Categorie</w:t>
            </w:r>
          </w:p>
        </w:tc>
        <w:tc>
          <w:tcPr>
            <w:tcW w:w="1657"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Functionele eenheid</w:t>
            </w:r>
          </w:p>
        </w:tc>
        <w:tc>
          <w:tcPr>
            <w:tcW w:w="1110" w:type="dxa"/>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Gedeclareerde eenheid</w:t>
            </w:r>
          </w:p>
        </w:tc>
        <w:tc>
          <w:tcPr>
            <w:tcW w:w="1022" w:type="dxa"/>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Groep</w:t>
            </w:r>
          </w:p>
        </w:tc>
        <w:tc>
          <w:tcPr>
            <w:tcW w:w="1754" w:type="dxa"/>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Oplossing</w:t>
            </w:r>
          </w:p>
        </w:tc>
      </w:tr>
      <w:tr w:rsidR="00B77F10" w:rsidRPr="00B77F10" w14:paraId="039605FC" w14:textId="77777777" w:rsidTr="00392390">
        <w:trPr>
          <w:tblCellSpacing w:w="15" w:type="dxa"/>
          <w:jc w:val="center"/>
        </w:trPr>
        <w:tc>
          <w:tcPr>
            <w:tcW w:w="526" w:type="dxa"/>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1247" w:type="dxa"/>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Installatiefaciliteit voor de elektriciteits- en communicatienetwerken</w:t>
            </w:r>
            <w:r>
              <w:rPr>
                <w:rFonts w:ascii="Times New Roman" w:hAnsi="Times New Roman"/>
                <w:sz w:val="24"/>
              </w:rPr>
              <w:br/>
              <w:t>≤ 63 Amp.</w:t>
            </w: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Wandbekledingen</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Geautomatiseerde systemen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Bewegingssensoren</w:t>
            </w:r>
          </w:p>
        </w:tc>
      </w:tr>
      <w:tr w:rsidR="00B77F10" w:rsidRPr="00B77F10" w14:paraId="7811C1B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Thermostaten</w:t>
            </w:r>
          </w:p>
        </w:tc>
      </w:tr>
      <w:tr w:rsidR="00B77F10" w:rsidRPr="00B77F10" w14:paraId="0E80301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Dimmers</w:t>
            </w:r>
          </w:p>
        </w:tc>
      </w:tr>
      <w:tr w:rsidR="00B77F10" w:rsidRPr="00B77F10" w14:paraId="260BEE0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Dozen voor apparatuur</w:t>
            </w:r>
          </w:p>
        </w:tc>
        <w:tc>
          <w:tcPr>
            <w:tcW w:w="1754" w:type="dxa"/>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Voor gipsplaten</w:t>
            </w:r>
          </w:p>
        </w:tc>
      </w:tr>
      <w:tr w:rsidR="00B77F10" w:rsidRPr="00B77F10" w14:paraId="0CCBABC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Voor metselwerk</w:t>
            </w:r>
          </w:p>
        </w:tc>
      </w:tr>
      <w:tr w:rsidR="00B77F10" w:rsidRPr="00B77F10" w14:paraId="242C8C2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Controles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Schakelaars</w:t>
            </w:r>
          </w:p>
        </w:tc>
      </w:tr>
      <w:tr w:rsidR="00B77F10" w:rsidRPr="00B77F10" w14:paraId="6C0F1CB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Drukknoppen</w:t>
            </w:r>
          </w:p>
        </w:tc>
      </w:tr>
      <w:tr w:rsidR="00B77F10" w:rsidRPr="00B77F10" w14:paraId="1D20722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Overige: Ventilatie, rolgordijn, enz.</w:t>
            </w:r>
          </w:p>
        </w:tc>
      </w:tr>
      <w:tr w:rsidR="00B77F10" w:rsidRPr="00B77F10" w14:paraId="3795B33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Platen en dragers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Submontage van wandapparatuur</w:t>
            </w:r>
          </w:p>
        </w:tc>
      </w:tr>
      <w:tr w:rsidR="00B77F10" w:rsidRPr="00B77F10" w14:paraId="7A5C470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Stopcontacten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Laagstroomaansluitingen</w:t>
            </w:r>
          </w:p>
        </w:tc>
      </w:tr>
      <w:tr w:rsidR="00B77F10" w:rsidRPr="00B77F10" w14:paraId="1060CBC5"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Hoogstroom aansluitingen</w:t>
            </w:r>
          </w:p>
        </w:tc>
      </w:tr>
      <w:tr w:rsidR="00B77F10" w:rsidRPr="00B77F10" w14:paraId="35853E2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Diverse stopcontacten </w:t>
            </w:r>
            <w:r>
              <w:rPr>
                <w:rFonts w:ascii="Times New Roman" w:hAnsi="Times New Roman"/>
                <w:sz w:val="24"/>
              </w:rPr>
              <w:lastRenderedPageBreak/>
              <w:t>(TV, luidspreker, IT, enz.)</w:t>
            </w:r>
          </w:p>
        </w:tc>
      </w:tr>
      <w:tr w:rsidR="00B77F10" w:rsidRPr="00B77F10" w14:paraId="0891FD7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Signalering</w:t>
            </w:r>
          </w:p>
        </w:tc>
        <w:tc>
          <w:tcPr>
            <w:tcW w:w="1754" w:type="dxa"/>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Audio-uitgang: luidspreker</w:t>
            </w:r>
          </w:p>
        </w:tc>
      </w:tr>
      <w:tr w:rsidR="00B77F10" w:rsidRPr="00B77F10" w14:paraId="3E0878D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Audio-uitgang: klokken en bellen</w:t>
            </w:r>
          </w:p>
        </w:tc>
      </w:tr>
      <w:tr w:rsidR="00B77F10" w:rsidRPr="00B77F10" w14:paraId="4139425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Indicatorlichten</w:t>
            </w:r>
          </w:p>
        </w:tc>
      </w:tr>
      <w:tr w:rsidR="00B77F10" w:rsidRPr="00B77F10" w14:paraId="74E8770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Accessoires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Afstandsbedieningen, rolluiken, klemmen</w:t>
            </w:r>
          </w:p>
        </w:tc>
      </w:tr>
      <w:tr w:rsidR="00B77F10" w:rsidRPr="00B77F10" w14:paraId="691E7C6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Modulaire apparatuur voor behuizingen</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Algemene beschermingsmiddelen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Verbindingen</w:t>
            </w:r>
          </w:p>
        </w:tc>
      </w:tr>
      <w:tr w:rsidR="00B77F10" w:rsidRPr="00B77F10" w14:paraId="530F263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Stroomonderbrekers</w:t>
            </w:r>
          </w:p>
        </w:tc>
      </w:tr>
      <w:tr w:rsidR="00B77F10" w:rsidRPr="00B77F10" w14:paraId="1FBAD29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Netspanningsschakelaars</w:t>
            </w:r>
          </w:p>
        </w:tc>
      </w:tr>
      <w:tr w:rsidR="00B77F10" w:rsidRPr="00B77F10" w14:paraId="4F2D53A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Schakelaars/isolators</w:t>
            </w:r>
          </w:p>
        </w:tc>
      </w:tr>
      <w:tr w:rsidR="00B77F10" w:rsidRPr="00B77F10" w14:paraId="1653AFE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Bronomvormers</w:t>
            </w:r>
          </w:p>
        </w:tc>
      </w:tr>
      <w:tr w:rsidR="00B77F10" w:rsidRPr="00B77F10" w14:paraId="54DF41A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Differentiële relais</w:t>
            </w:r>
          </w:p>
        </w:tc>
      </w:tr>
      <w:tr w:rsidR="00B77F10" w:rsidRPr="00B77F10" w14:paraId="333082B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Bescherming tegen bliksem</w:t>
            </w:r>
          </w:p>
        </w:tc>
        <w:tc>
          <w:tcPr>
            <w:tcW w:w="1754" w:type="dxa"/>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Bliksemafleiders</w:t>
            </w:r>
          </w:p>
        </w:tc>
      </w:tr>
      <w:tr w:rsidR="00B77F10" w:rsidRPr="00B77F10" w14:paraId="38BFC67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Telecommunicatiebliksemafleiders</w:t>
            </w:r>
          </w:p>
        </w:tc>
      </w:tr>
      <w:tr w:rsidR="00B77F10" w:rsidRPr="00B77F10" w14:paraId="1202F0C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Lijnbescherming</w:t>
            </w:r>
          </w:p>
        </w:tc>
        <w:tc>
          <w:tcPr>
            <w:tcW w:w="1754" w:type="dxa"/>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Stroomonderbrekers</w:t>
            </w:r>
          </w:p>
        </w:tc>
      </w:tr>
      <w:tr w:rsidR="00B77F10" w:rsidRPr="00B77F10" w14:paraId="580793B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Divisionele stroomonderbrekers</w:t>
            </w:r>
          </w:p>
        </w:tc>
      </w:tr>
      <w:tr w:rsidR="00B77F10" w:rsidRPr="00B77F10" w14:paraId="3D78045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Motorstroomonderbrekers</w:t>
            </w:r>
          </w:p>
        </w:tc>
      </w:tr>
      <w:tr w:rsidR="00B77F10" w:rsidRPr="00B77F10" w14:paraId="09A5DDF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Zekeringen</w:t>
            </w:r>
          </w:p>
        </w:tc>
      </w:tr>
      <w:tr w:rsidR="00B77F10" w:rsidRPr="00B77F10" w14:paraId="43734CD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Bescherming tegen lekkage op de grond</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Differentiële blokken</w:t>
            </w:r>
          </w:p>
        </w:tc>
      </w:tr>
      <w:tr w:rsidR="00B77F10" w:rsidRPr="00B77F10" w14:paraId="6C7E03D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RCD-stroomonderbrekers</w:t>
            </w:r>
          </w:p>
        </w:tc>
      </w:tr>
      <w:tr w:rsidR="00B77F10" w:rsidRPr="00B77F10" w14:paraId="60A9675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RCD-schakelaars</w:t>
            </w:r>
          </w:p>
        </w:tc>
      </w:tr>
      <w:tr w:rsidR="00B77F10" w:rsidRPr="00B77F10" w14:paraId="6427271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Verlichtingsmanagement</w:t>
            </w:r>
          </w:p>
        </w:tc>
        <w:tc>
          <w:tcPr>
            <w:tcW w:w="1754" w:type="dxa"/>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Fotocelschakelaars</w:t>
            </w:r>
          </w:p>
        </w:tc>
      </w:tr>
      <w:tr w:rsidR="00B77F10" w:rsidRPr="00B77F10" w14:paraId="0DFC128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Beheer van zonne-energie</w:t>
            </w:r>
          </w:p>
        </w:tc>
      </w:tr>
      <w:tr w:rsidR="00B77F10" w:rsidRPr="00B77F10" w14:paraId="2BDC0B6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Dimmers</w:t>
            </w:r>
          </w:p>
        </w:tc>
      </w:tr>
      <w:tr w:rsidR="00B77F10" w:rsidRPr="00B77F10" w14:paraId="2BED940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Energiebeheer</w:t>
            </w:r>
          </w:p>
        </w:tc>
        <w:tc>
          <w:tcPr>
            <w:tcW w:w="1754" w:type="dxa"/>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Stroomafsluiters</w:t>
            </w:r>
          </w:p>
        </w:tc>
      </w:tr>
      <w:tr w:rsidR="00B77F10" w:rsidRPr="00B77F10" w14:paraId="269954B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Energiebeheerders</w:t>
            </w:r>
          </w:p>
        </w:tc>
      </w:tr>
      <w:tr w:rsidR="00B77F10" w:rsidRPr="00B77F10" w14:paraId="127CAD5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Beheer van rolluiken en rolgordijnen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Beheer van rolluiken en rolgordijnen</w:t>
            </w:r>
          </w:p>
        </w:tc>
      </w:tr>
      <w:tr w:rsidR="00B77F10" w:rsidRPr="00B77F10" w14:paraId="5C7BF1E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Tijdbeheer</w:t>
            </w:r>
          </w:p>
        </w:tc>
        <w:tc>
          <w:tcPr>
            <w:tcW w:w="1754" w:type="dxa"/>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Kruisende schema’s</w:t>
            </w:r>
          </w:p>
        </w:tc>
      </w:tr>
      <w:tr w:rsidR="00B77F10" w:rsidRPr="00B77F10" w14:paraId="78BF2AD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Timers</w:t>
            </w:r>
          </w:p>
        </w:tc>
      </w:tr>
      <w:tr w:rsidR="00B77F10" w:rsidRPr="00B77F10" w14:paraId="5BF9846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Timerrelais</w:t>
            </w:r>
          </w:p>
        </w:tc>
      </w:tr>
      <w:tr w:rsidR="00B77F10" w:rsidRPr="00B77F10" w14:paraId="60C6A08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Thermisch beheer (verwarm</w:t>
            </w:r>
            <w:r>
              <w:rPr>
                <w:rFonts w:ascii="Times New Roman" w:hAnsi="Times New Roman"/>
                <w:sz w:val="24"/>
              </w:rPr>
              <w:lastRenderedPageBreak/>
              <w:t>ing, ventilatie)</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Thermostaten</w:t>
            </w:r>
          </w:p>
        </w:tc>
      </w:tr>
      <w:tr w:rsidR="00B77F10" w:rsidRPr="00B77F10" w14:paraId="3BCC0BE4"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Meting</w:t>
            </w:r>
          </w:p>
        </w:tc>
        <w:tc>
          <w:tcPr>
            <w:tcW w:w="1754" w:type="dxa"/>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Energiemeters</w:t>
            </w:r>
          </w:p>
        </w:tc>
      </w:tr>
      <w:tr w:rsidR="00B77F10" w:rsidRPr="00B77F10" w14:paraId="3AD6C6D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Regen, zonnesensoren, enz.</w:t>
            </w:r>
          </w:p>
        </w:tc>
      </w:tr>
      <w:tr w:rsidR="00B77F10" w:rsidRPr="00B77F10" w14:paraId="0D7FD6A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Voltmeters, ampmeters</w:t>
            </w:r>
          </w:p>
        </w:tc>
      </w:tr>
      <w:tr w:rsidR="00B77F10" w:rsidRPr="00B77F10" w14:paraId="103C5FA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Besturingsinrichtingen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Drukknoppen</w:t>
            </w:r>
          </w:p>
        </w:tc>
      </w:tr>
      <w:tr w:rsidR="00B77F10" w:rsidRPr="00B77F10" w14:paraId="150B06D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Contactors</w:t>
            </w:r>
          </w:p>
        </w:tc>
      </w:tr>
      <w:tr w:rsidR="00B77F10" w:rsidRPr="00B77F10" w14:paraId="333E4B7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Schakelaars, omvormers, commutators, enz.</w:t>
            </w:r>
          </w:p>
        </w:tc>
      </w:tr>
      <w:tr w:rsidR="00B77F10" w:rsidRPr="00B77F10" w14:paraId="19AE77E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Externe impulsschakelaars</w:t>
            </w:r>
          </w:p>
        </w:tc>
      </w:tr>
      <w:tr w:rsidR="00B77F10" w:rsidRPr="00B77F10" w14:paraId="5A025F1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Signaalapparaten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Klokken en ringtones</w:t>
            </w:r>
          </w:p>
        </w:tc>
      </w:tr>
      <w:tr w:rsidR="00B77F10" w:rsidRPr="00B77F10" w14:paraId="054F7F1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Indicatorlichten</w:t>
            </w:r>
          </w:p>
        </w:tc>
      </w:tr>
      <w:tr w:rsidR="00B77F10" w:rsidRPr="00B77F10" w14:paraId="0286331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Domotica- en communicatiesystemen</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Multimedianetwerken en VDI (Voice Data Image)</w:t>
            </w:r>
          </w:p>
        </w:tc>
        <w:tc>
          <w:tcPr>
            <w:tcW w:w="1754" w:type="dxa"/>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Modulaire apparatuur voor domotica</w:t>
            </w:r>
          </w:p>
        </w:tc>
      </w:tr>
      <w:tr w:rsidR="00B77F10" w:rsidRPr="00B77F10" w14:paraId="39DA306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Domoticaterminalapparatuur</w:t>
            </w:r>
          </w:p>
        </w:tc>
      </w:tr>
      <w:tr w:rsidR="00B77F10" w:rsidRPr="00B77F10" w14:paraId="30BE1D9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Distributeurs voor signalering/detectie</w:t>
            </w:r>
          </w:p>
        </w:tc>
      </w:tr>
      <w:tr w:rsidR="00B77F10" w:rsidRPr="00B77F10" w14:paraId="0E3B738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Wi-Fi toegangspunten</w:t>
            </w:r>
          </w:p>
        </w:tc>
      </w:tr>
      <w:tr w:rsidR="00B77F10" w:rsidRPr="00B77F10" w14:paraId="1BA4C94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Behuizingen</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Kasten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Polyester kasten</w:t>
            </w:r>
          </w:p>
        </w:tc>
      </w:tr>
      <w:tr w:rsidR="00B77F10" w:rsidRPr="00B77F10" w14:paraId="665E1A2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Metalen kasten</w:t>
            </w:r>
          </w:p>
        </w:tc>
      </w:tr>
      <w:tr w:rsidR="00B77F10" w:rsidRPr="00B77F10" w14:paraId="3E28A64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Verbindingen</w:t>
            </w:r>
          </w:p>
        </w:tc>
      </w:tr>
      <w:tr w:rsidR="00B77F10" w:rsidRPr="00B77F10" w14:paraId="23DC5F8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Kastapparatuur</w:t>
            </w:r>
          </w:p>
        </w:tc>
      </w:tr>
      <w:tr w:rsidR="00B77F10" w:rsidRPr="00B77F10" w14:paraId="279CFC14"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Dozen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Terminaldeksels</w:t>
            </w:r>
          </w:p>
        </w:tc>
      </w:tr>
      <w:tr w:rsidR="00B77F10" w:rsidRPr="00B77F10" w14:paraId="061BB32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Inbouwdozen</w:t>
            </w:r>
          </w:p>
        </w:tc>
      </w:tr>
      <w:tr w:rsidR="00B77F10" w:rsidRPr="00B77F10" w14:paraId="1D6E2D6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Waterdichte dozen</w:t>
            </w:r>
          </w:p>
        </w:tc>
      </w:tr>
      <w:tr w:rsidR="00B77F10" w:rsidRPr="00B77F10" w14:paraId="4042A32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Uitstekende dozen</w:t>
            </w:r>
          </w:p>
        </w:tc>
      </w:tr>
      <w:tr w:rsidR="00B77F10" w:rsidRPr="00B77F10" w14:paraId="02F2534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VDI dozen</w:t>
            </w:r>
          </w:p>
        </w:tc>
      </w:tr>
      <w:tr w:rsidR="00B77F10" w:rsidRPr="00B77F10" w14:paraId="161B3FB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Aansluitkasten</w:t>
            </w:r>
          </w:p>
        </w:tc>
      </w:tr>
      <w:tr w:rsidR="00B77F10" w:rsidRPr="00B77F10" w14:paraId="65A59F3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Andere</w:t>
            </w:r>
          </w:p>
        </w:tc>
        <w:tc>
          <w:tcPr>
            <w:tcW w:w="1754" w:type="dxa"/>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Bureaus, warmtebeheer van behuizingen</w:t>
            </w:r>
          </w:p>
        </w:tc>
      </w:tr>
      <w:tr w:rsidR="00B77F10" w:rsidRPr="00B77F10" w14:paraId="4BB012F5"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Oplossingen voor kabelroutering</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Meter</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Kabelgeleidingssystemen en kabelrekken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Kabelpaden voor kabels</w:t>
            </w:r>
          </w:p>
        </w:tc>
      </w:tr>
      <w:tr w:rsidR="00B77F10" w:rsidRPr="00B77F10" w14:paraId="674B908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Betegelde kabelbakken</w:t>
            </w:r>
          </w:p>
        </w:tc>
      </w:tr>
      <w:tr w:rsidR="00B77F10" w:rsidRPr="00B77F10" w14:paraId="26E0BE34"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Kabelrekken</w:t>
            </w:r>
          </w:p>
        </w:tc>
      </w:tr>
      <w:tr w:rsidR="00B77F10" w:rsidRPr="00B77F10" w14:paraId="50D79C6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Sluitsystemen en leidingen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Kanalen</w:t>
            </w:r>
          </w:p>
        </w:tc>
      </w:tr>
      <w:tr w:rsidR="00B77F10" w:rsidRPr="00B77F10" w14:paraId="6930BA2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Geprofileerde kanalen</w:t>
            </w:r>
          </w:p>
        </w:tc>
      </w:tr>
      <w:tr w:rsidR="00B77F10" w:rsidRPr="00B77F10" w14:paraId="435D71D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Stijve slangen en kanalen</w:t>
            </w:r>
          </w:p>
        </w:tc>
      </w:tr>
      <w:tr w:rsidR="00B77F10" w:rsidRPr="00B77F10" w14:paraId="3932E3A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Aanvoerkanalen</w:t>
            </w:r>
          </w:p>
        </w:tc>
      </w:tr>
      <w:tr w:rsidR="00B77F10" w:rsidRPr="00B77F10" w14:paraId="7F34156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Vloerkanalen</w:t>
            </w:r>
          </w:p>
        </w:tc>
      </w:tr>
      <w:tr w:rsidR="00B77F10" w:rsidRPr="00B77F10" w14:paraId="4D2766A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Installatiekanalen</w:t>
            </w:r>
          </w:p>
        </w:tc>
      </w:tr>
      <w:tr w:rsidR="00B77F10" w:rsidRPr="00B77F10" w14:paraId="24B9244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Lijsten en plintborden</w:t>
            </w:r>
          </w:p>
        </w:tc>
      </w:tr>
      <w:tr w:rsidR="00B77F10" w:rsidRPr="00B77F10" w14:paraId="04064FD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Andere puntproducten voor kabelbeheer</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Technische installatiebehuizing (GTL)</w:t>
            </w:r>
          </w:p>
        </w:tc>
      </w:tr>
      <w:tr w:rsidR="00B77F10" w:rsidRPr="00B77F10" w14:paraId="5A9BE34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Vloerkanalen</w:t>
            </w:r>
          </w:p>
        </w:tc>
      </w:tr>
      <w:tr w:rsidR="00B77F10" w:rsidRPr="00B77F10" w14:paraId="2D465B3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Splitterboxen en verticale installatiekolommen</w:t>
            </w:r>
          </w:p>
        </w:tc>
      </w:tr>
      <w:tr w:rsidR="00B77F10" w:rsidRPr="00B77F10" w14:paraId="3C99A8F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Kabelkappen voor kasten</w:t>
            </w:r>
          </w:p>
        </w:tc>
      </w:tr>
      <w:tr w:rsidR="00B77F10" w:rsidRPr="00B77F10" w14:paraId="7EDFC08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Andere en toebehoren</w:t>
            </w:r>
          </w:p>
        </w:tc>
      </w:tr>
      <w:tr w:rsidR="00B77F10" w:rsidRPr="00B77F10" w14:paraId="5B608A6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Andere</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Verbinding/junctie (buiten behuizing)</w:t>
            </w:r>
          </w:p>
        </w:tc>
        <w:tc>
          <w:tcPr>
            <w:tcW w:w="1754" w:type="dxa"/>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Verbindingsblokken</w:t>
            </w:r>
          </w:p>
        </w:tc>
      </w:tr>
      <w:tr w:rsidR="00B77F10" w:rsidRPr="00B77F10" w14:paraId="30FBE9E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Connectoren</w:t>
            </w:r>
          </w:p>
        </w:tc>
      </w:tr>
      <w:tr w:rsidR="00B77F10" w:rsidRPr="00B77F10" w14:paraId="0BE3976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Industriële stopcontacten</w:t>
            </w:r>
          </w:p>
        </w:tc>
      </w:tr>
      <w:tr w:rsidR="00B77F10" w:rsidRPr="00B77F10" w14:paraId="1A06494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Stroomtoevoer</w:t>
            </w:r>
          </w:p>
        </w:tc>
        <w:tc>
          <w:tcPr>
            <w:tcW w:w="1754" w:type="dxa"/>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Transformatoren</w:t>
            </w:r>
          </w:p>
        </w:tc>
      </w:tr>
      <w:tr w:rsidR="00B77F10" w:rsidRPr="00B77F10" w14:paraId="37211C8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Centrale bronnen</w:t>
            </w:r>
          </w:p>
        </w:tc>
      </w:tr>
      <w:tr w:rsidR="00B77F10" w:rsidRPr="00B77F10" w14:paraId="5EDD812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Mobiele elektrische apparatuur</w:t>
            </w:r>
          </w:p>
        </w:tc>
        <w:tc>
          <w:tcPr>
            <w:tcW w:w="1754" w:type="dxa"/>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Inspectielampje</w:t>
            </w:r>
          </w:p>
        </w:tc>
      </w:tr>
      <w:tr w:rsidR="00B77F10" w:rsidRPr="00B77F10" w14:paraId="1FEA93D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Multi-socket-adapterblokken, verdeelstekkers voor telefoons, andere</w:t>
            </w:r>
          </w:p>
        </w:tc>
      </w:tr>
      <w:tr w:rsidR="00B77F10" w:rsidRPr="00B77F10" w14:paraId="176BC775"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Flapopeningsmotor</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Motorisatie van deuren, poorten, enz.</w:t>
            </w:r>
          </w:p>
        </w:tc>
      </w:tr>
      <w:tr w:rsidR="00B77F10" w:rsidRPr="00B77F10" w14:paraId="62761E5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Motorisatie van rolgordijnen</w:t>
            </w:r>
          </w:p>
        </w:tc>
      </w:tr>
      <w:tr w:rsidR="00B77F10" w:rsidRPr="00B77F10" w14:paraId="7815C73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Diversen</w:t>
            </w:r>
          </w:p>
        </w:tc>
        <w:tc>
          <w:tcPr>
            <w:tcW w:w="1657"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392390">
        <w:trPr>
          <w:tblCellSpacing w:w="15" w:type="dxa"/>
          <w:jc w:val="center"/>
        </w:trPr>
        <w:tc>
          <w:tcPr>
            <w:tcW w:w="526" w:type="dxa"/>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1247" w:type="dxa"/>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Draden en kabels</w:t>
            </w: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Elektrische netwerken</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Middenspanningskabels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Laagspanningskabels &lt;1 kV</w:t>
            </w:r>
          </w:p>
        </w:tc>
        <w:tc>
          <w:tcPr>
            <w:tcW w:w="1754" w:type="dxa"/>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Elektrische netwerk accessoires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Elektriciteit en gegevensoverdracht binnen het gebouw</w:t>
            </w:r>
          </w:p>
        </w:tc>
        <w:tc>
          <w:tcPr>
            <w:tcW w:w="1657"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110" w:type="dxa"/>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Energiedragers en -kabels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110" w:type="dxa"/>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Koper en glasvezel communicatiekabels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Accessoires in het gebouw</w:t>
            </w:r>
          </w:p>
        </w:tc>
        <w:tc>
          <w:tcPr>
            <w:tcW w:w="1754" w:type="dxa"/>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Andere draden en kabels</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Niet geïsoleerd</w:t>
            </w:r>
          </w:p>
        </w:tc>
        <w:tc>
          <w:tcPr>
            <w:tcW w:w="1754" w:type="dxa"/>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Verwarmingskabels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Diversen</w:t>
            </w:r>
          </w:p>
        </w:tc>
        <w:tc>
          <w:tcPr>
            <w:tcW w:w="1657"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392390">
        <w:trPr>
          <w:tblCellSpacing w:w="15" w:type="dxa"/>
          <w:jc w:val="center"/>
        </w:trPr>
        <w:tc>
          <w:tcPr>
            <w:tcW w:w="526" w:type="dxa"/>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1247" w:type="dxa"/>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Veiligheid van personen en toegangscontrole</w:t>
            </w: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Toegangsdetectie en -controle</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Indringersdetectiesysteem</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Apparatuur voor indringersdetectie</w:t>
            </w:r>
          </w:p>
        </w:tc>
      </w:tr>
      <w:tr w:rsidR="00B77F10" w:rsidRPr="00B77F10" w14:paraId="3772E83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Besturingsapparatuur (toetsenbord, afstandsbediening, enz.)</w:t>
            </w:r>
          </w:p>
        </w:tc>
      </w:tr>
      <w:tr w:rsidR="00B77F10" w:rsidRPr="00B77F10" w14:paraId="6408C67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Alarmconsoles</w:t>
            </w:r>
          </w:p>
        </w:tc>
      </w:tr>
      <w:tr w:rsidR="00B77F10" w:rsidRPr="00B77F10" w14:paraId="06CA08D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Signaalapparatuur (sirene, zenders, enz.)</w:t>
            </w:r>
          </w:p>
        </w:tc>
      </w:tr>
      <w:tr w:rsidR="00B77F10" w:rsidRPr="00B77F10" w14:paraId="3C0ACEE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Toegangscontrolesysteem</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Toegang audiodeur</w:t>
            </w:r>
          </w:p>
        </w:tc>
      </w:tr>
      <w:tr w:rsidR="00B77F10" w:rsidRPr="00B77F10" w14:paraId="4C7010E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Videodeuringang</w:t>
            </w:r>
          </w:p>
        </w:tc>
      </w:tr>
      <w:tr w:rsidR="00B77F10" w:rsidRPr="00B77F10" w14:paraId="1CE281A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Videobewaking</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Videobewakingssysteem</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Beeldopnameapparatuur (camera’s)</w:t>
            </w:r>
          </w:p>
        </w:tc>
      </w:tr>
      <w:tr w:rsidR="00B77F10" w:rsidRPr="00B77F10" w14:paraId="3384284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Apparatuur voor beeldbeheer</w:t>
            </w:r>
          </w:p>
        </w:tc>
      </w:tr>
      <w:tr w:rsidR="00B77F10" w:rsidRPr="00B77F10" w14:paraId="2A62D05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Interconnecties</w:t>
            </w:r>
          </w:p>
        </w:tc>
      </w:tr>
      <w:tr w:rsidR="00B77F10" w:rsidRPr="00B77F10" w14:paraId="5AC9846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Diversen</w:t>
            </w:r>
          </w:p>
        </w:tc>
        <w:tc>
          <w:tcPr>
            <w:tcW w:w="1657"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392390">
        <w:trPr>
          <w:tblCellSpacing w:w="15" w:type="dxa"/>
          <w:jc w:val="center"/>
        </w:trPr>
        <w:tc>
          <w:tcPr>
            <w:tcW w:w="526" w:type="dxa"/>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1247" w:type="dxa"/>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Beveiliging van het gebouw</w:t>
            </w: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Beveiligingsverlichtingssysteem</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Ombouw</w:t>
            </w:r>
          </w:p>
        </w:tc>
        <w:tc>
          <w:tcPr>
            <w:tcW w:w="1754" w:type="dxa"/>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Zelfstandige noodverlichtingseenheden (B.A.E.S.)</w:t>
            </w:r>
          </w:p>
        </w:tc>
      </w:tr>
      <w:tr w:rsidR="00B77F10" w:rsidRPr="00B77F10" w14:paraId="0E7BF1B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Verlichting voor centrale bron (L.S.C)</w:t>
            </w:r>
          </w:p>
        </w:tc>
      </w:tr>
      <w:tr w:rsidR="00B77F10" w:rsidRPr="00B77F10" w14:paraId="0B957AD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Schijnwerpers</w:t>
            </w:r>
          </w:p>
        </w:tc>
      </w:tr>
      <w:tr w:rsidR="00B77F10" w:rsidRPr="00B77F10" w14:paraId="32107BC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Evacuatie</w:t>
            </w:r>
          </w:p>
        </w:tc>
        <w:tc>
          <w:tcPr>
            <w:tcW w:w="1754" w:type="dxa"/>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Zelfstandige noodverlichtingseenheden (B.A.E.S.)</w:t>
            </w:r>
          </w:p>
        </w:tc>
      </w:tr>
      <w:tr w:rsidR="00B77F10" w:rsidRPr="00B77F10" w14:paraId="1A9A618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Onafhankelijke woonverlichtingseenheden (B.A.E.H.)</w:t>
            </w:r>
          </w:p>
        </w:tc>
      </w:tr>
      <w:tr w:rsidR="00B77F10" w:rsidRPr="00B77F10" w14:paraId="5B5B786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Dubbele functie (B.A.E.S + B.A.E.H.)</w:t>
            </w:r>
          </w:p>
        </w:tc>
      </w:tr>
      <w:tr w:rsidR="00B77F10" w:rsidRPr="00B77F10" w14:paraId="60BD07B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Verlichting voor centrale bron (L.S.C)</w:t>
            </w:r>
          </w:p>
        </w:tc>
      </w:tr>
      <w:tr w:rsidR="00B77F10" w:rsidRPr="00B77F10" w14:paraId="461F472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(verlichtingsapparaat)</w:t>
            </w:r>
          </w:p>
        </w:tc>
      </w:tr>
      <w:tr w:rsidR="00B77F10" w:rsidRPr="00B77F10" w14:paraId="585B07A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(verbeterd identificatieapparaat)</w:t>
            </w:r>
          </w:p>
        </w:tc>
      </w:tr>
      <w:tr w:rsidR="00B77F10" w:rsidRPr="00B77F10" w14:paraId="56CA429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Noodverlichting</w:t>
            </w:r>
          </w:p>
        </w:tc>
        <w:tc>
          <w:tcPr>
            <w:tcW w:w="1754" w:type="dxa"/>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Onafhankelijke woonverlichtingseenheden (B.A.E.H.)</w:t>
            </w:r>
          </w:p>
        </w:tc>
      </w:tr>
      <w:tr w:rsidR="00B77F10" w:rsidRPr="00B77F10" w14:paraId="06EF702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Dubbele functie (B.A.E.S + B.A.E.H.)</w:t>
            </w:r>
          </w:p>
        </w:tc>
      </w:tr>
      <w:tr w:rsidR="00B77F10" w:rsidRPr="00B77F10" w14:paraId="3310E95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Interventie</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Draagbare stand-alone interventie-eenheden (B.A.P.I)</w:t>
            </w:r>
          </w:p>
        </w:tc>
      </w:tr>
      <w:tr w:rsidR="00B77F10" w:rsidRPr="00B77F10" w14:paraId="6C04FF8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Levering</w:t>
            </w:r>
          </w:p>
        </w:tc>
        <w:tc>
          <w:tcPr>
            <w:tcW w:w="1754" w:type="dxa"/>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Centrale bron voor noodverlichting</w:t>
            </w:r>
          </w:p>
        </w:tc>
      </w:tr>
      <w:tr w:rsidR="00B77F10" w:rsidRPr="00B77F10" w14:paraId="0476AE1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Brandveiligheid</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Brandveiligheid en technisch alarm</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Onafhankelijke rookmelders/alarmen</w:t>
            </w:r>
          </w:p>
        </w:tc>
      </w:tr>
      <w:tr w:rsidR="00B77F10" w:rsidRPr="00B77F10" w14:paraId="0108CDE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Technische alarmen en detectoren (overstroming, gas, enz.)</w:t>
            </w:r>
          </w:p>
        </w:tc>
      </w:tr>
      <w:tr w:rsidR="00B77F10" w:rsidRPr="00B77F10" w14:paraId="07BE589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Zelfstandige koolmonoxidedetectoren</w:t>
            </w:r>
          </w:p>
        </w:tc>
      </w:tr>
      <w:tr w:rsidR="00B77F10" w:rsidRPr="00B77F10" w14:paraId="2E560DD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Technische alarmen en detectoren</w:t>
            </w:r>
          </w:p>
        </w:tc>
      </w:tr>
      <w:tr w:rsidR="00B77F10" w:rsidRPr="00B77F10" w14:paraId="6FB63ED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Diversen</w:t>
            </w:r>
          </w:p>
        </w:tc>
        <w:tc>
          <w:tcPr>
            <w:tcW w:w="1657"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392390">
        <w:trPr>
          <w:tblCellSpacing w:w="15" w:type="dxa"/>
          <w:jc w:val="center"/>
        </w:trPr>
        <w:tc>
          <w:tcPr>
            <w:tcW w:w="526" w:type="dxa"/>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1247" w:type="dxa"/>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HVAC apparatuur</w:t>
            </w: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Verwarming en/of koeling en/of productie van warm water voor huishoudelijk gebruik</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Ketel (alleen verwarming)</w:t>
            </w:r>
          </w:p>
        </w:tc>
        <w:tc>
          <w:tcPr>
            <w:tcW w:w="1754" w:type="dxa"/>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Gasketel</w:t>
            </w:r>
          </w:p>
        </w:tc>
      </w:tr>
      <w:tr w:rsidR="00B77F10" w:rsidRPr="00B77F10" w14:paraId="7D6145E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Stookolieketel</w:t>
            </w:r>
          </w:p>
        </w:tc>
      </w:tr>
      <w:tr w:rsidR="00B77F10" w:rsidRPr="00B77F10" w14:paraId="67AC5EA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Hybride ketel</w:t>
            </w:r>
          </w:p>
        </w:tc>
      </w:tr>
      <w:tr w:rsidR="00B77F10" w:rsidRPr="00B77F10" w14:paraId="599CC5D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Biomassa-ketel</w:t>
            </w:r>
          </w:p>
        </w:tc>
      </w:tr>
      <w:tr w:rsidR="00B77F10" w:rsidRPr="00B77F10" w14:paraId="0B6DC1C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Gemengde ketel (verwarming en warm water voor huishoudelijk gebruik)</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Gasketel</w:t>
            </w:r>
          </w:p>
        </w:tc>
      </w:tr>
      <w:tr w:rsidR="00B77F10" w:rsidRPr="00B77F10" w14:paraId="0972193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Stookolieketel</w:t>
            </w:r>
          </w:p>
        </w:tc>
      </w:tr>
      <w:tr w:rsidR="00B77F10" w:rsidRPr="00B77F10" w14:paraId="4D2C85B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Onafhankelijke biomassatoestellen</w:t>
            </w:r>
          </w:p>
        </w:tc>
      </w:tr>
      <w:tr w:rsidR="00B77F10" w:rsidRPr="00B77F10" w14:paraId="169653E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Warmtepomp</w:t>
            </w:r>
          </w:p>
        </w:tc>
        <w:tc>
          <w:tcPr>
            <w:tcW w:w="1754" w:type="dxa"/>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Elektrische compressiewarmtepomp</w:t>
            </w:r>
          </w:p>
        </w:tc>
      </w:tr>
      <w:tr w:rsidR="00B77F10" w:rsidRPr="00B77F10" w14:paraId="03D84A0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Hybride warmtepomp</w:t>
            </w:r>
          </w:p>
        </w:tc>
      </w:tr>
      <w:tr w:rsidR="00B77F10" w:rsidRPr="00B77F10" w14:paraId="4917C6A5"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Pomp voor de watercirculatie</w:t>
            </w:r>
          </w:p>
        </w:tc>
        <w:tc>
          <w:tcPr>
            <w:tcW w:w="1754" w:type="dxa"/>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w:t>
            </w:r>
          </w:p>
        </w:tc>
      </w:tr>
      <w:tr w:rsidR="00B77F10" w:rsidRPr="00B77F10" w14:paraId="5ADCA85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Verwarmde handdoekhouder</w:t>
            </w:r>
          </w:p>
        </w:tc>
      </w:tr>
      <w:tr w:rsidR="00B77F10" w:rsidRPr="00B77F10" w14:paraId="0831CE6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Directe elektrische verwarming via een zichtbare vaste eenheid</w:t>
            </w:r>
          </w:p>
        </w:tc>
        <w:tc>
          <w:tcPr>
            <w:tcW w:w="1754" w:type="dxa"/>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Convector</w:t>
            </w:r>
          </w:p>
        </w:tc>
      </w:tr>
      <w:tr w:rsidR="00B77F10" w:rsidRPr="00B77F10" w14:paraId="5BC7E97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Straling</w:t>
            </w:r>
          </w:p>
        </w:tc>
      </w:tr>
      <w:tr w:rsidR="00B77F10" w:rsidRPr="00B77F10" w14:paraId="6AD73E2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Radiator</w:t>
            </w:r>
          </w:p>
        </w:tc>
      </w:tr>
      <w:tr w:rsidR="00B77F10" w:rsidRPr="00B77F10" w14:paraId="2D47234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Uitrusting met een secundaire functie als een verwarmd handdoekrek</w:t>
            </w:r>
          </w:p>
        </w:tc>
      </w:tr>
      <w:tr w:rsidR="00B77F10" w:rsidRPr="00B77F10" w14:paraId="34BF4304"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Productie van warm water voor huishoudelijk gebruik</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Liter</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Individuele warmwaterketel</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Elektrisch waterverwarmingstoestel</w:t>
            </w:r>
          </w:p>
        </w:tc>
      </w:tr>
      <w:tr w:rsidR="00B77F10" w:rsidRPr="00B77F10" w14:paraId="5FD5115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Thermodynamisch waterverwarmingstoestel</w:t>
            </w:r>
          </w:p>
        </w:tc>
      </w:tr>
      <w:tr w:rsidR="00B77F10" w:rsidRPr="00B77F10" w14:paraId="477AF58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Waterverwarming op gas</w:t>
            </w:r>
          </w:p>
        </w:tc>
      </w:tr>
      <w:tr w:rsidR="00B77F10" w:rsidRPr="00B77F10" w14:paraId="54472814"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Individuele waterverwarming op zonne-energie</w:t>
            </w:r>
          </w:p>
        </w:tc>
      </w:tr>
      <w:tr w:rsidR="00B77F10" w:rsidRPr="00B77F10" w14:paraId="5112EFC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Eindcomforteenheden</w:t>
            </w:r>
          </w:p>
        </w:tc>
        <w:tc>
          <w:tcPr>
            <w:tcW w:w="1657"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10" w:type="dxa"/>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Ventilatorverwarmers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Ventilatorverwarmers</w:t>
            </w:r>
          </w:p>
        </w:tc>
      </w:tr>
      <w:tr w:rsidR="00B77F10" w:rsidRPr="00B77F10" w14:paraId="384F2CA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of m³</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Klimaatbalken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Passieve klimaatbalken</w:t>
            </w:r>
          </w:p>
        </w:tc>
      </w:tr>
      <w:tr w:rsidR="00B77F10" w:rsidRPr="00B77F10" w14:paraId="2936C72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Actieve klimaatbalken</w:t>
            </w:r>
          </w:p>
        </w:tc>
      </w:tr>
      <w:tr w:rsidR="00B77F10" w:rsidRPr="00B77F10" w14:paraId="04B7CB4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10" w:type="dxa"/>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Dynamische radiatoren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Dynamische radiatoren</w:t>
            </w:r>
          </w:p>
        </w:tc>
      </w:tr>
      <w:tr w:rsidR="00B77F10" w:rsidRPr="00B77F10" w14:paraId="17CA868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Leidingen en netwerkaccessoires</w:t>
            </w:r>
          </w:p>
        </w:tc>
        <w:tc>
          <w:tcPr>
            <w:tcW w:w="1657"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Bochten en toebehoren</w:t>
            </w:r>
          </w:p>
        </w:tc>
      </w:tr>
      <w:tr w:rsidR="00B77F10" w:rsidRPr="00B77F10" w14:paraId="75AAB13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Flexibele kanalen</w:t>
            </w:r>
          </w:p>
        </w:tc>
      </w:tr>
      <w:tr w:rsidR="00B77F10" w:rsidRPr="00B77F10" w14:paraId="146D6AC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Stijve kanalen</w:t>
            </w:r>
          </w:p>
        </w:tc>
      </w:tr>
      <w:tr w:rsidR="00B77F10" w:rsidRPr="00B77F10" w14:paraId="63144C0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Luchtdiffusie</w:t>
            </w:r>
          </w:p>
        </w:tc>
        <w:tc>
          <w:tcPr>
            <w:tcW w:w="1657"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m³/uur</w:t>
            </w:r>
          </w:p>
        </w:tc>
        <w:tc>
          <w:tcPr>
            <w:tcW w:w="1110" w:type="dxa"/>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Luchtinlaten</w:t>
            </w:r>
          </w:p>
        </w:tc>
      </w:tr>
      <w:tr w:rsidR="00B77F10" w:rsidRPr="00B77F10" w14:paraId="23380AA2"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Passieve terminals</w:t>
            </w:r>
          </w:p>
        </w:tc>
      </w:tr>
      <w:tr w:rsidR="00B77F10" w:rsidRPr="00B77F10" w14:paraId="47C6081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Diffusers</w:t>
            </w:r>
          </w:p>
        </w:tc>
      </w:tr>
      <w:tr w:rsidR="00B77F10" w:rsidRPr="00B77F10" w14:paraId="7D78275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Luchtfilter</w:t>
            </w:r>
          </w:p>
        </w:tc>
      </w:tr>
      <w:tr w:rsidR="00B77F10" w:rsidRPr="00B77F10" w14:paraId="7776850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Openingen voor extractor en blower</w:t>
            </w:r>
          </w:p>
        </w:tc>
      </w:tr>
      <w:tr w:rsidR="00B77F10" w:rsidRPr="00B77F10" w14:paraId="0DB009C4"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Luchtzuivering</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m³/uur</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Luchtbehandelingsinstallatie</w:t>
            </w:r>
          </w:p>
        </w:tc>
      </w:tr>
      <w:tr w:rsidR="00B77F10" w:rsidRPr="00B77F10" w14:paraId="28F80E4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Dubbele stroomeenheid</w:t>
            </w:r>
          </w:p>
        </w:tc>
      </w:tr>
      <w:tr w:rsidR="00B77F10" w:rsidRPr="00B77F10" w14:paraId="1125088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Ventilatiedoos</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m³/uur</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Enkele stroom mechanisch geregelde ventilatie (VMC)</w:t>
            </w:r>
          </w:p>
        </w:tc>
      </w:tr>
      <w:tr w:rsidR="00B77F10" w:rsidRPr="00B77F10" w14:paraId="33D5133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Dubbelstrooms mechanisch geregelde ventilatie (VMC)</w:t>
            </w:r>
          </w:p>
        </w:tc>
      </w:tr>
      <w:tr w:rsidR="00B77F10" w:rsidRPr="00B77F10" w14:paraId="4C8E159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Ventilatiedoos</w:t>
            </w:r>
          </w:p>
        </w:tc>
      </w:tr>
      <w:tr w:rsidR="00B77F10" w:rsidRPr="00B77F10" w14:paraId="40A02F5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Koeling</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Productie-eenheid voor ijswater</w:t>
            </w:r>
          </w:p>
        </w:tc>
      </w:tr>
      <w:tr w:rsidR="00B77F10" w:rsidRPr="00B77F10" w14:paraId="70B8C49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Koeltoren</w:t>
            </w:r>
          </w:p>
        </w:tc>
      </w:tr>
      <w:tr w:rsidR="00B77F10" w:rsidRPr="00B77F10" w14:paraId="32625D6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Luchtkoelers</w:t>
            </w:r>
          </w:p>
        </w:tc>
      </w:tr>
      <w:tr w:rsidR="00B77F10" w:rsidRPr="00B77F10" w14:paraId="4344006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Mechanische rookafzuiger</w:t>
            </w:r>
          </w:p>
        </w:tc>
        <w:tc>
          <w:tcPr>
            <w:tcW w:w="1657"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m³/uur</w:t>
            </w:r>
          </w:p>
        </w:tc>
        <w:tc>
          <w:tcPr>
            <w:tcW w:w="1110" w:type="dxa"/>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Revolverkop, ventilator</w:t>
            </w:r>
          </w:p>
        </w:tc>
      </w:tr>
      <w:tr w:rsidR="00B77F10" w:rsidRPr="00B77F10" w14:paraId="5AE6905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Brandklep of brandmuur, klep, sluiter</w:t>
            </w:r>
          </w:p>
        </w:tc>
      </w:tr>
      <w:tr w:rsidR="00B77F10" w:rsidRPr="00B77F10" w14:paraId="1F0F102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Relaisdoos</w:t>
            </w:r>
          </w:p>
        </w:tc>
      </w:tr>
      <w:tr w:rsidR="00B77F10" w:rsidRPr="00B77F10" w14:paraId="72709895"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Diversen</w:t>
            </w:r>
          </w:p>
        </w:tc>
        <w:tc>
          <w:tcPr>
            <w:tcW w:w="1657"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392390">
        <w:trPr>
          <w:tblCellSpacing w:w="15" w:type="dxa"/>
          <w:jc w:val="center"/>
        </w:trPr>
        <w:tc>
          <w:tcPr>
            <w:tcW w:w="526" w:type="dxa"/>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1247" w:type="dxa"/>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Lokale elektriciteitsproductie</w:t>
            </w: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Generator voor elektriciteit</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Fotovoltaïsche modules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Kristalsilicium (monokristallijn of polykristallijn)</w:t>
            </w:r>
          </w:p>
        </w:tc>
      </w:tr>
      <w:tr w:rsidR="00B77F10" w:rsidRPr="00B77F10" w14:paraId="627A81A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Dunne lagen</w:t>
            </w:r>
          </w:p>
        </w:tc>
      </w:tr>
      <w:tr w:rsidR="00B77F10" w:rsidRPr="00B77F10" w14:paraId="5DA7E0E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Windturbines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Horizontaal</w:t>
            </w:r>
          </w:p>
        </w:tc>
      </w:tr>
      <w:tr w:rsidR="00B77F10" w:rsidRPr="00B77F10" w14:paraId="5A5971A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Verticaal</w:t>
            </w:r>
          </w:p>
        </w:tc>
      </w:tr>
      <w:tr w:rsidR="00B77F10" w:rsidRPr="00B77F10" w14:paraId="1250AAB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Omzetting en regulering</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Conversie</w:t>
            </w:r>
          </w:p>
        </w:tc>
        <w:tc>
          <w:tcPr>
            <w:tcW w:w="1754" w:type="dxa"/>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Synchrone omvormers</w:t>
            </w:r>
          </w:p>
        </w:tc>
      </w:tr>
      <w:tr w:rsidR="00B77F10" w:rsidRPr="00B77F10" w14:paraId="57FF554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Autonome omvormers</w:t>
            </w:r>
          </w:p>
        </w:tc>
      </w:tr>
      <w:tr w:rsidR="00B77F10" w:rsidRPr="00B77F10" w14:paraId="34A2A70F"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DC/DC converter</w:t>
            </w:r>
          </w:p>
        </w:tc>
      </w:tr>
      <w:tr w:rsidR="00B77F10" w:rsidRPr="00B77F10" w14:paraId="6D974E8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AC/DC converter</w:t>
            </w:r>
          </w:p>
        </w:tc>
      </w:tr>
      <w:tr w:rsidR="00B77F10" w:rsidRPr="00B77F10" w14:paraId="0B46150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Verordening</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Lastregelaar</w:t>
            </w:r>
          </w:p>
        </w:tc>
      </w:tr>
      <w:tr w:rsidR="00B77F10" w:rsidRPr="00B77F10" w14:paraId="053A13A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Opslag</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Elektrochemische batterij</w:t>
            </w:r>
          </w:p>
        </w:tc>
        <w:tc>
          <w:tcPr>
            <w:tcW w:w="1754" w:type="dxa"/>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Lood – zuur</w:t>
            </w:r>
          </w:p>
        </w:tc>
      </w:tr>
      <w:tr w:rsidR="00B77F10" w:rsidRPr="00B77F10" w14:paraId="17CBB55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Lithium – ion</w:t>
            </w:r>
          </w:p>
        </w:tc>
      </w:tr>
      <w:tr w:rsidR="00B77F10" w:rsidRPr="00B77F10" w14:paraId="34A8F9B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Andere</w:t>
            </w:r>
          </w:p>
        </w:tc>
      </w:tr>
      <w:tr w:rsidR="00B77F10" w:rsidRPr="00B77F10" w14:paraId="592D3F5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Toezicht</w:t>
            </w:r>
          </w:p>
        </w:tc>
        <w:tc>
          <w:tcPr>
            <w:tcW w:w="1657"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Toezicht</w:t>
            </w:r>
          </w:p>
        </w:tc>
        <w:tc>
          <w:tcPr>
            <w:tcW w:w="1754" w:type="dxa"/>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Bewakingsapparatuur</w:t>
            </w:r>
          </w:p>
        </w:tc>
      </w:tr>
      <w:tr w:rsidR="00B77F10" w:rsidRPr="00B77F10" w14:paraId="221F3F4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Diversen</w:t>
            </w:r>
          </w:p>
        </w:tc>
        <w:tc>
          <w:tcPr>
            <w:tcW w:w="1657"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392390">
        <w:trPr>
          <w:tblCellSpacing w:w="15" w:type="dxa"/>
          <w:jc w:val="center"/>
        </w:trPr>
        <w:tc>
          <w:tcPr>
            <w:tcW w:w="526" w:type="dxa"/>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1247" w:type="dxa"/>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Verlichtingsapparatuur</w:t>
            </w: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Apparatuur voor binnenverlichting en voedingen</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Verzonken verlichting</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Lineaire inbouw binnenverlichting voor kantoorverlichting</w:t>
            </w:r>
          </w:p>
        </w:tc>
      </w:tr>
      <w:tr w:rsidR="00B77F10" w:rsidRPr="00B77F10" w14:paraId="36EC666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Niet-lineaire inbouw binnenverlichting voor kantoorverlichting</w:t>
            </w:r>
          </w:p>
        </w:tc>
      </w:tr>
      <w:tr w:rsidR="00B77F10" w:rsidRPr="00B77F10" w14:paraId="74700B34"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Binnen inbouw accentverlichting (spots)</w:t>
            </w:r>
          </w:p>
        </w:tc>
      </w:tr>
      <w:tr w:rsidR="00B77F10" w:rsidRPr="00B77F10" w14:paraId="07CBA84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Aan het oppervlak gemonteerde lichten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Plafondverlichting, lineaire interne hangarmaturen voor kantoor- of industriële verlichting</w:t>
            </w:r>
          </w:p>
        </w:tc>
      </w:tr>
      <w:tr w:rsidR="00B77F10" w:rsidRPr="00B77F10" w14:paraId="2031FCE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Functionele interne lineaire oppervlakte-montage wandverlichting</w:t>
            </w:r>
          </w:p>
        </w:tc>
      </w:tr>
      <w:tr w:rsidR="00B77F10" w:rsidRPr="00B77F10" w14:paraId="6339BED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Plafondverlichting, wandverlichting aan het oppervlak, decoratieve interne hangarmaturen</w:t>
            </w:r>
          </w:p>
        </w:tc>
      </w:tr>
      <w:tr w:rsidR="00B77F10" w:rsidRPr="00B77F10" w14:paraId="4354D510"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Interne patrijspoorten</w:t>
            </w:r>
          </w:p>
        </w:tc>
      </w:tr>
      <w:tr w:rsidR="00B77F10" w:rsidRPr="00B77F10" w14:paraId="2E27CB7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Binnenverlichtingsstrips (zonder optische voorzieningen, in tegenstelling tot lineaire producten)</w:t>
            </w:r>
          </w:p>
        </w:tc>
      </w:tr>
      <w:tr w:rsidR="00B77F10" w:rsidRPr="00B77F10" w14:paraId="4090BDC5"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Schijnwerpers binnen, wand- of railgemonteerd of opgehangen, voor accentverlichting</w:t>
            </w:r>
          </w:p>
        </w:tc>
      </w:tr>
      <w:tr w:rsidR="00B77F10" w:rsidRPr="00B77F10" w14:paraId="4B95AF7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Waterbestendige binnenverlichting</w:t>
            </w:r>
          </w:p>
        </w:tc>
      </w:tr>
      <w:tr w:rsidR="00B77F10" w:rsidRPr="00B77F10" w14:paraId="791B7F6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LED flexibele staven en strips (inclusief voeding)</w:t>
            </w:r>
          </w:p>
        </w:tc>
      </w:tr>
      <w:tr w:rsidR="00B77F10" w:rsidRPr="00B77F10" w14:paraId="254F281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Hangende hulpstukken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Industriële hulpstukken</w:t>
            </w:r>
          </w:p>
        </w:tc>
      </w:tr>
      <w:tr w:rsidR="00B77F10" w:rsidRPr="00B77F10" w14:paraId="0A270755"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Continue on-line constructies voor industriële of commerciële verlichting</w:t>
            </w:r>
          </w:p>
        </w:tc>
      </w:tr>
      <w:tr w:rsidR="00B77F10" w:rsidRPr="00B77F10" w14:paraId="7C7BF219"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Montages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Schijnwerpersrails</w:t>
            </w:r>
          </w:p>
        </w:tc>
      </w:tr>
      <w:tr w:rsidR="00B77F10" w:rsidRPr="00B77F10" w14:paraId="2AA11EE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Apparatuur voor buitenverlichting en voedingen</w:t>
            </w: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Schijnwerpers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Spotlights voor sport en grote gebieden</w:t>
            </w:r>
          </w:p>
        </w:tc>
      </w:tr>
      <w:tr w:rsidR="00B77F10" w:rsidRPr="00B77F10" w14:paraId="02FC734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Buitenspots voor decoratieve verlichting</w:t>
            </w:r>
          </w:p>
        </w:tc>
      </w:tr>
      <w:tr w:rsidR="00B77F10" w:rsidRPr="00B77F10" w14:paraId="354680A3"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Verlichtingstoestellen voor buitenverlichting, andere dan schijnwerpers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Verlichting voor decoratieve verlichting</w:t>
            </w:r>
          </w:p>
        </w:tc>
      </w:tr>
      <w:tr w:rsidR="00B77F10" w:rsidRPr="00B77F10" w14:paraId="61B17E4A"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Verlichting voor functionele verlichting</w:t>
            </w:r>
          </w:p>
        </w:tc>
      </w:tr>
      <w:tr w:rsidR="00B77F10" w:rsidRPr="00B77F10" w14:paraId="4367BB7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Periodieke verlichting</w:t>
            </w:r>
          </w:p>
        </w:tc>
      </w:tr>
      <w:tr w:rsidR="00B77F10" w:rsidRPr="00B77F10" w14:paraId="09C1E3F8"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Verzonken schijnwerpers</w:t>
            </w:r>
          </w:p>
        </w:tc>
        <w:tc>
          <w:tcPr>
            <w:tcW w:w="1754" w:type="dxa"/>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Buitenspots voor inbouw in vloeren of wanden</w:t>
            </w:r>
          </w:p>
        </w:tc>
      </w:tr>
      <w:tr w:rsidR="00B77F10" w:rsidRPr="00B77F10" w14:paraId="410EBC7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Verzonken verlichting voor oriëntatie</w:t>
            </w:r>
          </w:p>
        </w:tc>
        <w:tc>
          <w:tcPr>
            <w:tcW w:w="1754" w:type="dxa"/>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Oriëntatieverlichtingarmaturen voor buiten te verzinken in de vloer of muren</w:t>
            </w:r>
          </w:p>
        </w:tc>
      </w:tr>
      <w:tr w:rsidR="00B77F10" w:rsidRPr="00B77F10" w14:paraId="746257F1"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Posten en kolommen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Decoratieve externe terminals</w:t>
            </w:r>
          </w:p>
        </w:tc>
      </w:tr>
      <w:tr w:rsidR="00B77F10" w:rsidRPr="00B77F10" w14:paraId="2408F687"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Decoratieve buitenlichtkolommen</w:t>
            </w:r>
          </w:p>
        </w:tc>
      </w:tr>
      <w:tr w:rsidR="00B77F10" w:rsidRPr="00B77F10" w14:paraId="2982017D"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Waterbestendige verlichting IP &gt; 54</w:t>
            </w:r>
          </w:p>
        </w:tc>
        <w:tc>
          <w:tcPr>
            <w:tcW w:w="1754" w:type="dxa"/>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Wandverlichting aan het oppervlak en waterdichte patrijspoorten</w:t>
            </w:r>
          </w:p>
        </w:tc>
      </w:tr>
      <w:tr w:rsidR="00B77F10" w:rsidRPr="00B77F10" w14:paraId="08159624"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Onderwaterverlichting voor zwembaden of fonteinen</w:t>
            </w:r>
          </w:p>
        </w:tc>
      </w:tr>
      <w:tr w:rsidR="00B77F10" w:rsidRPr="00B77F10" w14:paraId="73BFCE9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Onderwaterspots voor zwembaden of fonteinen</w:t>
            </w:r>
          </w:p>
        </w:tc>
      </w:tr>
      <w:tr w:rsidR="00B77F10" w:rsidRPr="00B77F10" w14:paraId="29AC050E"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110" w:type="dxa"/>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eenheid</w:t>
            </w:r>
          </w:p>
        </w:tc>
        <w:tc>
          <w:tcPr>
            <w:tcW w:w="1022" w:type="dxa"/>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Masten en bevestigingen</w:t>
            </w:r>
          </w:p>
        </w:tc>
        <w:tc>
          <w:tcPr>
            <w:tcW w:w="1754" w:type="dxa"/>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Masten</w:t>
            </w:r>
          </w:p>
        </w:tc>
      </w:tr>
      <w:tr w:rsidR="00B77F10" w:rsidRPr="00B77F10" w14:paraId="38416726"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Steunpilaren</w:t>
            </w:r>
          </w:p>
        </w:tc>
      </w:tr>
      <w:tr w:rsidR="00B77F10" w:rsidRPr="00B77F10" w14:paraId="3B70497B"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657"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110" w:type="dxa"/>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022" w:type="dxa"/>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Diverse bevestigingen voor buitenverlichting</w:t>
            </w:r>
          </w:p>
        </w:tc>
      </w:tr>
      <w:tr w:rsidR="00B77F10" w:rsidRPr="00B77F10" w14:paraId="7FE45DDC" w14:textId="77777777" w:rsidTr="00392390">
        <w:trPr>
          <w:tblCellSpacing w:w="15" w:type="dxa"/>
          <w:jc w:val="center"/>
        </w:trPr>
        <w:tc>
          <w:tcPr>
            <w:tcW w:w="526" w:type="dxa"/>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7" w:type="dxa"/>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1" w:type="dxa"/>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Diversen</w:t>
            </w:r>
          </w:p>
        </w:tc>
        <w:tc>
          <w:tcPr>
            <w:tcW w:w="1657"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392390">
        <w:trPr>
          <w:tblCellSpacing w:w="15" w:type="dxa"/>
          <w:jc w:val="center"/>
        </w:trPr>
        <w:tc>
          <w:tcPr>
            <w:tcW w:w="526" w:type="dxa"/>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1247" w:type="dxa"/>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Andere</w:t>
            </w:r>
          </w:p>
        </w:tc>
        <w:tc>
          <w:tcPr>
            <w:tcW w:w="1241" w:type="dxa"/>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Diversen</w:t>
            </w:r>
          </w:p>
        </w:tc>
        <w:tc>
          <w:tcPr>
            <w:tcW w:w="1657"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022" w:type="dxa"/>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54" w:type="dxa"/>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Bijlage</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Bijlage III</w:t>
      </w:r>
      <w:r>
        <w:rPr>
          <w:rFonts w:ascii="Times New Roman" w:hAnsi="Times New Roman"/>
          <w:caps/>
          <w:sz w:val="24"/>
        </w:rPr>
        <w:br/>
        <w:t>Berekening van de winsten en kosten in verband met de waardebepaling aan het einde van de levensduur.</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De weergave van een positieve waarde resulteert in een nettoheffing en een negatieve waarde resulteert in een nettowinst.</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In geval van recycling geldt voor een bepaalde stroom gerecycleerd afval (en dus voor een bepaald lambdamateriaal) de volgende formule:</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ChargeNetRecycl = MSval (ISval – IVval) – MS (IS – IV),</w:t>
      </w:r>
      <w:r>
        <w:rPr>
          <w:rFonts w:ascii="Times New Roman" w:hAnsi="Times New Roman"/>
          <w:sz w:val="24"/>
        </w:rPr>
        <w:br/>
        <w:t>waar</w:t>
      </w:r>
      <w:r>
        <w:rPr>
          <w:rFonts w:ascii="Times New Roman" w:hAnsi="Times New Roman"/>
          <w:sz w:val="24"/>
        </w:rPr>
        <w:br/>
        <w:t>MSval = massa (kg) secundair materiaal dat daadwerkelijk is teruggewonnen uit de massa van de ingezamelde voorraad (lambda-component van het materiaal in de „materiaal bestemd voor recycling”-stroom);</w:t>
      </w:r>
      <w:r>
        <w:rPr>
          <w:rFonts w:ascii="Times New Roman" w:hAnsi="Times New Roman"/>
          <w:sz w:val="24"/>
        </w:rPr>
        <w:br/>
        <w:t>IVval = productie-inventaris (per kg) van materiaal (of mengsel) waarvoor het gerecycleerde lambda-secundair materiaal in het downstream-systeem wordt vervangen (d.w.z. niet de productie-inventaris van het downstream-product, maar het productie-inventarismateriaal waaruit dit downstreamproduct bestaat);</w:t>
      </w:r>
      <w:r>
        <w:rPr>
          <w:rFonts w:ascii="Times New Roman" w:hAnsi="Times New Roman"/>
          <w:sz w:val="24"/>
        </w:rPr>
        <w:br/>
        <w:t>Isval = inventaris (per kg) van de productie van kant-en-klare secundaire materialen in het downstreamsysteem uit de voorraad;</w:t>
      </w:r>
      <w:r>
        <w:rPr>
          <w:rFonts w:ascii="Times New Roman" w:hAnsi="Times New Roman"/>
          <w:sz w:val="24"/>
        </w:rPr>
        <w:br/>
        <w:t>MS = massa (kg) van secundair materiaal dat is verwerkt in het product waarop de verklaring van toepassing is bij de vervaardiging (lambdacomponent van materiaal in het „gebruik van secundaire materialen”);</w:t>
      </w:r>
      <w:r>
        <w:rPr>
          <w:rFonts w:ascii="Times New Roman" w:hAnsi="Times New Roman"/>
          <w:sz w:val="24"/>
        </w:rPr>
        <w:br/>
        <w:t>IV = productie-inventaris (per kg) van nieuw materiaal dat wordt gebruikt voor de productie van het product waarop de aangifte van toepassing is, bij ontstentenis van recycling van het materiaal;</w:t>
      </w:r>
      <w:r>
        <w:rPr>
          <w:rFonts w:ascii="Times New Roman" w:hAnsi="Times New Roman"/>
          <w:sz w:val="24"/>
        </w:rPr>
        <w:br/>
        <w:t>= inventaris (per kg) van de productie van het gebruiksklare secundaire materiaal dat wordt gebruikt voor de vervaardiging van het product waarop de aangifte van toepassing is.</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In het geval van terugwinning van energie geldt voor een bepaalde stroom gerecycleerd afval de volgende formule:</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ChargeNetValoNRJ = MSval (ISval – PCISval × REval × IVval),</w:t>
      </w:r>
      <w:r>
        <w:rPr>
          <w:rFonts w:ascii="Times New Roman" w:hAnsi="Times New Roman"/>
          <w:sz w:val="24"/>
        </w:rPr>
        <w:br/>
        <w:t>waar</w:t>
      </w:r>
      <w:r>
        <w:rPr>
          <w:rFonts w:ascii="Times New Roman" w:hAnsi="Times New Roman"/>
          <w:sz w:val="24"/>
        </w:rPr>
        <w:br/>
        <w:t>MSval = massa (in kg) secundair materiaal dat daadwerkelijk is teruggewonnen uit de verzamelde massa van de voorraad (lambdacomponent(en) van "energieterugwinningsmateriaal") stroommateriaal;</w:t>
      </w:r>
      <w:r>
        <w:rPr>
          <w:rFonts w:ascii="Times New Roman" w:hAnsi="Times New Roman"/>
          <w:sz w:val="24"/>
        </w:rPr>
        <w:br/>
        <w:t>IVval = productie-inventaris (per kg) van de energie waarvoor de door energierecycling van de secundaire materialen teruggewonnen energie in het stroomafwaartse systeem wordt vervangen (d.w.z. niet de productie-inventaris van het stroomafwaartse systeem waaraan het secundaire materiaal zal bijdragen, maar de productie-inventaris van de door het stroomafwaartse systeem verbruikte energie, uitgedrukt in geleverd MJ);</w:t>
      </w:r>
      <w:r>
        <w:rPr>
          <w:rFonts w:ascii="Times New Roman" w:hAnsi="Times New Roman"/>
          <w:sz w:val="24"/>
        </w:rPr>
        <w:br/>
        <w:t>ISval = inventaris (per kg) van de energierecycling van het secundaire materiaal uit voorraad, waarvoor de referentiestroom de massa gerecycleerd secundair materiaal is;</w:t>
      </w:r>
      <w:r>
        <w:rPr>
          <w:rFonts w:ascii="Times New Roman" w:hAnsi="Times New Roman"/>
          <w:sz w:val="24"/>
        </w:rPr>
        <w:br/>
        <w:t>PCISval = IBD (MJ/kg) van secundair materiaal teruggewonnen;</w:t>
      </w:r>
      <w:r>
        <w:rPr>
          <w:rFonts w:ascii="Times New Roman" w:hAnsi="Times New Roman"/>
          <w:sz w:val="24"/>
        </w:rPr>
        <w:br/>
        <w:t>Reval = energieopbrengst van de gerecupereerde secundaire energierecycling-installatie.</w:t>
      </w:r>
      <w:r>
        <w:rPr>
          <w:rFonts w:ascii="Times New Roman" w:hAnsi="Times New Roman"/>
          <w:sz w:val="24"/>
        </w:rPr>
        <w:br/>
        <w:t>Het totale voordeel voor het aangegeven product wordt vervolgens verkregen als de som van alle collectieve voordelen die voor elk van de materialen/stromen worden berekend.</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Bijlage</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BIJLAGE IV</w:t>
      </w:r>
      <w:r>
        <w:rPr>
          <w:rFonts w:ascii="Times New Roman" w:hAnsi="Times New Roman"/>
          <w:sz w:val="24"/>
        </w:rPr>
        <w:br/>
        <w:t>KADER VOOR DE GELDIGHEID VAN COLLECTIEVE MILIEUVERKLARINGEN VOOR PRODUCTEN</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Homogeniteit Een levenscyclusanalyse (LCA) omvat een grote hoeveelheid data voor tal van scenario’s. Bepaalde gegevens worden ter plaatse verzameld, sommige worden berekend en sommige worden geschat. De gegevens die een LCA leveren, zijn dus gegevens met een zekere mate van onzekerheid. Het resultaat van een LCA is dus vrij gevoelig voor variaties in invoergegevens.</w:t>
      </w:r>
      <w:r>
        <w:rPr>
          <w:rFonts w:ascii="Times New Roman" w:hAnsi="Times New Roman"/>
          <w:sz w:val="24"/>
        </w:rPr>
        <w:br/>
        <w:t>Artikel 8 van dit besluit bepaalt dat de milieueffecten van registranten die dezelfde collectieve milieuverklaring gebruiken, homogeen moeten zijn. Een collectieve milieuverklaring zal dus betrekking hebben op milieu homogene producten als het mogelijk is ervoor te zorgen dat alle betrokken producten milieueffecten onder een grenswaarde aangeven als zij voldoen aan het geldigheidskader van deze collectieve milieuverklaring.</w:t>
      </w:r>
      <w:r>
        <w:rPr>
          <w:rFonts w:ascii="Times New Roman" w:hAnsi="Times New Roman"/>
          <w:sz w:val="24"/>
        </w:rPr>
        <w:br/>
        <w:t>Aangenomen wordt dat deze homogeniteit alleen voor bepaalde controle-indicatoren mag worden aangetoond.</w:t>
      </w:r>
      <w:r>
        <w:rPr>
          <w:rFonts w:ascii="Times New Roman" w:hAnsi="Times New Roman"/>
          <w:sz w:val="24"/>
        </w:rPr>
        <w:br/>
        <w:t>Voor LCA-indicatoren wordt de homogeniteit aangetoond door middel van een gevoeligheidsanalyse van onzekere parameters en parameters variërend van registrant tot registrant. Er wordt sterk aanbevolen deze analyse in een vroeg stadium van het LCA-proces uit te voeren en de collectieve milieuverklaring op basis van deze analyse te baseren.</w:t>
      </w:r>
      <w:r>
        <w:rPr>
          <w:rFonts w:ascii="Times New Roman" w:hAnsi="Times New Roman"/>
          <w:sz w:val="24"/>
        </w:rPr>
        <w:br/>
        <w:t>2. Gevoeligheidsanalyse</w:t>
      </w:r>
      <w:r>
        <w:rPr>
          <w:rFonts w:ascii="Times New Roman" w:hAnsi="Times New Roman"/>
          <w:sz w:val="24"/>
        </w:rPr>
        <w:br/>
        <w:t>Een LCA-gevoeligheidsanalyse moet de volgende fasen omvatten:</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Selectie van controle-indicatoren;</w:t>
      </w:r>
      <w:r>
        <w:rPr>
          <w:rFonts w:ascii="Times New Roman" w:hAnsi="Times New Roman"/>
          <w:sz w:val="24"/>
        </w:rPr>
        <w:br/>
        <w:t>b) Identificatie van gevoelige parameters: studie van de bijdrage om inputparameters te identificeren die het meest bijdragen aan het verklaren van de waarde van controle-indicatoren (resultaten van de LCA);</w:t>
      </w:r>
      <w:r>
        <w:rPr>
          <w:rFonts w:ascii="Times New Roman" w:hAnsi="Times New Roman"/>
          <w:sz w:val="24"/>
        </w:rPr>
        <w:br/>
        <w:t>c) Bepaling van de variaties in de gevoelige parameters (grensparameters en eventuele statistische verdeling);</w:t>
      </w:r>
      <w:r>
        <w:rPr>
          <w:rFonts w:ascii="Times New Roman" w:hAnsi="Times New Roman"/>
          <w:sz w:val="24"/>
        </w:rPr>
        <w:br/>
        <w:t>d) Geparameteriseerde simulaties op basis van fasen b en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 gevoeligheidsanalyse kan iteratief zijn. Het resultaat van de gevoeligheidsanalyse moet zijn:</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Een lijst van factoren die de resultaten van LCA (gevoelige parameters) en hun toegestane variatievelden beïnvloeden (deze lijst is het geldigheidsveld);</w:t>
      </w:r>
      <w:r>
        <w:rPr>
          <w:rFonts w:ascii="Times New Roman" w:hAnsi="Times New Roman"/>
          <w:sz w:val="24"/>
        </w:rPr>
        <w:br/>
        <w:t>b) voor elke controle-indicator, een waarschijnlijk variatieinterval (95 % betrouwbaarheidsinterval) van de indicatorwaarden die door de parametersimulaties zijn verkregen.</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Fase 1: selectie van controle-indicatoren</w:t>
      </w:r>
      <w:r>
        <w:rPr>
          <w:rFonts w:ascii="Times New Roman" w:hAnsi="Times New Roman"/>
          <w:sz w:val="24"/>
        </w:rPr>
        <w:br/>
        <w:t>De keuze van controle-indicatoren moet redelijk zijn. Zij kunnen per geval worden gekozen uit de in artikel 3 van dit besluit bedoelde gevallen. Hun keuze moet gerechtvaardigd zijn. De volgende indicatoren moeten minimaal worden bestudeerd:</w:t>
      </w:r>
    </w:p>
    <w:p w14:paraId="3EA16B40" w14:textId="689A8EA5"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de opwarming van de aarde;</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gebruik van niet-hernieuwbare primaire energie, met uitzondering van niet-hernieuwbare primaire energiebronnen die als grondstof worden gebruikt;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weggegooid niet-gevaarlijk afval.</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Fase 2: identificatie van gevoelige parameters</w:t>
      </w:r>
      <w:r>
        <w:rPr>
          <w:rFonts w:ascii="Times New Roman" w:hAnsi="Times New Roman"/>
          <w:sz w:val="24"/>
        </w:rPr>
        <w:br/>
        <w:t>Voor elke controle-indicator moet een analyse van gevoelige parameters worden uitgevoerd. Daartoe wordt voorgesteld om, als eerste benadering, de effecten te verdelen naar gelang van de processen die in de levenscyclus zijn opgenomen. Deze analyse moet gebaseerd zijn op het referentiescenario dat in de gevoeligheidsanalyse wordt beschreven.</w:t>
      </w:r>
      <w:r>
        <w:rPr>
          <w:rFonts w:ascii="Times New Roman" w:hAnsi="Times New Roman"/>
          <w:sz w:val="24"/>
        </w:rPr>
        <w:br/>
        <w:t>Het verdient aanbeveling rekening te houden met alle processen met:</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een bijdrage tot het voorkomen van meer dan 5% in het basisscenario;</w:t>
      </w:r>
      <w:r>
        <w:rPr>
          <w:rFonts w:ascii="Times New Roman" w:hAnsi="Times New Roman"/>
          <w:sz w:val="24"/>
        </w:rPr>
        <w:br/>
        <w:t>- of cumulatieve effecten die ten minste 80% van de effecten van een van de controle-indicatoren vertegenwoordigen.</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 parameters van het LCA-model (het invoeren of verlaten van het proces, interne procesmodellering parameter, enz.) die deze bijdrage veranderen, moeten dan worden geïdentificeerd. Dit zijn de parameters die als gevoelig worden beschouwd.</w:t>
      </w:r>
      <w:r>
        <w:rPr>
          <w:rFonts w:ascii="Times New Roman" w:hAnsi="Times New Roman"/>
          <w:sz w:val="24"/>
        </w:rPr>
        <w:br/>
        <w:t>Aan het einde van deze analyse zal de registrant een lijst hebben van de processen die het meest bijdragen aan de controle-indicatoren gedurende de gehele levenscyclus en een lijst van gevoelige parameters.</w:t>
      </w:r>
      <w:r>
        <w:rPr>
          <w:rFonts w:ascii="Times New Roman" w:hAnsi="Times New Roman"/>
          <w:sz w:val="24"/>
        </w:rPr>
        <w:br/>
        <w:t>Fase 3: definitie van variaties van gevoelige parameters</w:t>
      </w:r>
      <w:r>
        <w:rPr>
          <w:rFonts w:ascii="Times New Roman" w:hAnsi="Times New Roman"/>
          <w:sz w:val="24"/>
        </w:rPr>
        <w:br/>
        <w:t>Deze fase bestaat uit het definiëren van het variatiebereik van elke gevoelige parameter. Dit bereik moet dan ten minste in de vorm van intervallen worden voorgesteld. Indien bekend, kan een wet worden voorzien voor de verdeling van de parameter in het hierboven gedefinieerde interval.</w:t>
      </w:r>
      <w:r>
        <w:rPr>
          <w:rFonts w:ascii="Times New Roman" w:hAnsi="Times New Roman"/>
          <w:sz w:val="24"/>
        </w:rPr>
        <w:br/>
        <w:t>Na deze fase wordt elke gevoelige parameter geassocieerd met een reeks variaties.</w:t>
      </w:r>
      <w:r>
        <w:rPr>
          <w:rFonts w:ascii="Times New Roman" w:hAnsi="Times New Roman"/>
          <w:sz w:val="24"/>
        </w:rPr>
        <w:br/>
        <w:t>Fase 4: Berekening van de variabiliteit van indicatoren</w:t>
      </w:r>
      <w:r>
        <w:rPr>
          <w:rFonts w:ascii="Times New Roman" w:hAnsi="Times New Roman"/>
          <w:sz w:val="24"/>
        </w:rPr>
        <w:br/>
        <w:t>Op basis van fase 2 en 3 wordt in deze fase gebruik gemaakt van een geschikte wiskundige methode om de variaties van de indicatoren (maximale waarden, gemiddelde waarden en minimumwaarden) te bepalen wanneer het LCA-model wordt onderworpen aan variaties in gevoelige parameters.</w:t>
      </w:r>
      <w:r>
        <w:rPr>
          <w:rFonts w:ascii="Times New Roman" w:hAnsi="Times New Roman"/>
          <w:sz w:val="24"/>
        </w:rPr>
        <w:br/>
        <w:t>Het resultaat van fase 4 is een reeks waarden die worden genomen door elk van de indicatoren waarop de gevoeligheidsanalyse betrekking heeft.</w:t>
      </w:r>
      <w:r>
        <w:rPr>
          <w:rFonts w:ascii="Times New Roman" w:hAnsi="Times New Roman"/>
          <w:sz w:val="24"/>
        </w:rPr>
        <w:br/>
        <w:t>De berekening van de variabiliteit van indicatoren omvat ten minste gevoelige parameters met betrekking tot de in artikel 8 van dit besluit bedoelde elementen.</w:t>
      </w:r>
      <w:r>
        <w:rPr>
          <w:rFonts w:ascii="Times New Roman" w:hAnsi="Times New Roman"/>
          <w:sz w:val="24"/>
        </w:rPr>
        <w:br/>
        <w:t>Fase 3 en 4 kunnen worden uitgevoerd door iteratie om het bereik van gevoelige parameters aan te passen aan de vereiste homogeniteitsvoorwaarden.</w:t>
      </w:r>
      <w:r>
        <w:rPr>
          <w:rFonts w:ascii="Times New Roman" w:hAnsi="Times New Roman"/>
          <w:sz w:val="24"/>
        </w:rPr>
        <w:br/>
        <w:t>Verslag van de gevoeligheidsanalyse</w:t>
      </w:r>
      <w:r>
        <w:rPr>
          <w:rFonts w:ascii="Times New Roman" w:hAnsi="Times New Roman"/>
          <w:sz w:val="24"/>
        </w:rPr>
        <w:br/>
        <w:t>Het verslag bevat de punten die overeenstemmen met de vier fasen van de gevoeligheidsanalyse en het eindresultaat van de gevoeligheidsanalyse, met inbegrip van de reikwijdte van de collectieve milieuverklaring en de variaties van de controle-indicatoren.</w:t>
      </w:r>
      <w:r>
        <w:rPr>
          <w:rFonts w:ascii="Times New Roman" w:hAnsi="Times New Roman"/>
          <w:sz w:val="24"/>
        </w:rPr>
        <w:br/>
        <w:t>3. Gevoeligheidsanalyse en milieuwaarden opgegeven</w:t>
      </w:r>
      <w:r>
        <w:rPr>
          <w:rFonts w:ascii="Times New Roman" w:hAnsi="Times New Roman"/>
          <w:sz w:val="24"/>
        </w:rPr>
        <w:br/>
        <w:t>De resultaten van de gevoeligheidsanalyse zijn afhankelijk van de milieuwaarden die zijn vermeld in de collectieve milieuverklaring zoals gespecificeerd in artikel 8 van dit besluit.</w:t>
      </w:r>
      <w:r>
        <w:rPr>
          <w:rFonts w:ascii="Times New Roman" w:hAnsi="Times New Roman"/>
          <w:sz w:val="24"/>
        </w:rPr>
        <w:br/>
        <w:t>Wanneer de maximumwaarde (of maximum bij een betrouwbaarheid van 95%, indien een statistische benadering wordt gebruikt) van het variatiebereik van elke indicator voor milieueffectbeheersing kleiner is dan of gelijk is aan de gemiddelde waarde van de indicator vermenigvuldigd met een grenswaarde (bepaald in artikel 8 van dit besluit), worden de waarden van de aangegeven milieueffectindicatoren berekend met de gemiddelde waarden van de gevoelige parameters. Zo niet, d.w.z. als ten minste één van de milieueffectbeheersingsindicatoren een maximumwaarde heeft die groter is dan de gemiddelde waarde van de indicator vermenigvuldigd met een grenswaarde (gespecificeerd in artikel 8 van dit besluit), dan moet de minst gunstige grens worden opgegeven (de maximumwaarde die de indicator kan bereiken bij weergave van een uitgave en de minimumwaarde bij weergave van een winst). Als de indicatoren een uitgave weergeven, komt deze grens overeen met de waarde van de indicatoren die worden verkregen wanneer de maximumwaarden (of maximum met een waarschijnlijkheid van 95%, indien een statistische benadering wordt gebruikt) van de gevoelige parameters worden gebruikt.</w:t>
      </w:r>
      <w:r>
        <w:rPr>
          <w:rFonts w:ascii="Times New Roman" w:hAnsi="Times New Roman"/>
          <w:sz w:val="24"/>
        </w:rPr>
        <w:br/>
        <w:t>4. Nauwkeurige identificatie van de producten waarop een aangifte betrekking heeft</w:t>
      </w:r>
      <w:r>
        <w:rPr>
          <w:rFonts w:ascii="Times New Roman" w:hAnsi="Times New Roman"/>
          <w:sz w:val="24"/>
        </w:rPr>
        <w:br/>
        <w:t>Om te bepalen of een product waarschijnlijk onder een collectieve milieuverklaring valt, moet worden vastgesteld of het product vergelijkbaar is met het standaardproduct waarop het betrekking heeft en of de registrant van dat product deze collectieve milieuverklaring mag gebruiken.</w:t>
      </w:r>
      <w:r>
        <w:rPr>
          <w:rFonts w:ascii="Times New Roman" w:hAnsi="Times New Roman"/>
          <w:sz w:val="24"/>
        </w:rPr>
        <w:br/>
        <w:t>Identificatie van het standaardproduct</w:t>
      </w:r>
      <w:r>
        <w:rPr>
          <w:rFonts w:ascii="Times New Roman" w:hAnsi="Times New Roman"/>
          <w:sz w:val="24"/>
        </w:rPr>
        <w:br/>
        <w:t>Het standaardproduct moet correct worden gedefinieerd en beschreven om de afstemming tussen de omschrijving van een product en die van het standaardproduct te vergemakkelijken. De beschrijving van het standaardproduct moet ten minste het volgende omvatten:</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Een lijst van de belangrijkste bestanddelen of overheersende materialen;</w:t>
      </w:r>
      <w:r>
        <w:rPr>
          <w:rFonts w:ascii="Times New Roman" w:hAnsi="Times New Roman"/>
          <w:sz w:val="24"/>
        </w:rPr>
        <w:br/>
        <w:t>b) Informatie over de functionaliteit of het prestatieniveau.</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Deze identificatie moet voldoende zijn om snel en ondubbelzinnig te weten te komen of een bepaald product onder de collectieve aangifte valt.</w:t>
      </w:r>
      <w:r>
        <w:rPr>
          <w:rFonts w:ascii="Times New Roman" w:hAnsi="Times New Roman"/>
          <w:sz w:val="24"/>
        </w:rPr>
        <w:br/>
        <w:t>Identificatie van de registranten die de collectieve milieuverklaring mogen gebruiken</w:t>
      </w:r>
      <w:r>
        <w:rPr>
          <w:rFonts w:ascii="Times New Roman" w:hAnsi="Times New Roman"/>
          <w:sz w:val="24"/>
        </w:rPr>
        <w:br/>
        <w:t>Aangezien de collectieve milieuverklaring het eigendom en de verantwoordelijkheid van een gemeenschap is, kan die gemeenschap besluiten dat slechts enkele registranten deze collectieve milieuverklaring kunnen gebruiken.</w:t>
      </w:r>
      <w:r>
        <w:rPr>
          <w:rFonts w:ascii="Times New Roman" w:hAnsi="Times New Roman"/>
          <w:sz w:val="24"/>
        </w:rPr>
        <w:br/>
        <w:t>Een lijst van registranten die een collectieve milieuverklaring mogen gebruiken, moet worden verstrekt:</w:t>
      </w:r>
    </w:p>
    <w:p w14:paraId="2AB81917" w14:textId="38F1FF20"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hetzij in de vorm van een uitputtende lijst van namen;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of in de vorm van een voorwaarde van lidmaatschap van een collectieve entiteit (vereniging, vakbond, ondertekenaars van een handvest van goede praktijken, enz.). In dit geval moet de lijst van leden van die gemeenschap publiekelijk beschikbaar zijn.</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Inhoud van het geldigheidskader</w:t>
      </w:r>
      <w:r>
        <w:rPr>
          <w:rFonts w:ascii="Times New Roman" w:hAnsi="Times New Roman"/>
          <w:sz w:val="24"/>
        </w:rPr>
        <w:br/>
        <w:t>Het geldigheidskader omvat ten minste:</w:t>
      </w:r>
    </w:p>
    <w:p w14:paraId="76B32132" w14:textId="0B7FDB7A"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Identificatie van het standaardproduct (verplicht);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Producten waarop de collectieve milieuverklaring betrekking heeft;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Identificatie van de registranten die gebruik kunnen maken van de collectieve milieuverklaring;</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Het rapport van de gevoeligheidsstudie, met inbegrip van het bereik van de geldigheid en het bewijs dat de aangegeven waarden van de indicatoren homogeen zijn.</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Gebruik van het geldigheidskader</w:t>
      </w:r>
      <w:r>
        <w:rPr>
          <w:rFonts w:ascii="Times New Roman" w:hAnsi="Times New Roman"/>
          <w:sz w:val="24"/>
        </w:rPr>
        <w:br/>
        <w:t>Om een registrant een collectieve milieuverklaring voor zijn product te laten gebruiken, moet hij het volgende aantonen:</w:t>
      </w:r>
    </w:p>
    <w:p w14:paraId="0B262F36" w14:textId="70F1007D"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Of hun product voldoet aan het „standaardproduct” waarop de collectieve milieuverklaring betrekking heeft;</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Het staat op de lijst van registranten die voor deze collectieve milieuverklaring zijn toegelaten;</w:t>
      </w:r>
      <w:r>
        <w:rPr>
          <w:rFonts w:ascii="Times New Roman" w:hAnsi="Times New Roman"/>
          <w:sz w:val="24"/>
        </w:rPr>
        <w:br/>
      </w:r>
      <w:r w:rsidR="00392390">
        <w:rPr>
          <w:rFonts w:ascii="Times New Roman" w:hAnsi="Times New Roman"/>
          <w:sz w:val="24"/>
        </w:rPr>
        <w:t xml:space="preserve">- </w:t>
      </w:r>
      <w:r>
        <w:rPr>
          <w:rFonts w:ascii="Times New Roman" w:hAnsi="Times New Roman"/>
          <w:sz w:val="24"/>
        </w:rPr>
        <w:t>Dat zij voldoet aan de geldigheidsmarge van de betrokken collectieve milieuverklaring.</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Opgemaakt op 14 december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 onderminister van de minister van Ecologische Transitie, belast met volkshuisvesting,</w:t>
      </w:r>
      <w:r>
        <w:rPr>
          <w:rFonts w:ascii="Times New Roman" w:hAnsi="Times New Roman"/>
          <w:sz w:val="24"/>
        </w:rPr>
        <w:br/>
        <w:t>Voor de minister en bij delegatie:</w:t>
      </w:r>
      <w:r>
        <w:rPr>
          <w:rFonts w:ascii="Times New Roman" w:hAnsi="Times New Roman"/>
          <w:sz w:val="24"/>
        </w:rPr>
        <w:br/>
        <w:t>De directeur voor huisvesting, stadsontwikkeling en landschapsarchitectuur,</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van Ecologische Overgang,</w:t>
      </w:r>
      <w:r>
        <w:rPr>
          <w:rFonts w:ascii="Times New Roman" w:hAnsi="Times New Roman"/>
          <w:sz w:val="24"/>
        </w:rPr>
        <w:br/>
        <w:t>Voor de minister en bij delegatie:</w:t>
      </w:r>
      <w:r>
        <w:rPr>
          <w:rFonts w:ascii="Times New Roman" w:hAnsi="Times New Roman"/>
          <w:sz w:val="24"/>
        </w:rPr>
        <w:br/>
        <w:t>De directeur voor huisvesting, stadsontwikkeling en landschapsarchitectuur,</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98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92390"/>
    <w:rsid w:val="003F2E4D"/>
    <w:rsid w:val="004C6E58"/>
    <w:rsid w:val="00657670"/>
    <w:rsid w:val="00B77F10"/>
    <w:rsid w:val="00C879EF"/>
    <w:rsid w:val="00D64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36</Pages>
  <Words>7334</Words>
  <Characters>41810</Characters>
  <Application>Microsoft Office Word</Application>
  <DocSecurity>0</DocSecurity>
  <Lines>348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3</cp:revision>
  <dcterms:created xsi:type="dcterms:W3CDTF">2022-05-04T13:00:00Z</dcterms:created>
  <dcterms:modified xsi:type="dcterms:W3CDTF">2022-05-05T09:40:00Z</dcterms:modified>
</cp:coreProperties>
</file>