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A862C" w14:textId="524DC53F" w:rsidR="00FD48A4" w:rsidRPr="00A772AF" w:rsidRDefault="00FD48A4" w:rsidP="00031EAA">
      <w:pPr>
        <w:spacing w:after="0"/>
        <w:rPr>
          <w:rFonts w:ascii="Arial" w:hAnsi="Arial"/>
          <w:b/>
        </w:rPr>
      </w:pPr>
      <w:r>
        <w:rPr>
          <w:rFonts w:ascii="Arial" w:hAnsi="Arial"/>
          <w:b/>
        </w:rPr>
        <w:t>Komisja ds. Nadzoru Budowlanego</w:t>
      </w:r>
    </w:p>
    <w:p w14:paraId="0C94D07D" w14:textId="77777777" w:rsidR="00031EAA" w:rsidRPr="00A772AF" w:rsidRDefault="00031EAA" w:rsidP="001B6FCB">
      <w:pPr>
        <w:spacing w:after="0" w:line="240" w:lineRule="auto"/>
        <w:rPr>
          <w:rFonts w:ascii="Arial" w:hAnsi="Arial"/>
          <w:sz w:val="8"/>
          <w:szCs w:val="8"/>
        </w:rPr>
      </w:pPr>
    </w:p>
    <w:p w14:paraId="4D77DE3C" w14:textId="1DEB5BE9" w:rsidR="00FD48A4" w:rsidRPr="00A772AF" w:rsidRDefault="00FD48A4" w:rsidP="00552591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</w:rPr>
      </w:pPr>
      <w:r>
        <w:rPr>
          <w:rFonts w:ascii="Arial" w:hAnsi="Arial"/>
          <w:b/>
        </w:rPr>
        <w:t>Projekt</w:t>
      </w:r>
    </w:p>
    <w:p w14:paraId="30EE2174" w14:textId="34621BC4" w:rsidR="00552591" w:rsidRPr="00A772AF" w:rsidRDefault="00FD48A4" w:rsidP="00552591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</w:rPr>
      </w:pPr>
      <w:r>
        <w:rPr>
          <w:rFonts w:ascii="Arial" w:hAnsi="Arial"/>
          <w:b/>
        </w:rPr>
        <w:t xml:space="preserve">rozporządzenia w sprawie budowy i eksploatacji </w:t>
      </w:r>
    </w:p>
    <w:p w14:paraId="3A862C51" w14:textId="340512A8" w:rsidR="00716354" w:rsidRPr="00A772AF" w:rsidRDefault="00552591" w:rsidP="00552591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</w:rPr>
      </w:pPr>
      <w:r>
        <w:rPr>
          <w:rFonts w:ascii="Arial" w:hAnsi="Arial"/>
          <w:b/>
        </w:rPr>
        <w:t xml:space="preserve">garaży i miejsc parkingowych </w:t>
      </w:r>
      <w:r>
        <w:rPr>
          <w:rFonts w:ascii="Arial" w:hAnsi="Arial"/>
          <w:b/>
        </w:rPr>
        <w:tab/>
      </w:r>
    </w:p>
    <w:p w14:paraId="485EFCB6" w14:textId="046B64CB" w:rsidR="00552591" w:rsidRPr="00A772AF" w:rsidRDefault="00552591" w:rsidP="00552591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</w:rPr>
      </w:pPr>
      <w:r>
        <w:rPr>
          <w:rFonts w:ascii="Arial" w:hAnsi="Arial"/>
          <w:b/>
        </w:rPr>
        <w:t>(Projekt rozporządzenia w sprawie parkingów M-GarVO</w:t>
      </w:r>
      <w:r w:rsidR="001B6FCB" w:rsidRPr="00A772AF">
        <w:rPr>
          <w:rStyle w:val="FootnoteReference"/>
          <w:rFonts w:ascii="Arial" w:eastAsia="Times New Roman" w:hAnsi="Arial" w:cs="Arial"/>
          <w:b/>
          <w:lang w:eastAsia="de-DE"/>
        </w:rPr>
        <w:footnoteReference w:id="1"/>
      </w:r>
      <w:r>
        <w:rPr>
          <w:rFonts w:ascii="Arial" w:hAnsi="Arial"/>
          <w:b/>
        </w:rPr>
        <w:t>)</w:t>
      </w:r>
    </w:p>
    <w:p w14:paraId="64D07E3C" w14:textId="082D3518" w:rsidR="00552591" w:rsidRPr="00A772AF" w:rsidRDefault="00A074A4" w:rsidP="00552591">
      <w:pPr>
        <w:spacing w:after="0" w:line="240" w:lineRule="auto"/>
        <w:contextualSpacing/>
        <w:jc w:val="center"/>
        <w:rPr>
          <w:rFonts w:ascii="Arial" w:eastAsia="Times New Roman" w:hAnsi="Arial" w:cs="Arial"/>
        </w:rPr>
      </w:pPr>
      <w:r>
        <w:rPr>
          <w:rFonts w:ascii="Arial" w:hAnsi="Arial"/>
        </w:rPr>
        <w:t>Wersja z 19 marca 2021 r.</w:t>
      </w:r>
    </w:p>
    <w:p w14:paraId="6D0E7F1E" w14:textId="77777777" w:rsidR="00EA4225" w:rsidRPr="00A772AF" w:rsidRDefault="00EA4225" w:rsidP="00552591">
      <w:pPr>
        <w:spacing w:after="0" w:line="240" w:lineRule="auto"/>
        <w:contextualSpacing/>
        <w:jc w:val="center"/>
        <w:rPr>
          <w:rFonts w:ascii="Arial" w:eastAsia="Times New Roman" w:hAnsi="Arial" w:cs="Arial"/>
          <w:sz w:val="8"/>
          <w:szCs w:val="8"/>
          <w:lang w:eastAsia="de-DE"/>
        </w:rPr>
      </w:pPr>
    </w:p>
    <w:sdt>
      <w:sdtPr>
        <w:rPr>
          <w:rFonts w:ascii="Arial" w:eastAsiaTheme="minorHAnsi" w:hAnsi="Arial" w:cs="Arial"/>
          <w:b/>
          <w:noProof/>
          <w:color w:val="auto"/>
          <w:sz w:val="22"/>
          <w:szCs w:val="22"/>
          <w:lang w:eastAsia="en-US"/>
        </w:rPr>
        <w:id w:val="-1205402924"/>
        <w:docPartObj>
          <w:docPartGallery w:val="Table of Contents"/>
          <w:docPartUnique/>
        </w:docPartObj>
      </w:sdtPr>
      <w:sdtEndPr>
        <w:rPr>
          <w:b w:val="0"/>
          <w:bCs/>
          <w:sz w:val="16"/>
          <w:szCs w:val="16"/>
        </w:rPr>
      </w:sdtEndPr>
      <w:sdtContent>
        <w:p w14:paraId="38FB7732" w14:textId="593A3492" w:rsidR="000705AA" w:rsidRPr="00A772AF" w:rsidRDefault="000705AA" w:rsidP="001B6FCB">
          <w:pPr>
            <w:pStyle w:val="TOCHeading"/>
            <w:spacing w:before="0"/>
            <w:rPr>
              <w:rFonts w:ascii="Arial" w:hAnsi="Arial" w:cs="Arial"/>
              <w:b/>
              <w:color w:val="auto"/>
              <w:sz w:val="22"/>
              <w:szCs w:val="22"/>
            </w:rPr>
          </w:pPr>
          <w:r>
            <w:rPr>
              <w:rFonts w:ascii="Arial" w:hAnsi="Arial"/>
              <w:b/>
              <w:color w:val="auto"/>
              <w:sz w:val="22"/>
            </w:rPr>
            <w:t>Spis treści</w:t>
          </w:r>
        </w:p>
        <w:p w14:paraId="3E92B00E" w14:textId="77777777" w:rsidR="00744C40" w:rsidRDefault="000705AA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r w:rsidRPr="00A772AF">
            <w:fldChar w:fldCharType="begin"/>
          </w:r>
          <w:r w:rsidRPr="00A772AF">
            <w:instrText xml:space="preserve"> TOC \o "1-3" \n \h \z \u </w:instrText>
          </w:r>
          <w:r w:rsidRPr="00A772AF">
            <w:fldChar w:fldCharType="separate"/>
          </w:r>
          <w:hyperlink w:anchor="_Toc72146336" w:history="1">
            <w:r w:rsidR="00744C40" w:rsidRPr="00ED6598">
              <w:rPr>
                <w:rStyle w:val="Hyperlink"/>
              </w:rPr>
              <w:t>Część I</w:t>
            </w:r>
          </w:hyperlink>
        </w:p>
        <w:p w14:paraId="1C78D7C3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37" w:history="1">
            <w:r w:rsidRPr="00ED6598">
              <w:rPr>
                <w:rStyle w:val="Hyperlink"/>
              </w:rPr>
              <w:t>Przepisy ogólne</w:t>
            </w:r>
          </w:hyperlink>
        </w:p>
        <w:p w14:paraId="62FA230A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38" w:history="1">
            <w:r w:rsidRPr="00ED6598">
              <w:rPr>
                <w:rStyle w:val="Hyperlink"/>
              </w:rPr>
              <w:t>§ 1 Zakres</w:t>
            </w:r>
          </w:hyperlink>
        </w:p>
        <w:p w14:paraId="311F1040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39" w:history="1">
            <w:r w:rsidRPr="00ED6598">
              <w:rPr>
                <w:rStyle w:val="Hyperlink"/>
              </w:rPr>
              <w:t>§ 2 Warunki i wymagania ogólne</w:t>
            </w:r>
          </w:hyperlink>
        </w:p>
        <w:p w14:paraId="0FBF2405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40" w:history="1">
            <w:r w:rsidRPr="00ED6598">
              <w:rPr>
                <w:rStyle w:val="Hyperlink"/>
              </w:rPr>
              <w:t>Cześć II</w:t>
            </w:r>
          </w:hyperlink>
        </w:p>
        <w:p w14:paraId="32D59335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41" w:history="1">
            <w:r w:rsidRPr="00ED6598">
              <w:rPr>
                <w:rStyle w:val="Hyperlink"/>
              </w:rPr>
              <w:t>Przepisy budowlane</w:t>
            </w:r>
          </w:hyperlink>
        </w:p>
        <w:p w14:paraId="467D255B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42" w:history="1">
            <w:r w:rsidRPr="00ED6598">
              <w:rPr>
                <w:rStyle w:val="Hyperlink"/>
              </w:rPr>
              <w:t>§ 3 Wejścia i wyjścia</w:t>
            </w:r>
          </w:hyperlink>
        </w:p>
        <w:p w14:paraId="4A0EEA60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43" w:history="1">
            <w:r w:rsidRPr="00ED6598">
              <w:rPr>
                <w:rStyle w:val="Hyperlink"/>
              </w:rPr>
              <w:t>§ 4 Rampy</w:t>
            </w:r>
          </w:hyperlink>
        </w:p>
        <w:p w14:paraId="3942484E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44" w:history="1">
            <w:r w:rsidRPr="00ED6598">
              <w:rPr>
                <w:rStyle w:val="Hyperlink"/>
              </w:rPr>
              <w:t>§ 5 Miejsca parkingowe i pasy ruchu</w:t>
            </w:r>
          </w:hyperlink>
        </w:p>
        <w:p w14:paraId="3EDCB399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45" w:history="1">
            <w:r w:rsidRPr="00ED6598">
              <w:rPr>
                <w:rStyle w:val="Hyperlink"/>
              </w:rPr>
              <w:t>§ 6 Wymagany prześwit</w:t>
            </w:r>
          </w:hyperlink>
        </w:p>
        <w:p w14:paraId="33E2D790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46" w:history="1">
            <w:r w:rsidRPr="00ED6598">
              <w:rPr>
                <w:rStyle w:val="Hyperlink"/>
              </w:rPr>
              <w:t>§ 7 Ściany, kolumny, sufity, dachy</w:t>
            </w:r>
          </w:hyperlink>
        </w:p>
        <w:p w14:paraId="20748721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47" w:history="1">
            <w:r w:rsidRPr="00ED6598">
              <w:rPr>
                <w:rStyle w:val="Hyperlink"/>
              </w:rPr>
              <w:t>§ 8 Ściany zewnętrzne</w:t>
            </w:r>
          </w:hyperlink>
        </w:p>
        <w:p w14:paraId="3170D255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48" w:history="1">
            <w:r w:rsidRPr="00ED6598">
              <w:rPr>
                <w:rStyle w:val="Hyperlink"/>
              </w:rPr>
              <w:t>§ 9 Ściany działowe, inne ściany wewnętrzne i bramy</w:t>
            </w:r>
          </w:hyperlink>
        </w:p>
        <w:p w14:paraId="5041DC72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49" w:history="1">
            <w:r w:rsidRPr="00ED6598">
              <w:rPr>
                <w:rStyle w:val="Hyperlink"/>
              </w:rPr>
              <w:t>§ 10 Ściany zewnętrzne budynku</w:t>
            </w:r>
          </w:hyperlink>
        </w:p>
        <w:p w14:paraId="09B2EBE4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0" w:history="1">
            <w:r w:rsidRPr="00ED6598">
              <w:rPr>
                <w:rStyle w:val="Hyperlink"/>
              </w:rPr>
              <w:t>§</w:t>
            </w:r>
            <w:r w:rsidRPr="00ED6598">
              <w:rPr>
                <w:rStyle w:val="Hyperlink"/>
                <w:lang w:val="el-GR"/>
              </w:rPr>
              <w:t xml:space="preserve"> </w:t>
            </w:r>
            <w:r w:rsidRPr="00ED6598">
              <w:rPr>
                <w:rStyle w:val="Hyperlink"/>
              </w:rPr>
              <w:t>11 Ściany i stropy małych garaży</w:t>
            </w:r>
          </w:hyperlink>
        </w:p>
        <w:p w14:paraId="30104193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1" w:history="1">
            <w:r w:rsidRPr="00ED6598">
              <w:rPr>
                <w:rStyle w:val="Hyperlink"/>
              </w:rPr>
              <w:t>§12 Przegrody przeciwpożarowe</w:t>
            </w:r>
          </w:hyperlink>
        </w:p>
        <w:p w14:paraId="7AB083A2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2" w:history="1">
            <w:r w:rsidRPr="00ED6598">
              <w:rPr>
                <w:rStyle w:val="Hyperlink"/>
              </w:rPr>
              <w:t>§ 13 Łączniki do garaży i między kondygnacjami garażowymi</w:t>
            </w:r>
          </w:hyperlink>
        </w:p>
        <w:p w14:paraId="60B6D8E2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3" w:history="1">
            <w:r w:rsidRPr="00ED6598">
              <w:rPr>
                <w:rStyle w:val="Hyperlink"/>
              </w:rPr>
              <w:t>§ 14 Drogi ewakuacyjne</w:t>
            </w:r>
          </w:hyperlink>
        </w:p>
        <w:p w14:paraId="61AB39D4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4" w:history="1">
            <w:r w:rsidRPr="00ED6598">
              <w:rPr>
                <w:rStyle w:val="Hyperlink"/>
              </w:rPr>
              <w:t>§ 15 Oświetlenie, oświetlenie bezpieczeństwa</w:t>
            </w:r>
          </w:hyperlink>
        </w:p>
        <w:p w14:paraId="00D67128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5" w:history="1">
            <w:r w:rsidRPr="00ED6598">
              <w:rPr>
                <w:rStyle w:val="Hyperlink"/>
              </w:rPr>
              <w:t>§</w:t>
            </w:r>
            <w:r w:rsidRPr="00ED6598">
              <w:rPr>
                <w:rStyle w:val="Hyperlink"/>
                <w:lang w:val="el-GR"/>
              </w:rPr>
              <w:t xml:space="preserve"> </w:t>
            </w:r>
            <w:r w:rsidRPr="00ED6598">
              <w:rPr>
                <w:rStyle w:val="Hyperlink"/>
              </w:rPr>
              <w:t>16 Wentylacja</w:t>
            </w:r>
          </w:hyperlink>
        </w:p>
        <w:p w14:paraId="3DBFB7AA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6" w:history="1">
            <w:r w:rsidRPr="00ED6598">
              <w:rPr>
                <w:rStyle w:val="Hyperlink"/>
              </w:rPr>
              <w:t>§ 17 Urządzenia gaśnicze, usuwanie dymu</w:t>
            </w:r>
          </w:hyperlink>
        </w:p>
        <w:p w14:paraId="7EF5CE12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7" w:history="1">
            <w:r w:rsidRPr="00ED6598">
              <w:rPr>
                <w:rStyle w:val="Hyperlink"/>
              </w:rPr>
              <w:t>§ 18 Systemy sygnalizacji pożarowej, systemy radiowe wewnątrz pomieszczeń</w:t>
            </w:r>
          </w:hyperlink>
        </w:p>
        <w:p w14:paraId="36EF81A0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8" w:history="1">
            <w:r w:rsidRPr="00ED6598">
              <w:rPr>
                <w:rStyle w:val="Hyperlink"/>
              </w:rPr>
              <w:t>§ 19 Systemy zasilania awaryjnego</w:t>
            </w:r>
          </w:hyperlink>
        </w:p>
        <w:p w14:paraId="1D4C9EFC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59" w:history="1">
            <w:r w:rsidRPr="00ED6598">
              <w:rPr>
                <w:rStyle w:val="Hyperlink"/>
              </w:rPr>
              <w:t>§ 20 Instalacje i systemy techniczne</w:t>
            </w:r>
          </w:hyperlink>
        </w:p>
        <w:p w14:paraId="1F7BE471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60" w:history="1">
            <w:r w:rsidRPr="00ED6598">
              <w:rPr>
                <w:rStyle w:val="Hyperlink"/>
              </w:rPr>
              <w:t>Część III</w:t>
            </w:r>
          </w:hyperlink>
        </w:p>
        <w:p w14:paraId="6EF7940C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61" w:history="1">
            <w:r w:rsidRPr="00ED6598">
              <w:rPr>
                <w:rStyle w:val="Hyperlink"/>
              </w:rPr>
              <w:t>Zasady eksploatacji</w:t>
            </w:r>
          </w:hyperlink>
        </w:p>
        <w:p w14:paraId="2AF777C3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62" w:history="1">
            <w:r w:rsidRPr="00ED6598">
              <w:rPr>
                <w:rStyle w:val="Hyperlink"/>
              </w:rPr>
              <w:t>§ 21 Zasady eksploatacji garaży</w:t>
            </w:r>
          </w:hyperlink>
        </w:p>
        <w:p w14:paraId="72BA40CA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63" w:history="1">
            <w:r w:rsidRPr="00ED6598">
              <w:rPr>
                <w:rStyle w:val="Hyperlink"/>
              </w:rPr>
              <w:t>Cześć IV</w:t>
            </w:r>
          </w:hyperlink>
        </w:p>
        <w:p w14:paraId="6E547420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64" w:history="1">
            <w:r w:rsidRPr="00ED6598">
              <w:rPr>
                <w:rStyle w:val="Hyperlink"/>
              </w:rPr>
              <w:t>Wymagana dokumentacja budowlana</w:t>
            </w:r>
          </w:hyperlink>
        </w:p>
        <w:p w14:paraId="38F7DB73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65" w:history="1">
            <w:r w:rsidRPr="00ED6598">
              <w:rPr>
                <w:rStyle w:val="Hyperlink"/>
              </w:rPr>
              <w:t>§ 22 Dokumentacja budowlana, plany straży pożarnej</w:t>
            </w:r>
          </w:hyperlink>
        </w:p>
        <w:p w14:paraId="17AA8CF1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66" w:history="1">
            <w:r w:rsidRPr="00ED6598">
              <w:rPr>
                <w:rStyle w:val="Hyperlink"/>
              </w:rPr>
              <w:t>Część V</w:t>
            </w:r>
          </w:hyperlink>
        </w:p>
        <w:p w14:paraId="04EDBBF1" w14:textId="77777777" w:rsidR="00744C40" w:rsidRDefault="00744C40">
          <w:pPr>
            <w:pStyle w:val="TOC1"/>
            <w:rPr>
              <w:rFonts w:asciiTheme="minorHAnsi" w:eastAsiaTheme="minorEastAsia" w:hAnsiTheme="minorHAnsi" w:cstheme="minorBidi"/>
              <w:b w:val="0"/>
              <w:lang w:val="en-US"/>
            </w:rPr>
          </w:pPr>
          <w:hyperlink w:anchor="_Toc72146367" w:history="1">
            <w:r w:rsidRPr="00ED6598">
              <w:rPr>
                <w:rStyle w:val="Hyperlink"/>
              </w:rPr>
              <w:t>Postanowienia końcowe</w:t>
            </w:r>
          </w:hyperlink>
        </w:p>
        <w:p w14:paraId="2F4FBD7B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68" w:history="1">
            <w:r w:rsidRPr="00ED6598">
              <w:rPr>
                <w:rStyle w:val="Hyperlink"/>
              </w:rPr>
              <w:t>§ 23 Wymagania dodatkowe:</w:t>
            </w:r>
          </w:hyperlink>
        </w:p>
        <w:p w14:paraId="2124E29D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69" w:history="1">
            <w:r w:rsidRPr="00ED6598">
              <w:rPr>
                <w:rStyle w:val="Hyperlink"/>
              </w:rPr>
              <w:t>§ 24 Wykroczenia administracyjne</w:t>
            </w:r>
          </w:hyperlink>
        </w:p>
        <w:p w14:paraId="1F166D17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70" w:history="1">
            <w:r w:rsidRPr="00ED6598">
              <w:rPr>
                <w:rStyle w:val="Hyperlink"/>
              </w:rPr>
              <w:t>§ 25 Przepisy przejściowe</w:t>
            </w:r>
          </w:hyperlink>
        </w:p>
        <w:p w14:paraId="3A63CCD8" w14:textId="77777777" w:rsidR="00744C40" w:rsidRDefault="00744C40">
          <w:pPr>
            <w:pStyle w:val="TOC2"/>
            <w:rPr>
              <w:rFonts w:asciiTheme="minorHAnsi" w:eastAsiaTheme="minorEastAsia" w:hAnsiTheme="minorHAnsi" w:cstheme="minorBidi"/>
              <w:lang w:val="en-US"/>
            </w:rPr>
          </w:pPr>
          <w:hyperlink w:anchor="_Toc72146371" w:history="1">
            <w:r w:rsidRPr="00ED6598">
              <w:rPr>
                <w:rStyle w:val="Hyperlink"/>
              </w:rPr>
              <w:t>§ 26 Wejście w życie</w:t>
            </w:r>
          </w:hyperlink>
        </w:p>
        <w:p w14:paraId="571E4377" w14:textId="21B64ADE" w:rsidR="003852B2" w:rsidRPr="00A772AF" w:rsidRDefault="000705AA" w:rsidP="00DC1BB4">
          <w:pPr>
            <w:pStyle w:val="TOC2"/>
          </w:pPr>
          <w:r w:rsidRPr="00A772AF">
            <w:lastRenderedPageBreak/>
            <w:fldChar w:fldCharType="end"/>
          </w:r>
          <w:r>
            <w:br w:type="page"/>
          </w:r>
        </w:p>
      </w:sdtContent>
    </w:sdt>
    <w:p w14:paraId="4E39E889" w14:textId="4AFBB1EB" w:rsidR="00B7437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0" w:name="_Toc72146336"/>
      <w:r>
        <w:rPr>
          <w:sz w:val="22"/>
        </w:rPr>
        <w:lastRenderedPageBreak/>
        <w:t>Część I</w:t>
      </w:r>
      <w:bookmarkEnd w:id="0"/>
      <w:r>
        <w:rPr>
          <w:sz w:val="22"/>
        </w:rPr>
        <w:t xml:space="preserve"> </w:t>
      </w:r>
    </w:p>
    <w:p w14:paraId="3F0F0120" w14:textId="0155A8D0" w:rsidR="0055259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1" w:name="_Toc72146337"/>
      <w:r>
        <w:rPr>
          <w:sz w:val="22"/>
        </w:rPr>
        <w:t>Przepisy ogólne</w:t>
      </w:r>
      <w:bookmarkEnd w:id="1"/>
    </w:p>
    <w:p w14:paraId="3DAAFABF" w14:textId="12D06496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FAF8018" w14:textId="77777777" w:rsidR="004F065E" w:rsidRPr="00A772AF" w:rsidRDefault="004F065E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3624E39" w14:textId="7C05ED19" w:rsidR="00552591" w:rsidRPr="00A772AF" w:rsidRDefault="007D4D2B" w:rsidP="00F43216">
      <w:pPr>
        <w:pStyle w:val="Heading2"/>
        <w:rPr>
          <w:szCs w:val="22"/>
        </w:rPr>
      </w:pPr>
      <w:bookmarkStart w:id="2" w:name="_Toc72146338"/>
      <w:r>
        <w:t>§ 1 Zakres</w:t>
      </w:r>
      <w:bookmarkEnd w:id="2"/>
    </w:p>
    <w:p w14:paraId="4D5FBC92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CD1FB09" w14:textId="06123EE2" w:rsidR="00552591" w:rsidRPr="00A772AF" w:rsidRDefault="00552591" w:rsidP="00500DDD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Rozporządzenie stosuje się do miejsc parkingowych i garaży w rozumieniu § 2 pkt 7 oraz § 49 Wzoru przepisów budowlanych.</w:t>
      </w:r>
    </w:p>
    <w:p w14:paraId="4E988BD8" w14:textId="77777777" w:rsidR="00552591" w:rsidRPr="00A772AF" w:rsidRDefault="00552591" w:rsidP="00500DDD">
      <w:pPr>
        <w:spacing w:after="0" w:line="240" w:lineRule="auto"/>
        <w:contextualSpacing/>
        <w:rPr>
          <w:rFonts w:ascii="Arial" w:eastAsia="Times New Roman" w:hAnsi="Arial" w:cs="Arial"/>
          <w:lang w:eastAsia="de-DE"/>
        </w:rPr>
      </w:pPr>
    </w:p>
    <w:p w14:paraId="3A502F7D" w14:textId="4B1CE9F1" w:rsidR="00500DDD" w:rsidRPr="00A772AF" w:rsidRDefault="00500DDD" w:rsidP="00306848">
      <w:pPr>
        <w:spacing w:after="0"/>
        <w:rPr>
          <w:rFonts w:ascii="Arial" w:eastAsia="Times New Roman" w:hAnsi="Arial" w:cs="Arial"/>
        </w:rPr>
      </w:pPr>
      <w:r>
        <w:rPr>
          <w:rFonts w:ascii="Arial" w:hAnsi="Arial"/>
        </w:rPr>
        <w:t>2. Rozporządzenie nie ma zastosowania do budynków i części budynków przeznaczonych do przechowywania:</w:t>
      </w:r>
    </w:p>
    <w:p w14:paraId="313A8E66" w14:textId="1C440967" w:rsidR="00500DDD" w:rsidRPr="00A772AF" w:rsidRDefault="00500DDD" w:rsidP="00306848">
      <w:pPr>
        <w:spacing w:after="0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1.</w:t>
      </w:r>
      <w:r>
        <w:rPr>
          <w:rFonts w:ascii="Arial" w:hAnsi="Arial"/>
        </w:rPr>
        <w:tab/>
        <w:t>pojazdów służbowych wykorzystywanych do służb pożarowych, ochrony ludności lub służb ratowniczych; oraz</w:t>
      </w:r>
    </w:p>
    <w:p w14:paraId="2E75BD8A" w14:textId="2DE79CD7" w:rsidR="00500DDD" w:rsidRPr="00A772AF" w:rsidRDefault="00500DDD" w:rsidP="00306848">
      <w:pPr>
        <w:spacing w:after="0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2.</w:t>
      </w:r>
      <w:r>
        <w:rPr>
          <w:rFonts w:ascii="Arial" w:hAnsi="Arial"/>
        </w:rPr>
        <w:tab/>
        <w:t>maszyn lub ciągników rolniczych i leśnych.</w:t>
      </w:r>
    </w:p>
    <w:p w14:paraId="2978C0A5" w14:textId="7A95057E" w:rsidR="005B087C" w:rsidRPr="00A772AF" w:rsidRDefault="005B087C" w:rsidP="00306848">
      <w:pPr>
        <w:spacing w:after="0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3.</w:t>
      </w:r>
      <w:r>
        <w:rPr>
          <w:rFonts w:ascii="Arial" w:hAnsi="Arial"/>
        </w:rPr>
        <w:tab/>
        <w:t>pojazdów roboczych w warsztatach i pomieszczeniach magazynowych przedsiębiorstw rzemieślniczych, jeżeli przestrzeń magazynowa w obszarze roboczym jest stosunkowo mniejsza niż powierzchnia użytkowa obszaru roboczego.</w:t>
      </w:r>
    </w:p>
    <w:p w14:paraId="2B684C30" w14:textId="6EB27941" w:rsidR="00500DDD" w:rsidRPr="00A772AF" w:rsidRDefault="00500DDD" w:rsidP="00500DDD">
      <w:pPr>
        <w:rPr>
          <w:rFonts w:ascii="Arial" w:eastAsia="Times New Roman" w:hAnsi="Arial" w:cs="Arial"/>
          <w:strike/>
          <w:lang w:eastAsia="de-DE"/>
        </w:rPr>
      </w:pPr>
    </w:p>
    <w:p w14:paraId="1983115B" w14:textId="21D20849" w:rsidR="00552591" w:rsidRPr="00A772AF" w:rsidRDefault="007D4D2B" w:rsidP="00F43216">
      <w:pPr>
        <w:pStyle w:val="Heading2"/>
        <w:rPr>
          <w:szCs w:val="22"/>
        </w:rPr>
      </w:pPr>
      <w:bookmarkStart w:id="3" w:name="_Toc72146339"/>
      <w:r>
        <w:t>§ 2 Warunki i wymagania ogólne</w:t>
      </w:r>
      <w:bookmarkEnd w:id="3"/>
    </w:p>
    <w:p w14:paraId="543D9C1C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D43CFC7" w14:textId="1A90959D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Średnie i duże garaże otwarte to garaże z otwartymi otworami o łącznej wielkości co najmniej jednej trzeciej całkowitej powierzchni ścian obwodowych, prowadzące bezpośrednio do otwarcia na każdej kondygnacji, gdzie co najmniej dwie przeciwstawne ściany obwodowe są nie większe niż 70 m od otworów prowadzących do otwarcia i gdzie istnieje stała wentylacja poprzeczna.</w:t>
      </w:r>
    </w:p>
    <w:p w14:paraId="2D86F324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D2A6AA5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Małe garaże otwarte to małe garaże z otwieranymi otworami o łącznej wielkości co najmniej jednej trzeciej całkowitej powierzchni ścian obwodowych, prowadzące bezpośrednio do otwarcia.</w:t>
      </w:r>
    </w:p>
    <w:p w14:paraId="4F4A091E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64CA12F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3. Garaże zamknięte to garaże, które nie spełniają wymogów określonych w ust. 1 i 2.</w:t>
      </w:r>
    </w:p>
    <w:p w14:paraId="24D06763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A1AF63D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4. Garaże naziemne to garaże, których podłoga jest średnio nie większa niż 1,50 m poniżej poziomu gruntu.</w:t>
      </w:r>
    </w:p>
    <w:p w14:paraId="2765619F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75ED3F8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5. Garaże automatyczne to garaże bez ruchu pasażerskiego lub samochodowego, w których pojazdy silnikowe są transportowane z mechanicznymi systemami przenośników od wejścia do garażu na parking garażowy, a także transportowane z powrotem do wyjścia garażowego w celu odbioru.</w:t>
      </w:r>
    </w:p>
    <w:p w14:paraId="0BF6CEAD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66386CF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6. Miejsce parkingowe to miejsce przeznaczone do parkowania pojazdu silnikowego w garażu lub na parkingu. </w:t>
      </w:r>
    </w:p>
    <w:p w14:paraId="03378360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3B7BAFE" w14:textId="2B4585F6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7. Powierzchnia użytkowa garażu jest sumą wszystkich połączonych obszarów parkingowych garażu, miejsc postojowych dla rowerów, przyczep i małych pojazdów elektrycznych oraz stref ruchu. Powierzchnia użytkowa garażu automatycznego jest sumą powierzchni wszystkich miejsc parkingowych. Miejsca parkingowe na dachach (postoje dachowe) i związane z nimi strefy ruchu nie są włączone do powierzchni użytkowej, o ile nie określono inaczej.</w:t>
      </w:r>
    </w:p>
    <w:p w14:paraId="3A8D4FD5" w14:textId="1C08C4C3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A3C79A2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8. Wyróżnia się garaże o powierzchni użytkowej</w:t>
      </w:r>
    </w:p>
    <w:p w14:paraId="3F484394" w14:textId="0D9236DF" w:rsidR="007925AF" w:rsidRPr="00A772AF" w:rsidRDefault="007925AF" w:rsidP="00915A71">
      <w:pPr>
        <w:tabs>
          <w:tab w:val="left" w:pos="2550"/>
        </w:tabs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1. do 100 m² – małe garaże,</w:t>
      </w:r>
    </w:p>
    <w:p w14:paraId="525556D0" w14:textId="2F111621" w:rsidR="007925AF" w:rsidRPr="00A772AF" w:rsidRDefault="00915A71" w:rsidP="00915A71">
      <w:pPr>
        <w:tabs>
          <w:tab w:val="left" w:pos="2550"/>
        </w:tabs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2. ponad 100 m² do 1000 m² – średnie garaże, </w:t>
      </w:r>
    </w:p>
    <w:p w14:paraId="1E0FAE01" w14:textId="77777777" w:rsidR="00EC28F3" w:rsidRPr="00A772AF" w:rsidRDefault="007925AF" w:rsidP="00364C43">
      <w:pPr>
        <w:tabs>
          <w:tab w:val="left" w:pos="2550"/>
        </w:tabs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3. ponad 1000 m² – duże garaże.</w:t>
      </w:r>
    </w:p>
    <w:p w14:paraId="22430314" w14:textId="0A72D5FC" w:rsidR="00364C43" w:rsidRPr="00A772AF" w:rsidRDefault="00364C43" w:rsidP="00364C43">
      <w:pPr>
        <w:tabs>
          <w:tab w:val="left" w:pos="2550"/>
        </w:tabs>
        <w:spacing w:after="0" w:line="240" w:lineRule="auto"/>
        <w:ind w:left="284" w:hanging="284"/>
        <w:rPr>
          <w:rFonts w:ascii="Arial" w:eastAsia="Times New Roman" w:hAnsi="Arial" w:cs="Arial"/>
          <w:lang w:eastAsia="de-DE"/>
        </w:rPr>
      </w:pPr>
    </w:p>
    <w:p w14:paraId="7287D300" w14:textId="77777777" w:rsidR="004F059F" w:rsidRPr="00A772AF" w:rsidRDefault="004F059F" w:rsidP="00364C43">
      <w:pPr>
        <w:tabs>
          <w:tab w:val="left" w:pos="2550"/>
        </w:tabs>
        <w:spacing w:after="0" w:line="240" w:lineRule="auto"/>
        <w:ind w:left="284" w:hanging="284"/>
        <w:rPr>
          <w:rFonts w:ascii="Arial" w:eastAsia="Times New Roman" w:hAnsi="Arial" w:cs="Arial"/>
          <w:lang w:eastAsia="de-DE"/>
        </w:rPr>
      </w:pPr>
    </w:p>
    <w:p w14:paraId="0A81978B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lastRenderedPageBreak/>
        <w:t>9. O ile niniejsze rozporządzenie nie stanowi inaczej, wymogi projektu rozporządzenia budowlanego mające zastosowanie do takich części budynków należących do klasy budynku 5 stosuje się do elementów podtrzymujących, wzmacniających i uszczelniających garaże.</w:t>
      </w:r>
    </w:p>
    <w:p w14:paraId="289F69DE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Koncesje, o których mowa w § 29 ust. 6, § 30 ust. 3 zdanie 2, § 31 ust. 4 pkt 1 i 2, § 36 ust. 1 zdanie 2 pkt 2, § 39 ust. 1 zdanie 3, pkt 4, § 40 ust. 1 akapity pierwszy i trzeci, a także § 41 ust. 5 pkt 1 i 3 Wzorcowego rozporządzenia budowlanego (MBO) nie mają zastosowania.</w:t>
      </w:r>
    </w:p>
    <w:p w14:paraId="06B39E6A" w14:textId="02E5073D" w:rsidR="00B74371" w:rsidRPr="00A772AF" w:rsidRDefault="00B74371" w:rsidP="00552591">
      <w:pPr>
        <w:rPr>
          <w:rFonts w:ascii="Arial" w:eastAsia="Times New Roman" w:hAnsi="Arial" w:cs="Arial"/>
          <w:strike/>
          <w:lang w:eastAsia="de-DE"/>
        </w:rPr>
      </w:pPr>
    </w:p>
    <w:p w14:paraId="26D78DA8" w14:textId="77777777" w:rsidR="00B7437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4" w:name="_Toc72146340"/>
      <w:r>
        <w:rPr>
          <w:sz w:val="22"/>
        </w:rPr>
        <w:t>Cześć II</w:t>
      </w:r>
      <w:bookmarkEnd w:id="4"/>
      <w:r>
        <w:rPr>
          <w:sz w:val="22"/>
        </w:rPr>
        <w:t xml:space="preserve"> </w:t>
      </w:r>
    </w:p>
    <w:p w14:paraId="0F475793" w14:textId="4C52FD98" w:rsidR="00552591" w:rsidRPr="00A772AF" w:rsidRDefault="00552591" w:rsidP="00B74371">
      <w:pPr>
        <w:pStyle w:val="Heading1"/>
        <w:jc w:val="center"/>
        <w:rPr>
          <w:bCs/>
          <w:sz w:val="22"/>
          <w:szCs w:val="22"/>
        </w:rPr>
      </w:pPr>
      <w:bookmarkStart w:id="5" w:name="_Toc72146341"/>
      <w:r>
        <w:rPr>
          <w:sz w:val="22"/>
        </w:rPr>
        <w:t>Przepisy budowlane</w:t>
      </w:r>
      <w:bookmarkEnd w:id="5"/>
    </w:p>
    <w:p w14:paraId="3EF74BC3" w14:textId="77777777" w:rsidR="00C65E2E" w:rsidRPr="00A772AF" w:rsidRDefault="00C65E2E" w:rsidP="00C65E2E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0225BDF" w14:textId="31EE5D21" w:rsidR="00552591" w:rsidRPr="00A772AF" w:rsidRDefault="007D4D2B" w:rsidP="00F43216">
      <w:pPr>
        <w:pStyle w:val="Heading2"/>
        <w:rPr>
          <w:szCs w:val="22"/>
        </w:rPr>
      </w:pPr>
      <w:bookmarkStart w:id="6" w:name="_Toc72146342"/>
      <w:r>
        <w:t>§ 3 Wejścia i wyjścia</w:t>
      </w:r>
      <w:bookmarkEnd w:id="6"/>
    </w:p>
    <w:p w14:paraId="312B404C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A46B7A9" w14:textId="79494906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Między garażami a strefami ruchu publicznego muszą znajdować się wejścia i wyjścia o długości co najmniej 3 m.</w:t>
      </w:r>
    </w:p>
    <w:p w14:paraId="1600A8FC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25F962D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Przed instalacjami, takimi jak bariery lub bramy, które tymczasowo utrudniają dostęp do garażu, powinna istnieć przestrzeń do układania oczekujących pojazdów silnikowych, w razie potrzeby ze względów bezpieczeństwa lub w celu ułatwienia ruchu.</w:t>
      </w:r>
    </w:p>
    <w:p w14:paraId="181112E5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256355F" w14:textId="4AD40B40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3 Pasy dojazdowe do wejść i wyjść przed średnimi i dużymi garażami powinny mieć szerokość co najmniej 2,75 m; promień wewnętrznej krawędzi pasa dojazdowego musi wynosić co najmniej 5 m. Szerokość 2,30 m jest wystarczająca dla pasów dojazdowych w obszarze barier wejścia i wyjścia. Na zakrętach należy zapewnić szersze pasy ruchu o promieniach wewnętrznych mniejszych niż 10 m, jeżeli jest to konieczne ze względu na bezpieczeństwo ruchu.</w:t>
      </w:r>
    </w:p>
    <w:p w14:paraId="2460847F" w14:textId="77777777" w:rsidR="005B087C" w:rsidRPr="00A772AF" w:rsidRDefault="005B087C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04A619E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4. Duże garaże muszą mieć oddzielne pasy dla wejścia i wyjścia.</w:t>
      </w:r>
    </w:p>
    <w:p w14:paraId="608FB7A6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D71E181" w14:textId="7F518B6F" w:rsidR="006C3B5B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5. W przypadku dużych garaży wymagana jest ścieżka dla pieszych o szerokości co najmniej 0,80 m obok pasów dojazdowych do wejścia i wyjścia. Ścieżka dla pieszych musi być wyniesiona w stosunku do pasa dojazdowego lub wytyczona jako oddzielona od ruchu pojazdów.</w:t>
      </w:r>
    </w:p>
    <w:p w14:paraId="35465E18" w14:textId="77777777" w:rsidR="005B087C" w:rsidRPr="00A772AF" w:rsidRDefault="005B087C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A7E16B9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6. W przypadkach, o których mowa w ust. 3-5, miejsca parkingowe na dachu i związane z nimi strefy ruchu włącza się do powierzchni użytkowej.</w:t>
      </w:r>
    </w:p>
    <w:p w14:paraId="523AB982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1EB8545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7. Przepisy ust. 2-5 stosuje się odpowiednio do wejść i wyjść z miejsc parkingowych.</w:t>
      </w:r>
    </w:p>
    <w:p w14:paraId="6CB5EEBA" w14:textId="77777777" w:rsidR="00552591" w:rsidRPr="00A772AF" w:rsidRDefault="00552591" w:rsidP="00552591">
      <w:pPr>
        <w:rPr>
          <w:rFonts w:ascii="Arial" w:hAnsi="Arial" w:cs="Arial"/>
        </w:rPr>
      </w:pPr>
    </w:p>
    <w:p w14:paraId="1A9440B8" w14:textId="415B47B3" w:rsidR="00552591" w:rsidRPr="00A772AF" w:rsidRDefault="007D4D2B" w:rsidP="00F43216">
      <w:pPr>
        <w:pStyle w:val="Heading2"/>
        <w:rPr>
          <w:szCs w:val="22"/>
        </w:rPr>
      </w:pPr>
      <w:bookmarkStart w:id="7" w:name="_Toc72146343"/>
      <w:r>
        <w:t>§ 4 Rampy</w:t>
      </w:r>
      <w:bookmarkEnd w:id="7"/>
    </w:p>
    <w:p w14:paraId="4483A318" w14:textId="0F25035D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FF58ABD" w14:textId="3FC8218A" w:rsidR="006C3B5B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Rampy średnich i dużych garaży nie mogą być nachylone pod kątem większym niż 15%. Szerokość pasów ruchu na tych rampach nie może być mniejsza niż 2,75 m i co najmniej 3,50 m w strefach pochylni śrubowych. Odcinki pochylni spiralnych muszą mieć poprzeczne nachylenie co najmniej 3%. Promień wewnętrznej krawędzi pasa dostępu musi wynosić co najmniej 5,0 m.</w:t>
      </w:r>
    </w:p>
    <w:p w14:paraId="7BBB80B3" w14:textId="77777777" w:rsidR="005B087C" w:rsidRPr="00A772AF" w:rsidRDefault="005B087C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EAA3642" w14:textId="01233421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Pomiędzy strefą ruchu publicznego a rampą o nachyleniu większym niż 10%, musi znajdować się mniej nachylony obszar o nachyleniu nie większym niż 5% i długości co najmniej 3 m.</w:t>
      </w:r>
    </w:p>
    <w:p w14:paraId="32F02FD5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DA715BE" w14:textId="4EE5CFE3" w:rsidR="00364C43" w:rsidRPr="00A772AF" w:rsidRDefault="007925AF" w:rsidP="00364C43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3. W dużych garażach podjazdy używane przez pieszych muszą mieć ścieżkę o szerokości co najmniej 0,80 m, która jest podnoszona w stosunku do pasa dojazdowego lub jest wyznaczona jako bezpieczna dla ruchu. Na rampach, które nie mogą być używane przez pieszych, zakaz ten musi być wyświetlany.</w:t>
      </w:r>
    </w:p>
    <w:p w14:paraId="11ED4923" w14:textId="77777777" w:rsidR="006C3B5B" w:rsidRPr="00A772AF" w:rsidRDefault="006C3B5B" w:rsidP="00364C43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5E167AA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lastRenderedPageBreak/>
        <w:t>4. Ustępy 1-3 stosuje się odpowiednio do pochylni miejsc parkingowych.</w:t>
      </w:r>
    </w:p>
    <w:p w14:paraId="335285BB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FE11E67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5. Napędzane mechanicznie platformy podnoszące nachylone nie są rampy.</w:t>
      </w:r>
    </w:p>
    <w:p w14:paraId="317767A0" w14:textId="77777777" w:rsidR="00552591" w:rsidRPr="00A772AF" w:rsidRDefault="00552591" w:rsidP="00552591">
      <w:pPr>
        <w:rPr>
          <w:rFonts w:ascii="Arial" w:hAnsi="Arial" w:cs="Arial"/>
        </w:rPr>
      </w:pPr>
    </w:p>
    <w:p w14:paraId="4CCF3D64" w14:textId="315A2041" w:rsidR="00552591" w:rsidRPr="00A772AF" w:rsidRDefault="007D4D2B" w:rsidP="007B108B">
      <w:pPr>
        <w:pStyle w:val="Heading2"/>
      </w:pPr>
      <w:bookmarkStart w:id="8" w:name="_Toc72146344"/>
      <w:r>
        <w:t>§ 5 Miejsca parkingowe i pasy ruchu</w:t>
      </w:r>
      <w:bookmarkEnd w:id="8"/>
    </w:p>
    <w:p w14:paraId="4572FE1E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E2A4CA4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Miejsce parkingowe musi mieć długość co najmniej 5 m. Szerokość miejsca parkingowego musi wynosić co najmniej:</w:t>
      </w:r>
    </w:p>
    <w:p w14:paraId="17CB17A8" w14:textId="77777777" w:rsidR="007925AF" w:rsidRPr="00A772AF" w:rsidRDefault="007925AF" w:rsidP="007925AF">
      <w:pPr>
        <w:tabs>
          <w:tab w:val="left" w:pos="31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1. </w:t>
      </w:r>
      <w:r>
        <w:rPr>
          <w:rFonts w:ascii="Arial" w:hAnsi="Arial"/>
        </w:rPr>
        <w:tab/>
        <w:t>2,30 m, jeśli nie ma podłużnego boku,</w:t>
      </w:r>
    </w:p>
    <w:p w14:paraId="655746F8" w14:textId="77777777" w:rsidR="007925AF" w:rsidRPr="00A772AF" w:rsidRDefault="007925AF" w:rsidP="007925AF">
      <w:pPr>
        <w:tabs>
          <w:tab w:val="left" w:pos="31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2. </w:t>
      </w:r>
      <w:r>
        <w:rPr>
          <w:rFonts w:ascii="Arial" w:hAnsi="Arial"/>
        </w:rPr>
        <w:tab/>
        <w:t xml:space="preserve">2,40 m, jeśli jest jedna strona wzdłużna, </w:t>
      </w:r>
    </w:p>
    <w:p w14:paraId="604A881C" w14:textId="77777777" w:rsidR="007925AF" w:rsidRPr="00A772AF" w:rsidRDefault="007925AF" w:rsidP="007925AF">
      <w:pPr>
        <w:tabs>
          <w:tab w:val="left" w:pos="31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3. </w:t>
      </w:r>
      <w:r>
        <w:rPr>
          <w:rFonts w:ascii="Arial" w:hAnsi="Arial"/>
        </w:rPr>
        <w:tab/>
        <w:t xml:space="preserve">2,50 m, jeśli każda strona wzdłużna </w:t>
      </w:r>
    </w:p>
    <w:p w14:paraId="26548938" w14:textId="475E61BF" w:rsidR="007925AF" w:rsidRPr="00A772AF" w:rsidRDefault="007925AF" w:rsidP="007925AF">
      <w:pPr>
        <w:tabs>
          <w:tab w:val="left" w:pos="31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miejsca parkingowego w odległości do 0,10 m są ograniczone ścianami, kolumnami, innymi komponentami lub instalacjami.</w:t>
      </w:r>
    </w:p>
    <w:p w14:paraId="1420E42A" w14:textId="2696EC1F" w:rsidR="007925AF" w:rsidRPr="00A772AF" w:rsidRDefault="003103B6" w:rsidP="007925AF">
      <w:pPr>
        <w:tabs>
          <w:tab w:val="left" w:pos="319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4. </w:t>
      </w:r>
      <w:r>
        <w:rPr>
          <w:rFonts w:ascii="Arial" w:hAnsi="Arial"/>
        </w:rPr>
        <w:tab/>
        <w:t>3,50 m, jeśli jest przeznaczone jako wolne od barier miejsce parkingowe.</w:t>
      </w:r>
    </w:p>
    <w:p w14:paraId="4CDDE949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84B810A" w14:textId="6A11DAFB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W przypadku zdania 2 nr 1-3 miejsca parkingowe na podnośnikach o napędzie silnikowym mają szerokość tylko 2,30 m. Zdania 1 i 2 nie mają zastosowania do miejsc parkingowych na poziomo ruchomych peronach i tych peronach. </w:t>
      </w:r>
    </w:p>
    <w:p w14:paraId="03A24F94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Miejsca parkingowe na nachylonej, napędzanej mechanicznie platformie podnoszącej nie są dozwolone w ogólnie dostępnych garażach.</w:t>
      </w:r>
    </w:p>
    <w:p w14:paraId="04D38675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1D9F7FE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2. Pasy dojazdowe, jeżeli są wykorzystywane bezpośrednio do wejścia i wyjścia z miejsc parkingowych, muszą spełniać co najmniej wymogi dotyczące szerokości podane w poniższej tabeli; Wartości pośrednie interpoluje się liniowo. </w:t>
      </w:r>
    </w:p>
    <w:p w14:paraId="620B9BAB" w14:textId="65B43DBE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EB17C63" w14:textId="77777777" w:rsidR="004F059F" w:rsidRPr="00A772AF" w:rsidRDefault="004F059F" w:rsidP="007925AF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tbl>
      <w:tblPr>
        <w:tblW w:w="474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265"/>
        <w:gridCol w:w="1134"/>
        <w:gridCol w:w="1078"/>
      </w:tblGrid>
      <w:tr w:rsidR="00A772AF" w:rsidRPr="00A772AF" w14:paraId="2CBDA3B2" w14:textId="77777777" w:rsidTr="007925AF">
        <w:trPr>
          <w:trHeight w:val="53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EB80" w14:textId="77777777" w:rsidR="007925AF" w:rsidRPr="00A772AF" w:rsidRDefault="007925AF" w:rsidP="007925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Rozmieszczenie miejsc parkingowych</w:t>
            </w:r>
            <w:r>
              <w:rPr>
                <w:rFonts w:ascii="Arial" w:hAnsi="Arial"/>
                <w:sz w:val="16"/>
              </w:rPr>
              <w:br/>
              <w:t>do pasa ruchu pod kątem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A7B6B" w14:textId="77777777" w:rsidR="007925AF" w:rsidRPr="00A772AF" w:rsidRDefault="007925AF" w:rsidP="007925A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Wymagana szerokość pasa ruchu (m) </w:t>
            </w:r>
            <w:r>
              <w:rPr>
                <w:rFonts w:ascii="Arial" w:hAnsi="Arial"/>
                <w:sz w:val="16"/>
              </w:rPr>
              <w:br/>
              <w:t>z szerokością miejsca parkingowego:</w:t>
            </w:r>
          </w:p>
        </w:tc>
      </w:tr>
      <w:tr w:rsidR="00A772AF" w:rsidRPr="00A772AF" w14:paraId="22E2B457" w14:textId="77777777" w:rsidTr="007925AF">
        <w:trPr>
          <w:trHeight w:val="268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A5C1" w14:textId="77777777" w:rsidR="007925AF" w:rsidRPr="00A772AF" w:rsidRDefault="007925AF" w:rsidP="007925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9889" w14:textId="77777777" w:rsidR="007925AF" w:rsidRPr="00A772AF" w:rsidRDefault="007925AF" w:rsidP="00310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2,30 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74D3" w14:textId="77777777" w:rsidR="007925AF" w:rsidRPr="00A772AF" w:rsidRDefault="007925AF" w:rsidP="00310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2,40 m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7DD8" w14:textId="77777777" w:rsidR="007925AF" w:rsidRPr="00A772AF" w:rsidRDefault="007925AF" w:rsidP="00310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2,50 m</w:t>
            </w:r>
          </w:p>
        </w:tc>
      </w:tr>
      <w:tr w:rsidR="00A772AF" w:rsidRPr="00A772AF" w14:paraId="0E101B46" w14:textId="77777777" w:rsidTr="007925AF">
        <w:trPr>
          <w:trHeight w:val="268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4485" w14:textId="77777777" w:rsidR="007925AF" w:rsidRPr="00A772AF" w:rsidRDefault="007925AF" w:rsidP="00310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90°.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9721" w14:textId="77777777" w:rsidR="007925AF" w:rsidRPr="00A772AF" w:rsidRDefault="007925AF" w:rsidP="00310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6,50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ADBA" w14:textId="77777777" w:rsidR="007925AF" w:rsidRPr="00A772AF" w:rsidRDefault="007925AF" w:rsidP="00310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6,00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58CB" w14:textId="77777777" w:rsidR="007925AF" w:rsidRPr="00A772AF" w:rsidRDefault="007925AF" w:rsidP="003103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5,50</w:t>
            </w:r>
          </w:p>
        </w:tc>
      </w:tr>
      <w:tr w:rsidR="007925AF" w:rsidRPr="00A772AF" w14:paraId="341200CD" w14:textId="77777777" w:rsidTr="003103B6">
        <w:trPr>
          <w:trHeight w:val="268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2FBE6" w14:textId="538E88BB" w:rsidR="003103B6" w:rsidRPr="00A772AF" w:rsidRDefault="007925AF" w:rsidP="003103B6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45°.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66FDE" w14:textId="13E49F1C" w:rsidR="003103B6" w:rsidRPr="00A772AF" w:rsidRDefault="007925AF" w:rsidP="003103B6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A0E1" w14:textId="490C27ED" w:rsidR="003103B6" w:rsidRPr="00A772AF" w:rsidRDefault="007925AF" w:rsidP="003103B6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3,25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B853" w14:textId="798910EC" w:rsidR="003103B6" w:rsidRPr="00A772AF" w:rsidRDefault="007925AF" w:rsidP="003103B6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3,00</w:t>
            </w:r>
          </w:p>
        </w:tc>
      </w:tr>
    </w:tbl>
    <w:p w14:paraId="31B5783D" w14:textId="04E4B935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5A1DCCD" w14:textId="77777777" w:rsidR="004F059F" w:rsidRPr="00A772AF" w:rsidRDefault="004F059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9D285BE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Przed podnośnikami o napędzie silnikowym pasy ruchu muszą mieć szerokość co najmniej 8 m, jeżeli platformy podnoszące mają pasy ruchu lub wystają na pas ruchu podczas opuszczania pasa ruchu.</w:t>
      </w:r>
    </w:p>
    <w:p w14:paraId="3C618BBC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53A909B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3. Jeżeli nie są one bezpośrednio wykorzystywane do wchodzenia lub opuszczania miejsc parkingowych, pasy ruchu muszą mieć szerokość co najmniej 2,75 m. Pasy z nadjeżdżającym ruchem muszą mieć co najmniej 5 m szerokości w średnich i dużych garażach. </w:t>
      </w:r>
    </w:p>
    <w:p w14:paraId="32CA2D9A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14435A1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4. Miejsca parkingowe na poziomo ruchomych platformach są dozwolone na pasach ruchu, jeżeli:</w:t>
      </w:r>
    </w:p>
    <w:p w14:paraId="00CA1C50" w14:textId="77777777" w:rsidR="007925AF" w:rsidRPr="00A772AF" w:rsidRDefault="007925AF" w:rsidP="007925AF">
      <w:pPr>
        <w:numPr>
          <w:ilvl w:val="0"/>
          <w:numId w:val="6"/>
        </w:numPr>
        <w:spacing w:after="0" w:line="240" w:lineRule="auto"/>
        <w:ind w:left="274" w:hanging="283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dla pasów ruchu zachowana jest szerokość co najmniej 2,75 m;</w:t>
      </w:r>
    </w:p>
    <w:p w14:paraId="64ACCCBA" w14:textId="77777777" w:rsidR="007925AF" w:rsidRPr="00A772AF" w:rsidRDefault="007925AF" w:rsidP="007925AF">
      <w:pPr>
        <w:numPr>
          <w:ilvl w:val="0"/>
          <w:numId w:val="6"/>
        </w:numPr>
        <w:spacing w:after="0" w:line="240" w:lineRule="auto"/>
        <w:ind w:left="274" w:hanging="283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platformy nie są umieszczone przed podnośnikami o napędzie silnikowym; oraz</w:t>
      </w:r>
    </w:p>
    <w:p w14:paraId="5436E718" w14:textId="77777777" w:rsidR="007925AF" w:rsidRPr="00A772AF" w:rsidRDefault="007925AF" w:rsidP="007925AF">
      <w:pPr>
        <w:numPr>
          <w:ilvl w:val="0"/>
          <w:numId w:val="6"/>
        </w:numPr>
        <w:spacing w:after="0" w:line="240" w:lineRule="auto"/>
        <w:ind w:left="274" w:hanging="283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nie ma ruchu na pasach z nadchodzącym ruchem.</w:t>
      </w:r>
    </w:p>
    <w:p w14:paraId="594C5BC2" w14:textId="77777777" w:rsidR="007925AF" w:rsidRPr="00A772AF" w:rsidRDefault="007925AF" w:rsidP="007925AF">
      <w:pPr>
        <w:spacing w:after="0" w:line="240" w:lineRule="auto"/>
        <w:ind w:left="274"/>
        <w:contextualSpacing/>
        <w:rPr>
          <w:rFonts w:ascii="Arial" w:eastAsia="Times New Roman" w:hAnsi="Arial" w:cs="Arial"/>
          <w:lang w:eastAsia="de-DE"/>
        </w:rPr>
      </w:pPr>
    </w:p>
    <w:p w14:paraId="61690BB9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5. Poszczególne miejsca parkingowe i pasy ruchu muszą być łatwo rozpoznawalne i trwale oddzielone od siebie za pomocą oznaczeń na ziemi. Nie dotyczy to:</w:t>
      </w:r>
    </w:p>
    <w:p w14:paraId="15F3A7C7" w14:textId="77777777" w:rsidR="007925AF" w:rsidRPr="00A772AF" w:rsidRDefault="007925AF" w:rsidP="007925AF">
      <w:pPr>
        <w:numPr>
          <w:ilvl w:val="0"/>
          <w:numId w:val="7"/>
        </w:numPr>
        <w:spacing w:after="0" w:line="240" w:lineRule="auto"/>
        <w:ind w:left="274" w:hanging="283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małych garaży bez pasów ruchu,</w:t>
      </w:r>
    </w:p>
    <w:p w14:paraId="3F784287" w14:textId="77777777" w:rsidR="007925AF" w:rsidRPr="00A772AF" w:rsidRDefault="007925AF" w:rsidP="007925AF">
      <w:pPr>
        <w:numPr>
          <w:ilvl w:val="0"/>
          <w:numId w:val="7"/>
        </w:numPr>
        <w:spacing w:after="0" w:line="240" w:lineRule="auto"/>
        <w:ind w:left="274" w:hanging="283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miejsc parkingowych na podnośniku o napędzie silnikowym,</w:t>
      </w:r>
    </w:p>
    <w:p w14:paraId="039D0898" w14:textId="77777777" w:rsidR="007925AF" w:rsidRPr="00A772AF" w:rsidRDefault="007925AF" w:rsidP="007925AF">
      <w:pPr>
        <w:numPr>
          <w:ilvl w:val="0"/>
          <w:numId w:val="7"/>
        </w:numPr>
        <w:spacing w:after="0" w:line="240" w:lineRule="auto"/>
        <w:ind w:left="274" w:hanging="283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miejsca parkingowych na platformach ruchomych w poziomie.</w:t>
      </w:r>
    </w:p>
    <w:p w14:paraId="3A5F50A3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Centralne i duże garaże muszą mieć łatwo rozpoznawalne i trwałe wskazania kierunków i wyjść na każdym piętrze.</w:t>
      </w:r>
    </w:p>
    <w:p w14:paraId="75A55780" w14:textId="77777777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31AC4FB" w14:textId="19C22005" w:rsidR="007925AF" w:rsidRPr="00A772AF" w:rsidRDefault="007925AF" w:rsidP="007925AF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6. Ustępy 1-5 nie mają zastosowania do garaży automatycznych.</w:t>
      </w:r>
    </w:p>
    <w:p w14:paraId="0E17159F" w14:textId="25D8267F" w:rsidR="004F059F" w:rsidRPr="00A772AF" w:rsidRDefault="004F059F" w:rsidP="006C3B5B">
      <w:pPr>
        <w:rPr>
          <w:rFonts w:ascii="Arial" w:hAnsi="Arial" w:cs="Arial"/>
        </w:rPr>
      </w:pPr>
    </w:p>
    <w:p w14:paraId="182AE217" w14:textId="285A7694" w:rsidR="00552591" w:rsidRPr="00A772AF" w:rsidRDefault="007D4D2B" w:rsidP="00F43216">
      <w:pPr>
        <w:pStyle w:val="Heading2"/>
        <w:rPr>
          <w:szCs w:val="22"/>
        </w:rPr>
      </w:pPr>
      <w:bookmarkStart w:id="9" w:name="_Toc72146345"/>
      <w:r>
        <w:t>§ 6 Wymagany prześwit</w:t>
      </w:r>
      <w:bookmarkEnd w:id="9"/>
    </w:p>
    <w:p w14:paraId="40304287" w14:textId="77777777" w:rsidR="00552591" w:rsidRPr="00A772AF" w:rsidRDefault="00552591" w:rsidP="00552591">
      <w:pPr>
        <w:spacing w:after="0" w:line="240" w:lineRule="auto"/>
        <w:jc w:val="both"/>
        <w:rPr>
          <w:rFonts w:ascii="Arial" w:eastAsia="Times New Roman" w:hAnsi="Arial" w:cs="Arial"/>
          <w:lang w:eastAsia="de-DE"/>
        </w:rPr>
      </w:pPr>
    </w:p>
    <w:p w14:paraId="16751B66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Średnie i duże garaże muszą mieć wysokość co najmniej 2 m w miejscach przeznaczonych do wejścia, w tym pod kanałami metra, kanałami wentylacyjnymi i innymi elementami infrastruktury. Nie ma to zastosowania do podnośników o napędzie silnikowym.</w:t>
      </w:r>
    </w:p>
    <w:p w14:paraId="25A8D02E" w14:textId="77777777" w:rsidR="00552591" w:rsidRPr="00A772AF" w:rsidRDefault="00552591" w:rsidP="00552591">
      <w:pPr>
        <w:rPr>
          <w:rFonts w:ascii="Arial" w:hAnsi="Arial" w:cs="Arial"/>
        </w:rPr>
      </w:pPr>
    </w:p>
    <w:p w14:paraId="58472A0F" w14:textId="48A4AB45" w:rsidR="00552591" w:rsidRPr="00A772AF" w:rsidRDefault="007D4D2B" w:rsidP="00F43216">
      <w:pPr>
        <w:pStyle w:val="Heading2"/>
        <w:rPr>
          <w:szCs w:val="22"/>
        </w:rPr>
      </w:pPr>
      <w:bookmarkStart w:id="10" w:name="_Toc72146346"/>
      <w:r>
        <w:t>§ 7 Ściany, kolumny, sufity, dachy</w:t>
      </w:r>
      <w:bookmarkEnd w:id="10"/>
    </w:p>
    <w:p w14:paraId="3D2567E0" w14:textId="77777777" w:rsidR="00552591" w:rsidRPr="00A772AF" w:rsidRDefault="00552591" w:rsidP="005525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98FC51" w14:textId="77777777" w:rsidR="006C3B5B" w:rsidRPr="00A772AF" w:rsidRDefault="006C3B5B" w:rsidP="006C3B5B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Ściany i kolumny podtrzymujące i wzmacniające muszą być ognioodporne.</w:t>
      </w:r>
    </w:p>
    <w:p w14:paraId="0A49EBB4" w14:textId="77777777" w:rsidR="006C3B5B" w:rsidRPr="00A772AF" w:rsidRDefault="006C3B5B" w:rsidP="006C3B5B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50E40BDE" w14:textId="104173B6" w:rsidR="006C3B5B" w:rsidRPr="00A772AF" w:rsidRDefault="006C3B5B" w:rsidP="006C3B5B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Sufity muszą być ognioodporne jako elementy zapewniające podparcie i zamykanie obszarów powyżej, poniżej i między kondygnacjami. Dopuszcza się otwory w sufitach na rampach, z zastrzeżeniem wymogów § 12.</w:t>
      </w:r>
    </w:p>
    <w:p w14:paraId="57A81552" w14:textId="77777777" w:rsidR="006C3B5B" w:rsidRPr="00A772AF" w:rsidRDefault="006C3B5B" w:rsidP="006C3B5B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6646C42D" w14:textId="328A92EA" w:rsidR="006C3B5B" w:rsidRPr="00A772AF" w:rsidRDefault="006C3B5B" w:rsidP="006C3B5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3. Jeżeli miejsca parkingowe znajdują się nie więcej niż 22 m nad poziomem gruntu, ściany, kolumny i sufity, zgodnie z ust. 1 i 2, muszą być ognioodporne i wykonane z niepalnych materiałów budowlanych w przypadku naziemnych średnich i dużych garaży, pod warunkiem że nie istnieją dalsze wymogi określone w §§ 27 i 31 MBO.</w:t>
      </w:r>
    </w:p>
    <w:p w14:paraId="260850F1" w14:textId="77777777" w:rsidR="006C3B5B" w:rsidRPr="00A772AF" w:rsidRDefault="006C3B5B" w:rsidP="006C3B5B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2815F988" w14:textId="3B7AA128" w:rsidR="006C3B5B" w:rsidRPr="00A772AF" w:rsidRDefault="006C3B5B" w:rsidP="006C3B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/>
        </w:rPr>
        <w:t>4. Ściany, kolumny i sufity, o których mowa w ust. 1 i 2, muszą być wyłącznie ognioodporne lub składać się z niepalnych materiałów budowlanych w przypadku jednokondygnacyjnych średnich i dużych garaży, również z miejscami parkingowymi na dachu, jeżeli budynek jest wykorzystywany wyłącznie jako garaż.</w:t>
      </w:r>
    </w:p>
    <w:p w14:paraId="6E1290EC" w14:textId="77777777" w:rsidR="006C3B5B" w:rsidRPr="00A772AF" w:rsidRDefault="006C3B5B" w:rsidP="006C3B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4EA89E" w14:textId="36A82F91" w:rsidR="006C3B5B" w:rsidRPr="00A772AF" w:rsidRDefault="006C3B5B" w:rsidP="006C3B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/>
        </w:rPr>
        <w:t>5. W przypadku automatycznych garaży, ściany, kolumny i sufity, o których mowa w ust. 1 i 2, muszą być wykonane z niepalnych materiałów budowlanych tylko wtedy, gdy budynek jest wykorzystywany jako garaż automatyczny.</w:t>
      </w:r>
    </w:p>
    <w:p w14:paraId="26A1B5EA" w14:textId="77777777" w:rsidR="006C3B5B" w:rsidRPr="00A772AF" w:rsidRDefault="006C3B5B" w:rsidP="00552591">
      <w:pPr>
        <w:spacing w:after="0" w:line="240" w:lineRule="auto"/>
        <w:rPr>
          <w:rFonts w:ascii="Arial" w:hAnsi="Arial" w:cs="Arial"/>
        </w:rPr>
      </w:pPr>
    </w:p>
    <w:p w14:paraId="2414A816" w14:textId="45211910" w:rsidR="00552591" w:rsidRPr="00A772AF" w:rsidRDefault="00552591" w:rsidP="005525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/>
        </w:rPr>
        <w:t>6. Wymagania dotyczące sufitów mają zastosowanie do dachów garaży, które mogą być dostępne dla pojazdów.</w:t>
      </w:r>
    </w:p>
    <w:p w14:paraId="478111F5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D9AC629" w14:textId="560D9CF2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7. Okładziny i warstwy izolacyjne na ścianach, kolumnach oraz pod sufitami i dachami:</w:t>
      </w:r>
    </w:p>
    <w:p w14:paraId="75B0EAC8" w14:textId="77777777" w:rsidR="00552591" w:rsidRPr="00A772AF" w:rsidRDefault="00552591" w:rsidP="00552591">
      <w:pPr>
        <w:numPr>
          <w:ilvl w:val="0"/>
          <w:numId w:val="13"/>
        </w:numPr>
        <w:spacing w:after="0" w:line="240" w:lineRule="auto"/>
        <w:ind w:left="274" w:hanging="274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w przypadku dużych garaży, muszą być wykonane z niepalnych materiałów budowlanych, </w:t>
      </w:r>
    </w:p>
    <w:p w14:paraId="1F2BFD55" w14:textId="77777777" w:rsidR="00552591" w:rsidRPr="00A772AF" w:rsidRDefault="00552591" w:rsidP="00552591">
      <w:pPr>
        <w:numPr>
          <w:ilvl w:val="0"/>
          <w:numId w:val="13"/>
        </w:numPr>
        <w:tabs>
          <w:tab w:val="left" w:pos="2415"/>
        </w:tabs>
        <w:autoSpaceDE w:val="0"/>
        <w:autoSpaceDN w:val="0"/>
        <w:adjustRightInd w:val="0"/>
        <w:spacing w:after="0" w:line="240" w:lineRule="auto"/>
        <w:ind w:left="274" w:hanging="274"/>
        <w:contextualSpacing/>
        <w:rPr>
          <w:rFonts w:ascii="Arial" w:hAnsi="Arial" w:cs="Arial"/>
        </w:rPr>
      </w:pPr>
      <w:r>
        <w:rPr>
          <w:rFonts w:ascii="Arial" w:hAnsi="Arial"/>
        </w:rPr>
        <w:t>w przypadku średnich garaży muszą składać się co najmniej z ciężkich ognioodpornych materiałów budowlanych.</w:t>
      </w:r>
    </w:p>
    <w:p w14:paraId="4E2F58BD" w14:textId="77777777" w:rsidR="00552591" w:rsidRPr="00A772AF" w:rsidRDefault="00552591" w:rsidP="00552591">
      <w:pPr>
        <w:rPr>
          <w:rFonts w:ascii="Arial" w:hAnsi="Arial" w:cs="Arial"/>
        </w:rPr>
      </w:pPr>
    </w:p>
    <w:p w14:paraId="096C234E" w14:textId="28A5B376" w:rsidR="00552591" w:rsidRPr="00A772AF" w:rsidRDefault="007D4D2B" w:rsidP="00F43216">
      <w:pPr>
        <w:pStyle w:val="Heading2"/>
        <w:rPr>
          <w:szCs w:val="22"/>
        </w:rPr>
      </w:pPr>
      <w:bookmarkStart w:id="11" w:name="_Toc72146347"/>
      <w:r>
        <w:t>§ 8 Ściany zewnętrzne</w:t>
      </w:r>
      <w:bookmarkEnd w:id="11"/>
    </w:p>
    <w:p w14:paraId="1493163E" w14:textId="06369B10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B6C1414" w14:textId="7A165923" w:rsidR="006C3B5B" w:rsidRPr="00A772AF" w:rsidRDefault="006C3B5B" w:rsidP="006C3B5B">
      <w:pPr>
        <w:spacing w:after="0" w:line="240" w:lineRule="auto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1. Ściany zewnętrzne i zewnętrzne części ścian garaży muszą spełniać wymagania § 28 MBO. § 28 ust. 5 stosuje się odpowiednio do budynków, które są wykorzystywane wyłącznie jako garaże, w których podłoga na górnej kondygnacji z miejscami parkingowymi znajduje się średnio nie więcej niż 7 m nad poziomem gruntu.</w:t>
      </w:r>
    </w:p>
    <w:p w14:paraId="321DA735" w14:textId="77777777" w:rsidR="006C3B5B" w:rsidRPr="00A772AF" w:rsidRDefault="006C3B5B" w:rsidP="006C3B5B">
      <w:pPr>
        <w:spacing w:after="0" w:line="240" w:lineRule="auto"/>
        <w:contextualSpacing/>
        <w:rPr>
          <w:rFonts w:ascii="Arial" w:eastAsia="Times New Roman" w:hAnsi="Arial" w:cs="Arial"/>
          <w:strike/>
          <w:lang w:eastAsia="de-DE"/>
        </w:rPr>
      </w:pPr>
    </w:p>
    <w:p w14:paraId="36A47964" w14:textId="77777777" w:rsidR="006C3B5B" w:rsidRPr="00A772AF" w:rsidRDefault="006C3B5B" w:rsidP="006C3B5B">
      <w:pPr>
        <w:spacing w:after="0" w:line="240" w:lineRule="auto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2. W przypadku gdy kondygnacje garażowe z miejscami parkingowymi znajdują się ponad 22 m nad poziomem gruntu, powierzchnie ścian zewnętrznych i zewnętrznych okładzin ściennych, w tym materiały izolacyjne i fundamenty muszą być niepalne.</w:t>
      </w:r>
    </w:p>
    <w:p w14:paraId="49E39100" w14:textId="77777777" w:rsidR="00552591" w:rsidRPr="00A772AF" w:rsidRDefault="00552591" w:rsidP="00552591">
      <w:pPr>
        <w:rPr>
          <w:rFonts w:ascii="Arial" w:hAnsi="Arial" w:cs="Arial"/>
        </w:rPr>
      </w:pPr>
    </w:p>
    <w:p w14:paraId="3A3E9646" w14:textId="55E8E2D4" w:rsidR="00552591" w:rsidRPr="00A772AF" w:rsidRDefault="007D4D2B" w:rsidP="00F43216">
      <w:pPr>
        <w:pStyle w:val="Heading2"/>
        <w:rPr>
          <w:szCs w:val="22"/>
        </w:rPr>
      </w:pPr>
      <w:bookmarkStart w:id="12" w:name="_Toc72146348"/>
      <w:r>
        <w:t>§ 9 Ściany działowe, inne ściany wewnętrzne i bramy</w:t>
      </w:r>
      <w:bookmarkEnd w:id="12"/>
    </w:p>
    <w:p w14:paraId="0E17DD24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E4D461B" w14:textId="47BE9ACD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strike/>
        </w:rPr>
      </w:pPr>
      <w:r>
        <w:rPr>
          <w:rFonts w:ascii="Arial" w:hAnsi="Arial"/>
        </w:rPr>
        <w:lastRenderedPageBreak/>
        <w:t xml:space="preserve">1. Między garażami oraz między garażami a innymi obszarami i używanymi budynkami ściany działowe muszą być dostępne jako elementy do uszczelniania obszarów. Ściany działowe, o których mowa w zdaniu 1, muszą posiadać odporność ogniową elementów podpierających i wzmacniających kondygnację w garażach średnich i dużych, ale muszą być co najmniej ognioodporne i wykonane z niepalnych materiałów budowlanych. </w:t>
      </w:r>
    </w:p>
    <w:p w14:paraId="4587305B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6E56F5E3" w14:textId="42E75EA1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2. W garażach średnich i dużych inne ściany wewnętrzne, przegrody i bramy do rozgraniczenia przestrzennego miejsc parkingowych i parkingów w rozumieniu § 2 ust. 7 zdanie pierwsze muszą składać się z niepalnych materiałów budowlanych. </w:t>
      </w:r>
    </w:p>
    <w:p w14:paraId="78C3B40F" w14:textId="706409F9" w:rsidR="00E273E9" w:rsidRPr="00A772AF" w:rsidRDefault="002F3718" w:rsidP="00E273E9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Nie mogą one zakłócać skutecznych operacji gaśniczych, wentylacji zgodnie z § 16 i usuwania dymu zgodnie z § 17.</w:t>
      </w:r>
    </w:p>
    <w:p w14:paraId="75601C66" w14:textId="77777777" w:rsidR="00ED1FD9" w:rsidRPr="00A772AF" w:rsidRDefault="00ED1FD9" w:rsidP="00552591">
      <w:pPr>
        <w:rPr>
          <w:rFonts w:ascii="Arial" w:hAnsi="Arial" w:cs="Arial"/>
        </w:rPr>
      </w:pPr>
    </w:p>
    <w:p w14:paraId="65115D97" w14:textId="6372ECE3" w:rsidR="00552591" w:rsidRPr="00A772AF" w:rsidRDefault="007D4D2B" w:rsidP="00F43216">
      <w:pPr>
        <w:pStyle w:val="Heading2"/>
        <w:rPr>
          <w:szCs w:val="22"/>
        </w:rPr>
      </w:pPr>
      <w:bookmarkStart w:id="13" w:name="_Toc72146349"/>
      <w:r>
        <w:t>§ 10 Ściany zewnętrzne budynku</w:t>
      </w:r>
      <w:bookmarkEnd w:id="13"/>
      <w:r>
        <w:t xml:space="preserve"> </w:t>
      </w:r>
    </w:p>
    <w:p w14:paraId="66404D49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AC185FC" w14:textId="55C8FBEC" w:rsidR="002F3718" w:rsidRPr="00A772AF" w:rsidRDefault="00216E0F" w:rsidP="002F3718">
      <w:pPr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/>
        </w:rPr>
        <w:t>Ściany zewnętrzne budynku w rozumieniu § 30 ust. 2 MBO będą budowane jako zapory ogniowe w garażach średnich i dużych. W przypadku jednokondygnacyjnych naziemnych średnich i dużych garaży wystarczy, nawet przy dodatkowym naprężeniu mechanicznym, aby ściany były co najmniej wysoce ognioodporne, jeśli budynek jest używany wyłącznie jako garaż.</w:t>
      </w:r>
    </w:p>
    <w:p w14:paraId="2F470FA3" w14:textId="77777777" w:rsidR="00552591" w:rsidRPr="00A772AF" w:rsidRDefault="00552591" w:rsidP="00552591">
      <w:pPr>
        <w:rPr>
          <w:rFonts w:ascii="Arial" w:hAnsi="Arial" w:cs="Arial"/>
          <w:sz w:val="24"/>
        </w:rPr>
      </w:pPr>
    </w:p>
    <w:p w14:paraId="542FB808" w14:textId="4D081506" w:rsidR="00552591" w:rsidRPr="00A772AF" w:rsidRDefault="00E4761D" w:rsidP="00F43216">
      <w:pPr>
        <w:pStyle w:val="Heading2"/>
        <w:rPr>
          <w:szCs w:val="22"/>
        </w:rPr>
      </w:pPr>
      <w:bookmarkStart w:id="14" w:name="_Toc72146350"/>
      <w:r>
        <w:t>§</w:t>
      </w:r>
      <w:r>
        <w:rPr>
          <w:lang w:val="el-GR"/>
        </w:rPr>
        <w:t xml:space="preserve"> </w:t>
      </w:r>
      <w:r w:rsidR="007D4D2B">
        <w:t>11 Ściany i stropy małych garaży</w:t>
      </w:r>
      <w:bookmarkEnd w:id="14"/>
    </w:p>
    <w:p w14:paraId="45B3E040" w14:textId="77777777" w:rsidR="00552591" w:rsidRPr="00A772AF" w:rsidRDefault="00552591" w:rsidP="005525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068F8CDA" w14:textId="77777777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>
        <w:rPr>
          <w:rFonts w:ascii="Helvetica" w:hAnsi="Helvetica"/>
        </w:rPr>
        <w:t>1. W przypadku małych garaży dozwolone są ściany nośne i sufity bez odporności ogniowej. W przypadku małych garaży w budynkach wykorzystywanych do innych celów, do tych budynków zastosowanie mają wymogi § 27 i § 31 MBO.</w:t>
      </w:r>
    </w:p>
    <w:p w14:paraId="4C1B28FD" w14:textId="77777777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14:paraId="490048AD" w14:textId="77777777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>
        <w:rPr>
          <w:rFonts w:ascii="Helvetica" w:hAnsi="Helvetica"/>
        </w:rPr>
        <w:t xml:space="preserve">2. Ściany działowe i sufity między małymi garażami a innymi pomieszczeniami lub budynkami muszą być ognioodporne, ponieważ jako elementy służące do zamykania obszarów, o ile nie istnieją dalsze wymogi wynikające z § 29 ust. 3 MBO, a także z § 31 ust. 1 i 2. </w:t>
      </w:r>
    </w:p>
    <w:p w14:paraId="2AF0FBBA" w14:textId="77777777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Zdanie 1 nie ma zastosowania do ścian działowych między</w:t>
      </w:r>
    </w:p>
    <w:p w14:paraId="79F5D11A" w14:textId="5DB43FDC" w:rsidR="002F3718" w:rsidRPr="00A772AF" w:rsidRDefault="00915A71" w:rsidP="00915A71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1. małymi garażami a pomieszczeniami otwartymi</w:t>
      </w:r>
      <w:r>
        <w:rPr>
          <w:rFonts w:ascii="MS Serif" w:hAnsi="MS Serif"/>
        </w:rPr>
        <w:t xml:space="preserve"> </w:t>
      </w:r>
      <w:r>
        <w:rPr>
          <w:rFonts w:ascii="Arial" w:hAnsi="Arial"/>
        </w:rPr>
        <w:t xml:space="preserve"> lub budynkami wykorzystywanymi do innych celów; </w:t>
      </w:r>
    </w:p>
    <w:p w14:paraId="2049E865" w14:textId="3BE1DDF6" w:rsidR="002F3718" w:rsidRPr="00A772AF" w:rsidRDefault="00915A71" w:rsidP="001F5516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2.</w:t>
      </w:r>
      <w:r>
        <w:rPr>
          <w:rFonts w:ascii="Arial" w:hAnsi="Arial"/>
        </w:rPr>
        <w:tab/>
        <w:t>małymi garażami a pomieszczeniami lub budynkami, które są wykorzystywane wyłącznie do celów parkingowych i mają nie więcej niż 20 m² powierzchni podłogi.</w:t>
      </w:r>
    </w:p>
    <w:p w14:paraId="630CE8D4" w14:textId="77777777" w:rsidR="001F5516" w:rsidRPr="00A772AF" w:rsidRDefault="001F5516" w:rsidP="001F5516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Helvetica" w:hAnsi="Helvetica" w:cs="Helvetica"/>
        </w:rPr>
      </w:pPr>
    </w:p>
    <w:p w14:paraId="4E653E76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Helvetica" w:hAnsi="Helvetica"/>
        </w:rPr>
        <w:t>3.</w:t>
      </w:r>
      <w:r>
        <w:rPr>
          <w:rFonts w:ascii="Arial" w:hAnsi="Arial"/>
        </w:rPr>
        <w:t>Zamiast ścian końcowych budynku, jak określono w § 30 ust. 2 akapit 1 MBO, ściany bez otworów, które są ognioodporne lub wykonane z niepalnych materiałów budowlanych, są wystarczające. W przypadku otwartych małych garaży ściana końcowa budynku określona w § 30 ust. 2 pkt 1 MBO nie jest wymagana; dotyczy to przyłączonych parkingów o powierzchni nie większej niż 20 m² odpowiednio.</w:t>
      </w:r>
    </w:p>
    <w:p w14:paraId="1D1A118E" w14:textId="77777777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14:paraId="0C204284" w14:textId="13F9E7B5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4. Małe garaże zamknięte mogą być połączone z innymi małymi garażami i pokojami nienależącymi do garażu oraz do innych budynków bezpośrednio tylko przez otwory z co najmniej ognioodpornymi, szczelnymi i samozamykanymi zamknięciami. </w:t>
      </w:r>
    </w:p>
    <w:p w14:paraId="00A21655" w14:textId="77777777" w:rsidR="00552591" w:rsidRPr="00A772AF" w:rsidRDefault="00552591" w:rsidP="00552591">
      <w:pPr>
        <w:rPr>
          <w:rFonts w:ascii="Arial" w:hAnsi="Arial" w:cs="Arial"/>
        </w:rPr>
      </w:pPr>
    </w:p>
    <w:p w14:paraId="653F6117" w14:textId="473EB0A9" w:rsidR="00552591" w:rsidRPr="00A772AF" w:rsidRDefault="00280D54" w:rsidP="00F43216">
      <w:pPr>
        <w:pStyle w:val="Heading2"/>
        <w:rPr>
          <w:szCs w:val="22"/>
        </w:rPr>
      </w:pPr>
      <w:bookmarkStart w:id="15" w:name="_Toc72146351"/>
      <w:r>
        <w:t>§12 Przegrody przeciwpożarowe</w:t>
      </w:r>
      <w:bookmarkEnd w:id="15"/>
    </w:p>
    <w:p w14:paraId="4B7CA19F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3DB95EE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1. Garaże zamknięte, z wyłączeniem garaży automatycznych, muszą być podzielone zgodnie z § 30 ust. 3 zdanie 1 MBO na przedziały przeciwpożarowe o powierzchni użytkowej </w:t>
      </w:r>
    </w:p>
    <w:p w14:paraId="1A1376C6" w14:textId="3B6B824F" w:rsidR="002F3718" w:rsidRPr="00A772AF" w:rsidRDefault="002F3718" w:rsidP="00915A71">
      <w:pPr>
        <w:spacing w:after="0" w:line="240" w:lineRule="auto"/>
        <w:ind w:left="284" w:hanging="284"/>
        <w:rPr>
          <w:rFonts w:ascii="Arial" w:eastAsia="Times New Roman" w:hAnsi="Arial" w:cs="Times New Roman"/>
        </w:rPr>
      </w:pPr>
      <w:r>
        <w:rPr>
          <w:rFonts w:ascii="Arial" w:hAnsi="Arial"/>
        </w:rPr>
        <w:t>1. w obudowanych garażach naziemnych – do 5000 m²,</w:t>
      </w:r>
    </w:p>
    <w:p w14:paraId="77C03CF4" w14:textId="6B301042" w:rsidR="002F3718" w:rsidRPr="00A772AF" w:rsidRDefault="00915A71" w:rsidP="00915A71">
      <w:pPr>
        <w:spacing w:after="0" w:line="240" w:lineRule="auto"/>
        <w:ind w:left="284" w:hanging="284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2. w innych zamkniętych garażach – do 2500 m² </w:t>
      </w:r>
    </w:p>
    <w:p w14:paraId="24EF513B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przez ściany przeciwpożarowe. </w:t>
      </w:r>
    </w:p>
    <w:p w14:paraId="0C0C1031" w14:textId="1FEE05CB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Jeżeli garaże posiadają automatyczne systemy gaśnicze, ich powierzchnia użytkowa nie może być większa niż dwukrotność powyższych wartości.</w:t>
      </w:r>
    </w:p>
    <w:p w14:paraId="45D5CD6A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36363C64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lastRenderedPageBreak/>
        <w:t>2. Garaże automatyczne muszą być podzielone na przedziały pożarowe o maksymalnej pojemności brutto 6000 m³ ścianami pożarowymi zgodnie z § 30 ust. 3 zdanie 1 MBO.</w:t>
      </w:r>
    </w:p>
    <w:p w14:paraId="59B79CD9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0FF277F4" w14:textId="77777777" w:rsidR="001F5516" w:rsidRPr="00A772AF" w:rsidRDefault="002F3718" w:rsidP="00364C43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3. Otwory w ścianach, o których mowa w ust. 1, muszą być wyposażone w ognioodporne, szczelne i samozamykające się zamknięcia. Dopuszcza się zamknięcia ognioodporne, szczelne i samozamykające się, jeżeli garaże posiadają automatyczne systemy gaśnicze. Zamknięcia otworów na obszarze pasów ruchu muszą być wyposażone w systemy blokujące, które w przypadku dymu mogą się automatycznie zamykać; muszą one również być zamykane ręcznie. </w:t>
      </w:r>
    </w:p>
    <w:p w14:paraId="116BCC11" w14:textId="2BA06A3B" w:rsidR="00364C43" w:rsidRPr="00A772AF" w:rsidRDefault="00364C43" w:rsidP="00364C43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5A133477" w14:textId="4F476D52" w:rsidR="00552591" w:rsidRPr="00A772AF" w:rsidRDefault="002F3718" w:rsidP="002F3718">
      <w:pPr>
        <w:spacing w:after="0"/>
        <w:rPr>
          <w:rFonts w:ascii="Arial" w:eastAsia="Times New Roman" w:hAnsi="Arial" w:cs="Times New Roman"/>
        </w:rPr>
      </w:pPr>
      <w:r>
        <w:rPr>
          <w:rFonts w:ascii="Arial" w:hAnsi="Arial"/>
        </w:rPr>
        <w:t>4. § 30 ust. 2 akapit drugi MBO nie ma zastosowania do garaży.</w:t>
      </w:r>
    </w:p>
    <w:p w14:paraId="33FEB23A" w14:textId="77777777" w:rsidR="00ED1FD9" w:rsidRPr="00A772AF" w:rsidRDefault="00ED1FD9" w:rsidP="002F3718">
      <w:pPr>
        <w:rPr>
          <w:rFonts w:ascii="Arial" w:hAnsi="Arial" w:cs="Arial"/>
        </w:rPr>
      </w:pPr>
    </w:p>
    <w:p w14:paraId="2DD0B04B" w14:textId="1F89585D" w:rsidR="00552591" w:rsidRPr="00A772AF" w:rsidRDefault="007D4D2B" w:rsidP="00F43216">
      <w:pPr>
        <w:pStyle w:val="Heading2"/>
        <w:rPr>
          <w:szCs w:val="22"/>
        </w:rPr>
      </w:pPr>
      <w:bookmarkStart w:id="16" w:name="_Toc72146352"/>
      <w:r>
        <w:t>§ 13 Łączniki do garaży i między kondygnacjami garażowymi</w:t>
      </w:r>
      <w:bookmarkEnd w:id="16"/>
    </w:p>
    <w:p w14:paraId="3A07F8C6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79FA77D" w14:textId="22E8A28D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1. Korytarze, wymagane klatki schodowe i lobby windy nie tylko dla użytkowników garaży mogą </w:t>
      </w:r>
    </w:p>
    <w:p w14:paraId="5F200E61" w14:textId="7B043970" w:rsidR="001F5516" w:rsidRPr="00A772AF" w:rsidRDefault="002F3718" w:rsidP="001F5516">
      <w:pPr>
        <w:spacing w:after="0" w:line="240" w:lineRule="auto"/>
        <w:ind w:left="284" w:hanging="284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1. </w:t>
      </w:r>
      <w:r>
        <w:rPr>
          <w:rFonts w:ascii="Arial" w:hAnsi="Arial"/>
        </w:rPr>
        <w:tab/>
        <w:t>– w przypadku średnich i dużych garaży zamkniętych – być połączone tylko pomieszczeniami ognioodpornymi ścianami i sufitami (zamki bezpieczeństwa);</w:t>
      </w:r>
    </w:p>
    <w:p w14:paraId="6BD48151" w14:textId="77777777" w:rsidR="001F5516" w:rsidRPr="00A772AF" w:rsidRDefault="001F5516" w:rsidP="001F5516">
      <w:pPr>
        <w:spacing w:after="0" w:line="240" w:lineRule="auto"/>
        <w:ind w:left="284"/>
        <w:rPr>
          <w:rFonts w:ascii="Arial" w:eastAsia="Times New Roman" w:hAnsi="Arial" w:cs="Times New Roman"/>
        </w:rPr>
      </w:pPr>
      <w:r>
        <w:rPr>
          <w:rFonts w:ascii="Arial" w:hAnsi="Arial"/>
        </w:rPr>
        <w:t>Zamknięcia otworów w ścianach muszą być:</w:t>
      </w:r>
    </w:p>
    <w:p w14:paraId="5271F7B6" w14:textId="2DA944F9" w:rsidR="001F5516" w:rsidRPr="00A772AF" w:rsidRDefault="001F5516" w:rsidP="001F5516">
      <w:pPr>
        <w:spacing w:after="0" w:line="240" w:lineRule="auto"/>
        <w:ind w:left="567" w:hanging="283"/>
        <w:rPr>
          <w:rFonts w:ascii="Arial" w:eastAsia="Times New Roman" w:hAnsi="Arial" w:cs="Times New Roman"/>
        </w:rPr>
      </w:pPr>
      <w:r>
        <w:rPr>
          <w:rFonts w:ascii="Arial" w:hAnsi="Arial"/>
        </w:rPr>
        <w:t>a) ognioodporne, szczelne i samozamykające się między śluzami bezpieczeństwa a garażami,</w:t>
      </w:r>
    </w:p>
    <w:p w14:paraId="7938E18C" w14:textId="283AC6D7" w:rsidR="001F5516" w:rsidRPr="00A772AF" w:rsidRDefault="001F5516" w:rsidP="001F5516">
      <w:pPr>
        <w:spacing w:after="0" w:line="240" w:lineRule="auto"/>
        <w:ind w:left="567" w:hanging="283"/>
        <w:rPr>
          <w:rFonts w:ascii="Arial" w:eastAsia="Times New Roman" w:hAnsi="Arial" w:cs="Times New Roman"/>
        </w:rPr>
      </w:pPr>
      <w:r>
        <w:rPr>
          <w:rFonts w:ascii="Arial" w:hAnsi="Arial"/>
        </w:rPr>
        <w:t>b) odporne na dym i samozamykające się między zamkami bezpieczeństwa a korytarzami lub podstawowymi klatkami schodowymi; oraz</w:t>
      </w:r>
    </w:p>
    <w:p w14:paraId="7B1C7642" w14:textId="44191A6D" w:rsidR="001F5516" w:rsidRPr="00A772AF" w:rsidRDefault="001F5516" w:rsidP="000674FC">
      <w:pPr>
        <w:spacing w:after="0" w:line="240" w:lineRule="auto"/>
        <w:ind w:left="567" w:hanging="283"/>
        <w:rPr>
          <w:rFonts w:ascii="Arial" w:eastAsia="Times New Roman" w:hAnsi="Arial" w:cs="Times New Roman"/>
        </w:rPr>
      </w:pPr>
      <w:r>
        <w:rPr>
          <w:rFonts w:ascii="Arial" w:hAnsi="Arial"/>
        </w:rPr>
        <w:t>c) ognioodporne, dymoszczelne i samozamykające się między zamkami bezpieczeństwa a innymi pomieszczeniami.</w:t>
      </w:r>
    </w:p>
    <w:p w14:paraId="4A4CBDAC" w14:textId="307FF40E" w:rsidR="002F3718" w:rsidRPr="00A772AF" w:rsidRDefault="002F3718" w:rsidP="002F3718">
      <w:pPr>
        <w:spacing w:after="0" w:line="240" w:lineRule="auto"/>
        <w:ind w:left="284" w:hanging="284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2. </w:t>
      </w:r>
      <w:r>
        <w:rPr>
          <w:rFonts w:ascii="Arial" w:hAnsi="Arial"/>
        </w:rPr>
        <w:tab/>
        <w:t>bezpośrednio połączone z innymi garażami tylko przez otwory z co najmniej ognioodpornymi i samozamykającymi się zamknięciami.</w:t>
      </w:r>
    </w:p>
    <w:p w14:paraId="37C29C8C" w14:textId="467AD277" w:rsidR="004C5249" w:rsidRPr="00A772AF" w:rsidRDefault="004C5249" w:rsidP="004C5249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W drodze odstępstwa od ust. 1 zamki zabezpieczające mogą być bezpośrednio podłączone do dźwigu, jeżeli winda znajduje się we własnym ognioodpornym wale lub prowadzi bezpośrednio do otwarcia. Odległość w blokadzie bezpieczeństwa od drzwi do garażu do drzwi do korytarza lub zasadniczych klatek schodowych musi wynosić co najmniej 3 m.</w:t>
      </w:r>
    </w:p>
    <w:p w14:paraId="7D153B9C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329CD57F" w14:textId="387A443C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2. Średnie i duże garaże mogą być podłączone bezpośrednio do innych pomieszczeń nienależących do garażu oraz do innych budynków jedynie przez otwory z co najmniej ognioodpornymi, dymoszczelnymi i samozamykającymi się zamknięciami. Automatyczne garaże nie mogą być połączone z pomieszczeniami nienależącymi do garażu lub innych budynków.</w:t>
      </w:r>
    </w:p>
    <w:p w14:paraId="45B72C7F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1E8B96E0" w14:textId="0A8A50D0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3. Otwory na niezbędne klatki schodowe łączące się z kondygnacjami garażowymi muszą mieć co najmniej ognioodporne, dymoszczelne i samozamykające się zamknięcia. </w:t>
      </w:r>
    </w:p>
    <w:p w14:paraId="266855E0" w14:textId="77777777" w:rsidR="00552591" w:rsidRPr="00A772AF" w:rsidRDefault="00552591" w:rsidP="00552591">
      <w:pPr>
        <w:rPr>
          <w:rFonts w:ascii="Arial" w:hAnsi="Arial" w:cs="Arial"/>
        </w:rPr>
      </w:pPr>
    </w:p>
    <w:p w14:paraId="0BB34B9E" w14:textId="764573F9" w:rsidR="00552591" w:rsidRPr="00A772AF" w:rsidRDefault="007D4D2B" w:rsidP="00F43216">
      <w:pPr>
        <w:pStyle w:val="Heading2"/>
        <w:rPr>
          <w:szCs w:val="22"/>
        </w:rPr>
      </w:pPr>
      <w:bookmarkStart w:id="17" w:name="_Toc72146353"/>
      <w:r>
        <w:t>§ 14 Drogi ewakuacyjne</w:t>
      </w:r>
      <w:bookmarkEnd w:id="17"/>
    </w:p>
    <w:p w14:paraId="7868ACAF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FE70359" w14:textId="5284720E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1. Każdy średni i duży garaż musi posiadać co najmniej dwie przewidziane konstrukcyjnie, niezależne drogi ewakuacyjne na każdej kondygnacji, które prowadzą bezpośrednio lub przez konieczne klatki schodowe na otwartą przestrzeń.</w:t>
      </w:r>
    </w:p>
    <w:p w14:paraId="2C7823A8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W średnich i dużych garażach naziemnych droga ewakuacyjna jest odpowiednia, jeżeli można dotrzeć do wyjścia na otwartą przestrzeń po pokonaniu nie więcej niż 10 m. </w:t>
      </w:r>
    </w:p>
    <w:p w14:paraId="17FCB1F6" w14:textId="401BCA95" w:rsidR="002F3718" w:rsidRPr="00A772AF" w:rsidRDefault="00B5189B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Jedna z dróg ewakuacyjnych może przebiegać przez rampy. W przypadku naziemnych średnich i dużych garaży, których miejsca parkingowe znajdują się nie więcej niż 3 m nad poziomem ziemi, konieczne schody spełniają wymagania drogi ewakuacyjnej określone w zdaniu 1.</w:t>
      </w:r>
    </w:p>
    <w:p w14:paraId="5443DA3F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4A187F59" w14:textId="109B0AFA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2. Z każdego miejsca w średnim i dużym garażu przynajmniej jedno wyjście na zewnątrz, konieczna klatka schodowa, lub jeżeli nie jest wymagana klatka schodowa, przynajmniej konieczne schody na tej samej kondygnacji muszą:</w:t>
      </w:r>
    </w:p>
    <w:p w14:paraId="28DA58B8" w14:textId="2CEB2DB4" w:rsidR="002F3718" w:rsidRPr="00A772AF" w:rsidRDefault="00915A71" w:rsidP="00915A71">
      <w:pPr>
        <w:spacing w:after="0" w:line="240" w:lineRule="auto"/>
        <w:ind w:left="284" w:hanging="284"/>
        <w:rPr>
          <w:rFonts w:ascii="Arial" w:eastAsia="Times New Roman" w:hAnsi="Arial" w:cs="Times New Roman"/>
        </w:rPr>
      </w:pPr>
      <w:r>
        <w:rPr>
          <w:rFonts w:ascii="Arial" w:hAnsi="Arial"/>
        </w:rPr>
        <w:lastRenderedPageBreak/>
        <w:t>1) w przypadku otwartych średnich i dużych garaży, znajdować się w odległości nieprzekraczającej 50 m;</w:t>
      </w:r>
    </w:p>
    <w:p w14:paraId="5B8A4716" w14:textId="608E5F57" w:rsidR="002F3718" w:rsidRPr="00A772AF" w:rsidRDefault="00915A71" w:rsidP="00915A71">
      <w:pPr>
        <w:spacing w:after="0" w:line="240" w:lineRule="auto"/>
        <w:ind w:left="284" w:hanging="284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2). w przypadku zamkniętych średnich i dużych garaży, znajdować się w odległości nieprzekraczającej 35 m. </w:t>
      </w:r>
    </w:p>
    <w:p w14:paraId="62D5F254" w14:textId="1413B8BC" w:rsidR="002F3718" w:rsidRPr="00A772AF" w:rsidRDefault="002F3718" w:rsidP="00915A71">
      <w:pPr>
        <w:spacing w:after="0" w:line="240" w:lineRule="auto"/>
        <w:ind w:left="284" w:hanging="284"/>
        <w:rPr>
          <w:rFonts w:ascii="Arial" w:eastAsia="Times New Roman" w:hAnsi="Arial" w:cs="Times New Roman"/>
        </w:rPr>
      </w:pPr>
    </w:p>
    <w:p w14:paraId="53A2C136" w14:textId="3E1A3B6C" w:rsidR="00B5189B" w:rsidRPr="00A772AF" w:rsidRDefault="00B5189B" w:rsidP="00B5189B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W zamkniętych garażach średnich i dużych stosuje się odległość, o której mowa w zdaniu 1, do blokady bezpieczeństwa.</w:t>
      </w:r>
    </w:p>
    <w:p w14:paraId="44BE6A77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Odległość jest mierzona jako trasa do pokonania pieszo, ale nie w poprzek miejsc parkingowych.</w:t>
      </w:r>
    </w:p>
    <w:p w14:paraId="58072AED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7BC0D9BE" w14:textId="77777777" w:rsidR="004C531D" w:rsidRPr="00A772AF" w:rsidRDefault="002F3718" w:rsidP="004C531D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3. W średnich i dużych garażach wyjścia muszą być oznaczone trwałymi i łatwo rozpoznawalnymi fotoluminescencyjnymi znakami bezpieczeństwa. </w:t>
      </w:r>
    </w:p>
    <w:p w14:paraId="418A523A" w14:textId="49C73ECB" w:rsidR="004C531D" w:rsidRPr="00A772AF" w:rsidRDefault="004C531D" w:rsidP="004C531D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W dużych garażach drogi ratunkowe muszą być oznakowane na podłodze trwałymi i łatwo rozpoznawalnymi oznaczeniami, a na ścianach fotoluminescencyjnymi znakami bezpieczeństwa. </w:t>
      </w:r>
    </w:p>
    <w:p w14:paraId="497E65EA" w14:textId="77777777" w:rsidR="004C531D" w:rsidRPr="00A772AF" w:rsidRDefault="004C531D" w:rsidP="004C531D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680B9053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4. Ustępy 1-3 stosuje się odpowiednio do miejsc parkingowych na dachu.</w:t>
      </w:r>
    </w:p>
    <w:p w14:paraId="1EACA023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7DE098CE" w14:textId="77777777" w:rsidR="004C531D" w:rsidRPr="00A772AF" w:rsidRDefault="002F3718" w:rsidP="00364C43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5. Ustępy 1-3 nie mają zastosowania do garaży automatycznych. </w:t>
      </w:r>
    </w:p>
    <w:p w14:paraId="6719AAF9" w14:textId="77777777" w:rsidR="004C531D" w:rsidRPr="00A772AF" w:rsidRDefault="004C531D" w:rsidP="004C531D">
      <w:pPr>
        <w:rPr>
          <w:rFonts w:ascii="Arial" w:hAnsi="Arial" w:cs="Arial"/>
        </w:rPr>
      </w:pPr>
    </w:p>
    <w:p w14:paraId="22F5B255" w14:textId="47964975" w:rsidR="00552591" w:rsidRPr="00A772AF" w:rsidRDefault="007D4D2B" w:rsidP="00F43216">
      <w:pPr>
        <w:pStyle w:val="Heading2"/>
        <w:rPr>
          <w:szCs w:val="22"/>
        </w:rPr>
      </w:pPr>
      <w:bookmarkStart w:id="18" w:name="_Toc72146354"/>
      <w:r>
        <w:t>§ 15 Oświetlenie, oświetlenie bezpieczeństwa</w:t>
      </w:r>
      <w:bookmarkEnd w:id="18"/>
    </w:p>
    <w:p w14:paraId="46C72538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6FEA838C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Ogólne oświetlenie elektryczne musi być dostępne w średnich i dużych garażach. Musi on być przełączane w taki sposób, aby natężenie oświetlenia w czasie pracy wynosiło co najmniej 20 luksów, a ponadto przez cały czas co najmniej 1 luks.</w:t>
      </w:r>
    </w:p>
    <w:p w14:paraId="12C58F98" w14:textId="2D0AAB4A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W średnich i dużych garażach z ustawionymi grupami użytkowników, na zasadzie odstępstwa od zdania 2, wystarczające będzie oświetlenie o naświetleniu co najmniej 20 luksów, kontrolowane za pomocą czujników ruchu lub obecności; podstawowe oświetlenie 1 Lux można pominąć.</w:t>
      </w:r>
    </w:p>
    <w:p w14:paraId="402265E7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2AC24CA" w14:textId="15E20151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W zamkniętych dużych garażach musi znajdować się oświetlenie bezpieczeństwa, aby oświetlić drogi ewakuacji i znaki bezpieczeństwa.</w:t>
      </w:r>
    </w:p>
    <w:p w14:paraId="4E215D51" w14:textId="77777777" w:rsidR="004C531D" w:rsidRPr="00A772AF" w:rsidRDefault="004C531D" w:rsidP="002F371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DC30942" w14:textId="19BA0CA0" w:rsidR="002F3718" w:rsidRPr="00A772AF" w:rsidRDefault="004C531D" w:rsidP="004C531D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3. W zamkniętych garażach średniej wielkości należy przewidzieć możliwość identyfikacji wyjść wychodzących na otwartą przestrzeń i koniecznych klatek schodowych, za pomocą świateł z zasilaniem zapasowym zapewniającym co najmniej 30 minutowe działanie w trybie awaryjnym. </w:t>
      </w:r>
    </w:p>
    <w:p w14:paraId="0E46DCC1" w14:textId="33166963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F8F9F4B" w14:textId="66B36ADF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4. Ust 1–3 nie dotyczą garaży automatycznych.</w:t>
      </w:r>
    </w:p>
    <w:p w14:paraId="0CB01381" w14:textId="77777777" w:rsidR="00552591" w:rsidRPr="00A772AF" w:rsidRDefault="00552591" w:rsidP="00552591">
      <w:pPr>
        <w:rPr>
          <w:rFonts w:ascii="Arial" w:hAnsi="Arial" w:cs="Arial"/>
        </w:rPr>
      </w:pPr>
    </w:p>
    <w:p w14:paraId="59E8FD33" w14:textId="77F7A9EE" w:rsidR="00552591" w:rsidRPr="00A772AF" w:rsidRDefault="00E4761D" w:rsidP="00F43216">
      <w:pPr>
        <w:pStyle w:val="Heading2"/>
        <w:rPr>
          <w:szCs w:val="22"/>
        </w:rPr>
      </w:pPr>
      <w:bookmarkStart w:id="19" w:name="_Toc72146355"/>
      <w:r>
        <w:t>§</w:t>
      </w:r>
      <w:r>
        <w:rPr>
          <w:lang w:val="el-GR"/>
        </w:rPr>
        <w:t xml:space="preserve"> </w:t>
      </w:r>
      <w:r w:rsidR="007D4D2B">
        <w:t>16 Wentylacja</w:t>
      </w:r>
      <w:bookmarkEnd w:id="19"/>
    </w:p>
    <w:p w14:paraId="5A46765A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FB241CF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1. Zamknięte średnie i duże garaże muszą posiadać mechaniczne układy odprowadzania powietrza i wyloty powietrza nawiewnego na tyle duże i często rozmieszczone, by zapewnić odpowiednią wentylację wszystkich części garażu. W przypadku niewystarczających wylotów powietrza nawiewnego musi być dostępny mechaniczny system wymuszonego nawiewu powietrza.</w:t>
      </w:r>
    </w:p>
    <w:p w14:paraId="64937C56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0915DCCB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2. W przypadku zamkniętych średnich i dużych garaży o niskim poziomie ruchu wjazdowego i wyjściowego, takich jak garaże mieszkalne, wystarczająca jest naturalna wentylacja przez wyloty wentylacyjne lub kanały wentylacyjne. Otwory wentylacyjne muszą:</w:t>
      </w:r>
    </w:p>
    <w:p w14:paraId="26C3FA4A" w14:textId="77777777" w:rsidR="002F3718" w:rsidRPr="00A772AF" w:rsidRDefault="002F3718" w:rsidP="002F3718">
      <w:pPr>
        <w:numPr>
          <w:ilvl w:val="0"/>
          <w:numId w:val="8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posiadać całkowity wolny przekrój poprzeczny o powierzchni co najmniej 1500 cm² na każde miejsce postojowe w garażu,</w:t>
      </w:r>
    </w:p>
    <w:p w14:paraId="4765B89B" w14:textId="77777777" w:rsidR="002F3718" w:rsidRPr="00A772AF" w:rsidRDefault="002F3718" w:rsidP="002F3718">
      <w:pPr>
        <w:numPr>
          <w:ilvl w:val="0"/>
          <w:numId w:val="8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być umieszczone naprzeciwko siebie w ścianach zewnętrznych nad poziomem podłoża, w odległości nie większej niż 35 m,</w:t>
      </w:r>
    </w:p>
    <w:p w14:paraId="2467F657" w14:textId="77777777" w:rsidR="002F3718" w:rsidRPr="00A772AF" w:rsidRDefault="002F3718" w:rsidP="002F3718">
      <w:pPr>
        <w:numPr>
          <w:ilvl w:val="0"/>
          <w:numId w:val="8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być pozbawione możliwości odcięcia przepływu, oraz</w:t>
      </w:r>
    </w:p>
    <w:p w14:paraId="43622DE3" w14:textId="77777777" w:rsidR="002F3718" w:rsidRPr="00A772AF" w:rsidRDefault="002F3718" w:rsidP="002F3718">
      <w:pPr>
        <w:numPr>
          <w:ilvl w:val="0"/>
          <w:numId w:val="8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lastRenderedPageBreak/>
        <w:t>być rozmieszczone w garażu, aby zagwarantować stałą wentylację poprzeczną.</w:t>
      </w:r>
    </w:p>
    <w:p w14:paraId="1203617B" w14:textId="77777777" w:rsidR="004F059F" w:rsidRPr="00A772AF" w:rsidRDefault="004F059F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688F23EB" w14:textId="67C52AAF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Kanały wentylacyjne muszą:</w:t>
      </w:r>
    </w:p>
    <w:p w14:paraId="5661CDE7" w14:textId="77777777" w:rsidR="002F3718" w:rsidRPr="00A772AF" w:rsidRDefault="002F3718" w:rsidP="002F3718">
      <w:pPr>
        <w:numPr>
          <w:ilvl w:val="0"/>
          <w:numId w:val="9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być rozmieszczone w odległości nieprzekraczającej 20 m między sobą; oraz</w:t>
      </w:r>
    </w:p>
    <w:p w14:paraId="01250777" w14:textId="77777777" w:rsidR="002F3718" w:rsidRPr="00A772AF" w:rsidRDefault="002F3718" w:rsidP="002F3718">
      <w:pPr>
        <w:numPr>
          <w:ilvl w:val="0"/>
          <w:numId w:val="9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posiadać, na wysokości do 2 m, całkowity wolny przekrój poprzeczny wynoszący co najmniej 1500 cm² na miejsce parkingowe w garażu oraz, na wysokości większej niż 2 m, posiadać całkowity wolny przekrój poprzeczny wynoszący co najmniej 3000 cm² na miejsce parkingowe w garażu.</w:t>
      </w:r>
    </w:p>
    <w:p w14:paraId="049C0CF7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71AA2410" w14:textId="170C29FB" w:rsidR="002F3718" w:rsidRPr="00A772AF" w:rsidRDefault="002F3718" w:rsidP="004F059F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3. W przypadku średnich i dużych garaży zamkniętych, w drodze odstępstwa od ust. 1 i 2, naturalna wentylacja jest wystarczająca, jeżeli w indywidualnych przypadkach, zgodnie z opinią zatwierdzonego eksperta w zakresie badań instalacji technicznych, średnia zawartość tlenku węgla w powietrzu, mierzona co pół godziny, i na wysokości 1,50 m powyżej podłogi (średnia wartość CO) powinna wynosić średnio nie więcej niż 100 ppm (= 100 cm³/m³), a jeżeli zostanie to potwierdzone pomiarami, które należy wykonać po rozpoczęciu użytkowania garażu przez co najmniej miesiąc przez zatwierdzonego eksperta zgodnie z prawem budowlanym w zakresie badań instalacji technicznych.</w:t>
      </w:r>
    </w:p>
    <w:p w14:paraId="27367853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6FB2E223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4. Mechaniczne układy odprowadzania powietrza są projektowane i eksploatowane w taki sposób, aby średnia wartość CO na pół godziny nie przekraczała 100 ppm, z uwzględnieniem oczekiwanych szczytów natężenia ruchu w regularnych odstępach czasu. Wymogi te uznaje się za spełnione, jeżeli układ wydechowy w garażach o niskim poziomie ruchu wjeżdżającego i wychodzącego jest zdolny do rozładowania co najmniej 6 m³ w przypadku innych garaży i co najmniej 12 m³ powietrza wylotowego na godzinę na m² powierzchni garażowej. W przypadku garaży, w których regularnie występują szczególnie wysokie szczyty ruchu, może być wymagana istotna moc wylotowa układu wydechowego wymagana na mocy zdania pierwszego, oceniana indywidualnie dla każdego przypadku.</w:t>
      </w:r>
    </w:p>
    <w:p w14:paraId="3C9A5EB0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092F5717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5. Mechaniczne układy odprowadzania powietrza muszą być wyposażone w co najmniej dwa wentylatory tej samej wielkości na jeden obieg, które jednocześnie zapewniają wymagany całkowity przepływ objętościowy. Każdy wentylator mechanicznego układu wymuszonego nawiewu lub odprowadzania powietrza musi być zasilany z własnego obwodu, do którego nie można podłączyć innych instalacji elektrycznych. Jeżeli system wentylacji ma być obsługiwany czasami tylko za pomocą jednego wentylatora, wentylatory muszą być włączone w taki sposób, aby w przypadku awarii jednego wentylatora drugi włączał się automatycznie. </w:t>
      </w:r>
    </w:p>
    <w:p w14:paraId="782CB5F7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664DAFCD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6. Duże garaże zamknięte o niskim natężeniu ruchu muszą być wyposażone w urządzenia pomiarowe i ostrzegawcze CO (systemy ostrzegania CO). Systemy ostrzegawcze CO muszą być zaprojektowane w taki sposób, aby w przypadku gdy zawartość CO przekracza 250 ppm, użytkownicy garażu byli wzywani za pomocą głośnika i migającego znaku do szybkiego opuszczenia garażu lub wyłączenia silnika w stanie nieruchomym. W tym okresie wyjścia z garażu muszą być otwarte. Systemy ostrzegania o emisji CO muszą być podłączone do zapasowego źródła zasilania.</w:t>
      </w:r>
    </w:p>
    <w:p w14:paraId="4D5E3B0A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  <w:lang w:eastAsia="de-DE"/>
        </w:rPr>
      </w:pPr>
    </w:p>
    <w:p w14:paraId="330BDA3B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7. Ustępy 1-6 nie mają zastosowania do garaży automatycznych.</w:t>
      </w:r>
    </w:p>
    <w:p w14:paraId="1BC5ED7E" w14:textId="77777777" w:rsidR="00552591" w:rsidRPr="00A772AF" w:rsidRDefault="00552591" w:rsidP="00552591">
      <w:pPr>
        <w:rPr>
          <w:rFonts w:ascii="Arial" w:hAnsi="Arial" w:cs="Arial"/>
        </w:rPr>
      </w:pPr>
    </w:p>
    <w:p w14:paraId="1334AAE1" w14:textId="0E7BEB7D" w:rsidR="00552591" w:rsidRPr="00A772AF" w:rsidRDefault="007D4D2B" w:rsidP="00F43216">
      <w:pPr>
        <w:pStyle w:val="Heading2"/>
        <w:rPr>
          <w:szCs w:val="22"/>
        </w:rPr>
      </w:pPr>
      <w:bookmarkStart w:id="20" w:name="_Toc72146356"/>
      <w:r>
        <w:t>§ 17 Urządzenia gaśnicze, usuwanie dymu</w:t>
      </w:r>
      <w:bookmarkEnd w:id="20"/>
      <w:r>
        <w:t xml:space="preserve"> </w:t>
      </w:r>
    </w:p>
    <w:p w14:paraId="668C44BD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736A307" w14:textId="158C1ED8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W średnich i dużych garażach na kondygnacjach z miejscami parkingowymi, których podłogi są przeciętnie.</w:t>
      </w:r>
    </w:p>
    <w:p w14:paraId="7618FC69" w14:textId="00F874BA" w:rsidR="002F3718" w:rsidRPr="00A772AF" w:rsidRDefault="002F3718" w:rsidP="00915A71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1. </w:t>
      </w:r>
      <w:r>
        <w:rPr>
          <w:rFonts w:ascii="Arial" w:hAnsi="Arial"/>
        </w:rPr>
        <w:tab/>
        <w:t>o więcej niż 4 m poniżej lub</w:t>
      </w:r>
    </w:p>
    <w:p w14:paraId="3798432D" w14:textId="1413DFFF" w:rsidR="002F3718" w:rsidRPr="00A772AF" w:rsidRDefault="002F3718" w:rsidP="00915A71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2. </w:t>
      </w:r>
      <w:r>
        <w:rPr>
          <w:rFonts w:ascii="Arial" w:hAnsi="Arial"/>
        </w:rPr>
        <w:tab/>
        <w:t>powyżej 13 m</w:t>
      </w:r>
    </w:p>
    <w:p w14:paraId="6755F913" w14:textId="38622231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w bezpośrednim sąsiedztwie każdej zasadniczej klatki schodowej należy zapewnić na poziomie gruntu, suchą gaśnicę wodociągową.</w:t>
      </w:r>
    </w:p>
    <w:p w14:paraId="0F0004B2" w14:textId="77777777" w:rsidR="004C531D" w:rsidRPr="00A772AF" w:rsidRDefault="004C531D" w:rsidP="004C531D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Miejsca manewrowe dla pojazdów straży pożarnej muszą być zapewnione w punktach zaopatrzenia, które znajdują się w odległości 15 m od punktów zaopatrzenia. </w:t>
      </w:r>
    </w:p>
    <w:p w14:paraId="2B026321" w14:textId="70949C86" w:rsidR="002F3718" w:rsidRPr="00A772AF" w:rsidRDefault="004C531D" w:rsidP="004C531D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lastRenderedPageBreak/>
        <w:t>Lokalizację punktów dostawy i odbioru określa się w porozumieniu z organem ochrony przeciwpożarowej.</w:t>
      </w:r>
    </w:p>
    <w:p w14:paraId="1045BCC4" w14:textId="77777777" w:rsidR="004C531D" w:rsidRPr="00A772AF" w:rsidRDefault="004C531D" w:rsidP="004C531D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5A1C24E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Należy zapewnić dostępność nieautomatycznych instalacji gaśniczych, takich jak półstacjonarne instalacje gaśnicze natryskowe lub instalacje gaśnicze piany wysokorozprężnej</w:t>
      </w:r>
    </w:p>
    <w:p w14:paraId="79A7F197" w14:textId="77777777" w:rsidR="002F3718" w:rsidRPr="00A772AF" w:rsidRDefault="002F3718" w:rsidP="002F3718">
      <w:pPr>
        <w:numPr>
          <w:ilvl w:val="0"/>
          <w:numId w:val="10"/>
        </w:numPr>
        <w:spacing w:after="0" w:line="240" w:lineRule="auto"/>
        <w:ind w:left="274" w:hanging="274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w zamkniętych garażach z więcej niż 20 miejscami postojowymi na windach napędzanych mechanicznie, jeżeli więcej niż dwa pojazdy silnikowe mogą być umieszczone nad sobą;</w:t>
      </w:r>
    </w:p>
    <w:p w14:paraId="3AEC2418" w14:textId="77777777" w:rsidR="002F3718" w:rsidRPr="00A772AF" w:rsidRDefault="002F3718" w:rsidP="002F3718">
      <w:pPr>
        <w:numPr>
          <w:ilvl w:val="0"/>
          <w:numId w:val="10"/>
        </w:numPr>
        <w:spacing w:after="0" w:line="240" w:lineRule="auto"/>
        <w:ind w:left="274" w:hanging="274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w automatycznych garażach z nie więcej niż 20 miejscami parkingowymi.</w:t>
      </w:r>
    </w:p>
    <w:p w14:paraId="10317879" w14:textId="73FC6E19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Rodzaj instalacji gaśniczej określa się indywidualnie dla każdego przypadku w porozumieniu z organem ochrony przeciwpożarowej*.</w:t>
      </w:r>
    </w:p>
    <w:p w14:paraId="36189AFC" w14:textId="77777777" w:rsidR="00364C43" w:rsidRPr="00A772AF" w:rsidRDefault="00364C43" w:rsidP="002F3718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</w:p>
    <w:p w14:paraId="54E785EF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  <w:sz w:val="16"/>
          <w:szCs w:val="16"/>
        </w:rPr>
      </w:pPr>
      <w:r>
        <w:rPr>
          <w:rFonts w:ascii="Arial" w:hAnsi="Arial"/>
          <w:sz w:val="16"/>
        </w:rPr>
        <w:t>*) zgodnie z prawem regionalnym</w:t>
      </w:r>
    </w:p>
    <w:p w14:paraId="510A02B5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816AE47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3. Należy zapewnić dostępność automatycznych systemów gaśnicze</w:t>
      </w:r>
    </w:p>
    <w:p w14:paraId="69288912" w14:textId="77777777" w:rsidR="002F3718" w:rsidRPr="00A772AF" w:rsidRDefault="002F3718" w:rsidP="002F3718">
      <w:pPr>
        <w:numPr>
          <w:ilvl w:val="0"/>
          <w:numId w:val="11"/>
        </w:numPr>
        <w:spacing w:after="0" w:line="240" w:lineRule="auto"/>
        <w:ind w:left="274" w:hanging="274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na kondygnacjach dużych garaży, jeśli podłoga kondygnacji znajduje się średnio ponad 4 m poniżej poziomu gruntu, a budynek nie jest wykorzystywany wyłącznie jako garaż; nie ma to zastosowania, jeżeli duży garaż na kondygnacjach nie jest połączony z innymi zastosowaniami, </w:t>
      </w:r>
    </w:p>
    <w:p w14:paraId="531F68FB" w14:textId="77777777" w:rsidR="002F3718" w:rsidRPr="00A772AF" w:rsidRDefault="002F3718" w:rsidP="002F3718">
      <w:pPr>
        <w:numPr>
          <w:ilvl w:val="0"/>
          <w:numId w:val="11"/>
        </w:numPr>
        <w:spacing w:after="0" w:line="240" w:lineRule="auto"/>
        <w:ind w:left="274" w:hanging="274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w automatycznych garażach z ponad 20 miejscami parkingowymi.</w:t>
      </w:r>
    </w:p>
    <w:p w14:paraId="770B3F2B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5835A99" w14:textId="1BF3333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4 W celu koniecznego usuwania dymu z każdej komory pożarowej wymaga się, aby zamknięte duże garaże były wyposażone w:</w:t>
      </w:r>
    </w:p>
    <w:p w14:paraId="1B374A5E" w14:textId="77777777" w:rsidR="002F3718" w:rsidRPr="00A772AF" w:rsidRDefault="002F3718" w:rsidP="002F3718">
      <w:pPr>
        <w:spacing w:after="0" w:line="240" w:lineRule="auto"/>
        <w:ind w:left="284" w:hanging="284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1. </w:t>
      </w:r>
      <w:r>
        <w:rPr>
          <w:rFonts w:ascii="Arial" w:hAnsi="Arial"/>
        </w:rPr>
        <w:tab/>
        <w:t>otwory prowadzące na zewnątrz, o łącznej powierzchni co najmniej 1000 cm² na miejsce parkingowe, nie dalej niż 20 m od dowolnego miejsca parkingowego i znajdujące się w suficie lub górnej trzeciej powierzchni ściany; lub</w:t>
      </w:r>
    </w:p>
    <w:p w14:paraId="235384EC" w14:textId="7A99541E" w:rsidR="00176D38" w:rsidRPr="00A772AF" w:rsidRDefault="002F3718" w:rsidP="00176D38">
      <w:pPr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2. </w:t>
      </w:r>
      <w:r>
        <w:rPr>
          <w:rFonts w:ascii="Arial" w:hAnsi="Arial"/>
        </w:rPr>
        <w:tab/>
        <w:t>mechaniczne systemy odprowadzania dymu i ciepła, które włączają się automatycznie w przypadku pożaru, wytrzymują temperaturę 300°C przez co najmniej jedną godzinę, przy czym rury elektryczne pozostają eksploatowane przez co najmniej ten sam czas pod narażeniem zewnętrznym na działanie ognia i które zapewniają co najmniej dziesięciokrotną zmianę powietrza na godzinę. Powietrze nawiewne musi być dostarczane za pomocą automatycznego sterowania i nie później niż w tym samym czasie, w którym instalacja jest oddana do użytku.</w:t>
      </w:r>
    </w:p>
    <w:p w14:paraId="0E10E9F4" w14:textId="77777777" w:rsidR="00176D38" w:rsidRPr="00A772AF" w:rsidRDefault="00176D38" w:rsidP="00176D38">
      <w:pPr>
        <w:spacing w:after="0" w:line="240" w:lineRule="auto"/>
        <w:ind w:left="284" w:hanging="284"/>
        <w:rPr>
          <w:rFonts w:ascii="Arial" w:eastAsia="Times New Roman" w:hAnsi="Arial" w:cs="Arial"/>
          <w:lang w:eastAsia="de-DE"/>
        </w:rPr>
      </w:pPr>
    </w:p>
    <w:p w14:paraId="41EE3B5F" w14:textId="59E700A7" w:rsidR="002F3718" w:rsidRPr="00A772AF" w:rsidRDefault="002F3718" w:rsidP="00176D38">
      <w:pPr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5. Ust. 4 nie ma zastosowania do garaży, które:</w:t>
      </w:r>
    </w:p>
    <w:p w14:paraId="6B689023" w14:textId="77777777" w:rsidR="002F3718" w:rsidRPr="00A772AF" w:rsidRDefault="002F3718" w:rsidP="002F3718">
      <w:pPr>
        <w:numPr>
          <w:ilvl w:val="0"/>
          <w:numId w:val="12"/>
        </w:numPr>
        <w:spacing w:after="0" w:line="240" w:lineRule="auto"/>
        <w:ind w:left="284" w:hanging="284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są wyposażone w wyloty wentylacyjne lub kanały wentylacyjne zgodnie z § 16 ust. 2;</w:t>
      </w:r>
    </w:p>
    <w:p w14:paraId="256E8CBF" w14:textId="77777777" w:rsidR="002F3718" w:rsidRPr="00A772AF" w:rsidRDefault="002F3718" w:rsidP="002F3718">
      <w:pPr>
        <w:numPr>
          <w:ilvl w:val="0"/>
          <w:numId w:val="12"/>
        </w:numPr>
        <w:spacing w:after="0" w:line="240" w:lineRule="auto"/>
        <w:ind w:left="284" w:hanging="284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są wyposażone w automatyczne instalacje gaśnicze oraz mechaniczny układ wymuszonego odprowadzania powietrza jak określono w § 16 ust. 4, który może odprowadzać co najmniej 12 m³ powietrza na godzinę na m² użytkowej przestrzeni garażowej.</w:t>
      </w:r>
    </w:p>
    <w:p w14:paraId="21AA079E" w14:textId="77777777" w:rsidR="00552591" w:rsidRPr="00A772AF" w:rsidRDefault="00552591" w:rsidP="00552591">
      <w:pPr>
        <w:rPr>
          <w:rFonts w:ascii="Arial" w:hAnsi="Arial" w:cs="Arial"/>
        </w:rPr>
      </w:pPr>
    </w:p>
    <w:p w14:paraId="12F30953" w14:textId="54425AFD" w:rsidR="00552591" w:rsidRPr="00A772AF" w:rsidRDefault="007D4D2B" w:rsidP="00F43216">
      <w:pPr>
        <w:pStyle w:val="Heading2"/>
        <w:rPr>
          <w:szCs w:val="22"/>
        </w:rPr>
      </w:pPr>
      <w:bookmarkStart w:id="21" w:name="_Toc72146357"/>
      <w:r>
        <w:t>§ 18 Systemy sygnalizacji pożarowej, systemy radiowe wewnątrz pomieszczeń</w:t>
      </w:r>
      <w:bookmarkEnd w:id="21"/>
    </w:p>
    <w:p w14:paraId="10B96F3A" w14:textId="77777777" w:rsidR="00552591" w:rsidRPr="00A772AF" w:rsidRDefault="00552591" w:rsidP="005525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de-DE"/>
        </w:rPr>
      </w:pPr>
    </w:p>
    <w:p w14:paraId="606C9647" w14:textId="77777777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 Duże garaże o zamknięte powierzchni użytkowej większej niż 2500 m² muszą posiadać systemy sygnalizacji pożarowej z nieautomatycznymi i automatycznymi czujkami pożarowymi.</w:t>
      </w:r>
    </w:p>
    <w:p w14:paraId="40CE030D" w14:textId="77777777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A57DAB9" w14:textId="6661C75F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Średnie i duże garaże zamknięte muszą posiadać systemy sygnalizacji pożarowej, gdy są podłączone do części budynku, dla których wymagane są systemy sygnalizacji pożarowej.</w:t>
      </w:r>
    </w:p>
    <w:p w14:paraId="36C2A92E" w14:textId="77777777" w:rsidR="00176D38" w:rsidRPr="00A772AF" w:rsidRDefault="00176D38" w:rsidP="00176D3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BD2B9D6" w14:textId="3C1A296F" w:rsidR="002F3718" w:rsidRPr="00A772AF" w:rsidRDefault="002F3718" w:rsidP="00176D3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3. Jeżeli automatyczne instalacje gaśnicze są dostępne w dużych garażach, jak określono w § 17 ust. 3, system sygnalizacji pożarowej jest uruchamiany przez automatyczną instalację gaśniczą. W takim przypadku nie są wymagane żadne dodatkowe automatyczne czujniki pożarowe.</w:t>
      </w:r>
    </w:p>
    <w:p w14:paraId="6CF70865" w14:textId="77777777" w:rsidR="00176D38" w:rsidRPr="00A772AF" w:rsidRDefault="00176D38" w:rsidP="00176D3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55D096BF" w14:textId="3A4BFFB9" w:rsidR="00176D38" w:rsidRPr="00A772AF" w:rsidRDefault="00176D38" w:rsidP="00176D3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4. Jeśli komunikacja radiowa między zespołami straży pożarnej na kondygnacjach, których podłoga znajduje się średnio </w:t>
      </w:r>
    </w:p>
    <w:p w14:paraId="3E341280" w14:textId="5E69ADC0" w:rsidR="00176D38" w:rsidRPr="00A772AF" w:rsidRDefault="00176D38" w:rsidP="00176D38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>1) ponad niż 4 m poniżej, albo</w:t>
      </w:r>
    </w:p>
    <w:p w14:paraId="6EB68EAA" w14:textId="169A0EDC" w:rsidR="00176D38" w:rsidRPr="00A772AF" w:rsidRDefault="00176D38" w:rsidP="00176D38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2. ponad niż 22 m powyżej </w:t>
      </w:r>
    </w:p>
    <w:p w14:paraId="6C8C0B9D" w14:textId="77777777" w:rsidR="00176D38" w:rsidRPr="00A772AF" w:rsidRDefault="00176D38" w:rsidP="00176D3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lastRenderedPageBreak/>
        <w:t>poziomu ziemi, jest zakłócona przez strukturę fizyczną, duży garaż powinien być wyposażony w urządzenia techniczne wspomagające łączność radiową.</w:t>
      </w:r>
    </w:p>
    <w:p w14:paraId="53A6699D" w14:textId="77777777" w:rsidR="00176D38" w:rsidRPr="00A772AF" w:rsidRDefault="00176D38" w:rsidP="00176D3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22E9550" w14:textId="77777777" w:rsidR="00176D38" w:rsidRPr="00A772AF" w:rsidRDefault="00176D38" w:rsidP="00176D3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5. Ustęp 4 nie ma zastosowania do garaży automatycznych.</w:t>
      </w:r>
    </w:p>
    <w:p w14:paraId="426673B7" w14:textId="06326BF5" w:rsidR="00176D38" w:rsidRPr="00A772AF" w:rsidRDefault="00176D38" w:rsidP="00552591">
      <w:pPr>
        <w:rPr>
          <w:rFonts w:ascii="Arial" w:hAnsi="Arial" w:cs="Arial"/>
        </w:rPr>
      </w:pPr>
    </w:p>
    <w:p w14:paraId="1F8DF956" w14:textId="34287EB4" w:rsidR="00C32C56" w:rsidRPr="00A772AF" w:rsidRDefault="00C32C56" w:rsidP="00EA4225">
      <w:pPr>
        <w:pStyle w:val="Heading2"/>
        <w:rPr>
          <w:b w:val="0"/>
        </w:rPr>
      </w:pPr>
      <w:bookmarkStart w:id="22" w:name="_Toc72146358"/>
      <w:r>
        <w:t>§ 19 Systemy zasilania awaryjnego</w:t>
      </w:r>
      <w:bookmarkEnd w:id="22"/>
    </w:p>
    <w:p w14:paraId="24A322CC" w14:textId="77777777" w:rsidR="00C32C56" w:rsidRPr="00A772AF" w:rsidRDefault="00C32C56" w:rsidP="00C32C56">
      <w:pPr>
        <w:spacing w:after="0" w:line="240" w:lineRule="auto"/>
        <w:ind w:left="283" w:hanging="283"/>
        <w:rPr>
          <w:rFonts w:ascii="Arial" w:eastAsia="Times New Roman" w:hAnsi="Arial" w:cs="Arial"/>
          <w:lang w:eastAsia="de-DE"/>
        </w:rPr>
      </w:pPr>
    </w:p>
    <w:p w14:paraId="74C27018" w14:textId="7462ADD4" w:rsidR="00C32C56" w:rsidRPr="00A772AF" w:rsidRDefault="00C32C56" w:rsidP="00C32C56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Garaże muszą posiadać bezpieczne systemy zasilania, które w przypadku awarii ogólnego zaopatrzenia w energię elektryczną przejmują eksploatację instalacji i urządzeń bezpieczeństwa, w szczególności </w:t>
      </w:r>
    </w:p>
    <w:p w14:paraId="62534A58" w14:textId="77777777" w:rsidR="00C32C56" w:rsidRPr="00A772AF" w:rsidRDefault="00C32C56" w:rsidP="00C32C56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1.</w:t>
      </w:r>
      <w:r>
        <w:rPr>
          <w:rFonts w:ascii="Arial" w:hAnsi="Arial"/>
        </w:rPr>
        <w:tab/>
        <w:t>Oświetlenie bezpieczeństwa</w:t>
      </w:r>
    </w:p>
    <w:p w14:paraId="3057F51A" w14:textId="77777777" w:rsidR="00C32C56" w:rsidRPr="00A772AF" w:rsidRDefault="00C32C56" w:rsidP="00C32C56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automatyczne systemy gaśnicze;</w:t>
      </w:r>
    </w:p>
    <w:p w14:paraId="3962A5D6" w14:textId="77777777" w:rsidR="00C32C56" w:rsidRPr="00A772AF" w:rsidRDefault="00C32C56" w:rsidP="00C32C56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3.</w:t>
      </w:r>
      <w:r>
        <w:rPr>
          <w:rFonts w:ascii="Arial" w:hAnsi="Arial"/>
        </w:rPr>
        <w:tab/>
        <w:t>Systemy odprowadzania dymu,</w:t>
      </w:r>
    </w:p>
    <w:p w14:paraId="1880CFD9" w14:textId="77777777" w:rsidR="00C32C56" w:rsidRPr="00A772AF" w:rsidRDefault="00C32C56" w:rsidP="00C32C56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4.</w:t>
      </w:r>
      <w:r>
        <w:rPr>
          <w:rFonts w:ascii="Arial" w:hAnsi="Arial"/>
        </w:rPr>
        <w:tab/>
        <w:t>Systemy współostrzegania,</w:t>
      </w:r>
    </w:p>
    <w:p w14:paraId="20B267CA" w14:textId="77777777" w:rsidR="00C32C56" w:rsidRPr="00A772AF" w:rsidRDefault="00C32C56" w:rsidP="00C32C56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5.</w:t>
      </w:r>
      <w:r>
        <w:rPr>
          <w:rFonts w:ascii="Arial" w:hAnsi="Arial"/>
        </w:rPr>
        <w:tab/>
        <w:t>Systemy wykrywania pożaru</w:t>
      </w:r>
    </w:p>
    <w:p w14:paraId="77446D72" w14:textId="77777777" w:rsidR="00C32C56" w:rsidRPr="00A772AF" w:rsidRDefault="00C32C56" w:rsidP="00C32C56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6.</w:t>
      </w:r>
      <w:r>
        <w:rPr>
          <w:rFonts w:ascii="Arial" w:hAnsi="Arial"/>
        </w:rPr>
        <w:tab/>
        <w:t xml:space="preserve">Wewnętrzne urządzenia radiowe oraz </w:t>
      </w:r>
    </w:p>
    <w:p w14:paraId="1727B00B" w14:textId="77777777" w:rsidR="00C32C56" w:rsidRPr="00A772AF" w:rsidRDefault="00C32C56" w:rsidP="00C32C56">
      <w:pPr>
        <w:tabs>
          <w:tab w:val="left" w:pos="284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7.</w:t>
      </w:r>
      <w:r>
        <w:rPr>
          <w:rFonts w:ascii="Arial" w:hAnsi="Arial"/>
        </w:rPr>
        <w:tab/>
        <w:t>Urządzenia zamykające zamknięcia przeciwpożarowe (np. rolety)</w:t>
      </w:r>
    </w:p>
    <w:p w14:paraId="4CF85C58" w14:textId="77777777" w:rsidR="00ED1FD9" w:rsidRPr="00A772AF" w:rsidRDefault="00ED1FD9" w:rsidP="00C32C56">
      <w:pPr>
        <w:rPr>
          <w:rFonts w:ascii="Arial" w:hAnsi="Arial" w:cs="Arial"/>
        </w:rPr>
      </w:pPr>
    </w:p>
    <w:p w14:paraId="08C5EA4D" w14:textId="76E93CA2" w:rsidR="00176D38" w:rsidRPr="00A772AF" w:rsidRDefault="00176D38" w:rsidP="00EA4225">
      <w:pPr>
        <w:pStyle w:val="Heading2"/>
        <w:rPr>
          <w:b w:val="0"/>
        </w:rPr>
      </w:pPr>
      <w:bookmarkStart w:id="23" w:name="_Toc72146359"/>
      <w:r>
        <w:t>§ 20 Instalacje i systemy techniczne</w:t>
      </w:r>
      <w:bookmarkEnd w:id="23"/>
    </w:p>
    <w:p w14:paraId="2BBA44D8" w14:textId="77777777" w:rsidR="00176D38" w:rsidRPr="00A772AF" w:rsidRDefault="00176D38" w:rsidP="00176D38">
      <w:pPr>
        <w:spacing w:after="0" w:line="240" w:lineRule="auto"/>
        <w:ind w:left="283" w:hanging="283"/>
        <w:rPr>
          <w:rFonts w:ascii="Arial" w:eastAsia="Times New Roman" w:hAnsi="Arial" w:cs="Arial"/>
          <w:lang w:eastAsia="de-DE"/>
        </w:rPr>
      </w:pPr>
    </w:p>
    <w:p w14:paraId="23EFE724" w14:textId="77777777" w:rsidR="00176D38" w:rsidRPr="00A772AF" w:rsidRDefault="00176D38" w:rsidP="00687D9A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1. Instalacje, w szczególności urządzenia do mechanicznych systemów postojowych, muszą być wykonane z niepalnych materiałów budowlanych. </w:t>
      </w:r>
    </w:p>
    <w:p w14:paraId="45830D4B" w14:textId="77777777" w:rsidR="00176D38" w:rsidRPr="00A772AF" w:rsidRDefault="00176D38" w:rsidP="00687D9A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Nie dotyczy to infrastruktury ładowania pojazdów elektrycznych. </w:t>
      </w:r>
    </w:p>
    <w:p w14:paraId="4FA1DF72" w14:textId="77777777" w:rsidR="00176D38" w:rsidRPr="00A772AF" w:rsidRDefault="00176D38" w:rsidP="00687D9A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Instalacja i eksploatacja systemów magazynowania energii nie jest dozwolona w garażach, z wyjątkiem pojazdów.</w:t>
      </w:r>
    </w:p>
    <w:p w14:paraId="1005F328" w14:textId="77777777" w:rsidR="00176D38" w:rsidRPr="00A772AF" w:rsidRDefault="00176D38" w:rsidP="00687D9A">
      <w:pPr>
        <w:spacing w:after="0" w:line="240" w:lineRule="auto"/>
        <w:rPr>
          <w:rFonts w:ascii="Arial" w:eastAsia="Times New Roman" w:hAnsi="Arial" w:cs="Arial"/>
          <w:i/>
        </w:rPr>
      </w:pPr>
      <w:r>
        <w:rPr>
          <w:rFonts w:ascii="Arial" w:hAnsi="Arial"/>
        </w:rPr>
        <w:t>Instalacja klimatyzacyjna, wentylacyjna, chłodnicza i wydechowa, które nie są przeznaczone do użytku w garażu, nie jest dozwolona w garażach.</w:t>
      </w:r>
    </w:p>
    <w:p w14:paraId="4F4DF7BC" w14:textId="77777777" w:rsidR="00176D38" w:rsidRPr="00A772AF" w:rsidRDefault="00176D38" w:rsidP="00687D9A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D25B598" w14:textId="2877A1DE" w:rsidR="00176D38" w:rsidRPr="00A772AF" w:rsidRDefault="00176D38" w:rsidP="00687D9A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Rurociągi, które nie dostarczają garażu, mogą być prowadzone przez garaże, pod warunkiem że te strefy ruchu i miejsca parkingowe nie są ograniczone i są chronione przed wandalizmem, uderzeniami i innymi uszkodzeniami mechanicznymi.</w:t>
      </w:r>
    </w:p>
    <w:p w14:paraId="2AB4814E" w14:textId="21EFD2B8" w:rsidR="00176D38" w:rsidRPr="00A772AF" w:rsidRDefault="00687D9A" w:rsidP="00687D9A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Zdanie 1 nie ma zastosowania do przewodów wysokiego i średniego napięcia oraz przewodów zasilających gaz.</w:t>
      </w:r>
    </w:p>
    <w:p w14:paraId="6719126C" w14:textId="77777777" w:rsidR="00176D38" w:rsidRPr="00A772AF" w:rsidRDefault="00176D38" w:rsidP="00552591">
      <w:pPr>
        <w:rPr>
          <w:rFonts w:ascii="Arial" w:hAnsi="Arial" w:cs="Arial"/>
        </w:rPr>
      </w:pPr>
    </w:p>
    <w:p w14:paraId="5278472C" w14:textId="156CD702" w:rsidR="00B7437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24" w:name="_Toc72146360"/>
      <w:r>
        <w:rPr>
          <w:sz w:val="22"/>
        </w:rPr>
        <w:t>Część III</w:t>
      </w:r>
      <w:bookmarkEnd w:id="24"/>
    </w:p>
    <w:p w14:paraId="45994CBD" w14:textId="1EB64B6D" w:rsidR="0055259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25" w:name="_Toc72146361"/>
      <w:r>
        <w:rPr>
          <w:sz w:val="22"/>
        </w:rPr>
        <w:t>Zasady eksploatacji</w:t>
      </w:r>
      <w:bookmarkEnd w:id="25"/>
    </w:p>
    <w:p w14:paraId="2521B818" w14:textId="77777777" w:rsidR="00A90DBC" w:rsidRPr="00A772AF" w:rsidRDefault="00A90DBC" w:rsidP="00A90DBC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9A0247F" w14:textId="4CB81C0D" w:rsidR="00552591" w:rsidRPr="00A772AF" w:rsidRDefault="007D4D2B" w:rsidP="00F43216">
      <w:pPr>
        <w:pStyle w:val="Heading2"/>
        <w:rPr>
          <w:szCs w:val="22"/>
        </w:rPr>
      </w:pPr>
      <w:bookmarkStart w:id="26" w:name="_Toc72146362"/>
      <w:r>
        <w:t>§ 21 Zasady eksploatacji garaży</w:t>
      </w:r>
      <w:bookmarkEnd w:id="26"/>
    </w:p>
    <w:p w14:paraId="2FA4E352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EEB18D3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1. W średnich i dużych garażach ogólne oświetlenie elektryczne, o którym mowa w § 15 ust. 1, musi być włączone na stałe w okresie pracy o naświetleniu co najmniej 20 luksów, chyba że dostępne jest światło dzienne o odpowiednim oświetleniu. </w:t>
      </w:r>
      <w:r>
        <w:rPr>
          <w:rFonts w:ascii="Arial" w:hAnsi="Arial"/>
        </w:rPr>
        <w:br/>
      </w:r>
    </w:p>
    <w:p w14:paraId="0EC36A9B" w14:textId="4A0DBA9B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2. W średnich i dużych garażach zabrania się przechowywania materiałów palnych poza pojazdami silnikowymi.</w:t>
      </w:r>
    </w:p>
    <w:p w14:paraId="79DD74F4" w14:textId="2DA9141C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 xml:space="preserve">Nie dotyczy to dodatkowego zestawu opon i akcesoriów do pojazdów do jednego pojazdu silnikowego na miejsce parkingowe, takich jak skrzynia dachowa, bagażnik rowerowy lub fotelik dziecięcy, chyba że ma to negatywny wpływ na użyteczność miejsca parkingowego. </w:t>
      </w:r>
    </w:p>
    <w:p w14:paraId="3FDC9AC5" w14:textId="77777777" w:rsidR="002F3718" w:rsidRPr="00A772AF" w:rsidRDefault="002F3718" w:rsidP="002F371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W małych garażach można również przechowywać do 200 litrów oleju napędowego i do 20 litrów benzyny w szczelnie zamkniętych, odpornych na uszkodzenia pojemnikach.</w:t>
      </w:r>
    </w:p>
    <w:p w14:paraId="0D2A4139" w14:textId="77777777" w:rsidR="002F3718" w:rsidRPr="00A772AF" w:rsidRDefault="002F3718" w:rsidP="002F3718">
      <w:pPr>
        <w:spacing w:after="0" w:line="240" w:lineRule="auto"/>
        <w:ind w:left="283" w:hanging="283"/>
        <w:rPr>
          <w:rFonts w:ascii="Arial" w:eastAsia="Times New Roman" w:hAnsi="Arial" w:cs="Arial"/>
          <w:lang w:eastAsia="de-DE"/>
        </w:rPr>
      </w:pPr>
    </w:p>
    <w:p w14:paraId="2914F064" w14:textId="779BFA6E" w:rsidR="002F3718" w:rsidRPr="00A772AF" w:rsidRDefault="002F3718" w:rsidP="002F3718">
      <w:pPr>
        <w:spacing w:after="0" w:line="240" w:lineRule="auto"/>
        <w:contextualSpacing/>
        <w:rPr>
          <w:rFonts w:ascii="Arial" w:eastAsia="Times New Roman" w:hAnsi="Arial" w:cs="Arial"/>
        </w:rPr>
      </w:pPr>
      <w:r>
        <w:rPr>
          <w:rFonts w:ascii="Arial" w:hAnsi="Arial"/>
        </w:rPr>
        <w:t>3. Rowery, przyczepy i małe pojazdy elektryczne mogą być zaparkowane wyłącznie poza obszarami ruchu drogowego i szlakami ratowniczymi; należy zapewnić bezpieczny parking.</w:t>
      </w:r>
    </w:p>
    <w:p w14:paraId="2356E726" w14:textId="77777777" w:rsidR="002F3718" w:rsidRPr="00A772AF" w:rsidRDefault="002F3718" w:rsidP="002F3718">
      <w:pPr>
        <w:spacing w:after="0" w:line="240" w:lineRule="auto"/>
        <w:contextualSpacing/>
        <w:rPr>
          <w:rFonts w:ascii="Arial" w:eastAsia="Times New Roman" w:hAnsi="Arial" w:cs="Arial"/>
          <w:lang w:eastAsia="de-DE"/>
        </w:rPr>
      </w:pPr>
    </w:p>
    <w:p w14:paraId="6FEBE4E6" w14:textId="70CF1C52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lastRenderedPageBreak/>
        <w:t xml:space="preserve">4. W średnich i dużych garażach zamkniętych zabrania się palenia tytoniu i używania otwartego płomienia. Zakaz ten musi być oznaczony za pomocą wyraźnie widocznych i trwałych znaków ze komunikatem „Ogień i palenie zabronione!”. </w:t>
      </w:r>
    </w:p>
    <w:p w14:paraId="47B93E7F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89F5A31" w14:textId="143C59C3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5. Drogi ewakuacyjne oraz wejścia i wyjścia do strefy ruchu publicznego muszą być bezpieczne i wolne.</w:t>
      </w:r>
    </w:p>
    <w:p w14:paraId="0453CB4B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DAAA649" w14:textId="2E4CB0B3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6. Ustępy 1-4 nie mają zastosowania do garaży automatycznych.</w:t>
      </w:r>
    </w:p>
    <w:p w14:paraId="36B9EE2D" w14:textId="77777777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15F2FBE8" w14:textId="09C53F69" w:rsidR="002F3718" w:rsidRPr="00A772AF" w:rsidRDefault="002F3718" w:rsidP="002F371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7. Obowiązki, o których mowa w ust. 1-6, spoczywają na właścicielu lub operatorze.</w:t>
      </w:r>
    </w:p>
    <w:p w14:paraId="3FBC2459" w14:textId="77777777" w:rsidR="00552591" w:rsidRPr="00A772AF" w:rsidRDefault="00552591" w:rsidP="00552591">
      <w:pPr>
        <w:rPr>
          <w:rFonts w:ascii="Arial" w:hAnsi="Arial" w:cs="Arial"/>
        </w:rPr>
      </w:pPr>
    </w:p>
    <w:p w14:paraId="05AD2887" w14:textId="47E171D9" w:rsidR="00B7437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27" w:name="_Toc72146363"/>
      <w:r>
        <w:rPr>
          <w:sz w:val="22"/>
        </w:rPr>
        <w:t>Cześć IV</w:t>
      </w:r>
      <w:bookmarkEnd w:id="27"/>
    </w:p>
    <w:p w14:paraId="2FCB339D" w14:textId="58345696" w:rsidR="0055259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28" w:name="_Toc72146364"/>
      <w:r>
        <w:rPr>
          <w:sz w:val="22"/>
        </w:rPr>
        <w:t>Wymagana dokumentacja budowlana</w:t>
      </w:r>
      <w:bookmarkEnd w:id="28"/>
    </w:p>
    <w:p w14:paraId="18D5C0C1" w14:textId="77777777" w:rsidR="00B74371" w:rsidRPr="00A772AF" w:rsidRDefault="00B74371" w:rsidP="00B7437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2187DA3D" w14:textId="5DD6A09F" w:rsidR="00552591" w:rsidRPr="00A772AF" w:rsidRDefault="007D4D2B" w:rsidP="00F43216">
      <w:pPr>
        <w:pStyle w:val="Heading2"/>
        <w:rPr>
          <w:szCs w:val="22"/>
        </w:rPr>
      </w:pPr>
      <w:bookmarkStart w:id="29" w:name="_Toc72146365"/>
      <w:r>
        <w:t>§ 22 Dokumentacja budowlana, plany straży pożarnej</w:t>
      </w:r>
      <w:bookmarkEnd w:id="29"/>
    </w:p>
    <w:p w14:paraId="73CC2595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7A70914A" w14:textId="77777777" w:rsidR="0084670D" w:rsidRPr="00A772AF" w:rsidRDefault="0084670D" w:rsidP="0084670D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1. Dokumenty budowlane muszą również zawierać informacje na temat: </w:t>
      </w:r>
    </w:p>
    <w:p w14:paraId="4B82C7AE" w14:textId="77777777" w:rsidR="0084670D" w:rsidRPr="00A772AF" w:rsidRDefault="0084670D" w:rsidP="0084670D">
      <w:pPr>
        <w:numPr>
          <w:ilvl w:val="0"/>
          <w:numId w:val="4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liczby, wymiarów i identyfikacji miejsc parkingowych oraz pasów ruchu;</w:t>
      </w:r>
    </w:p>
    <w:p w14:paraId="73334B87" w14:textId="77777777" w:rsidR="0084670D" w:rsidRPr="00A772AF" w:rsidRDefault="0084670D" w:rsidP="0084670D">
      <w:pPr>
        <w:numPr>
          <w:ilvl w:val="0"/>
          <w:numId w:val="4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układów wentylacji naturalnej lub mechanicznej odprowadzania powietrza; oraz</w:t>
      </w:r>
    </w:p>
    <w:p w14:paraId="2BA3B3CE" w14:textId="525949E5" w:rsidR="0084670D" w:rsidRPr="002055E7" w:rsidRDefault="0084670D" w:rsidP="002055E7">
      <w:pPr>
        <w:numPr>
          <w:ilvl w:val="0"/>
          <w:numId w:val="4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systemów ostrzegania przed podwyższonym poziomem tlenku węgla.</w:t>
      </w:r>
    </w:p>
    <w:p w14:paraId="4235B051" w14:textId="77777777" w:rsidR="0084670D" w:rsidRPr="00A772AF" w:rsidRDefault="0084670D" w:rsidP="0084670D">
      <w:pPr>
        <w:spacing w:after="0" w:line="240" w:lineRule="auto"/>
        <w:contextualSpacing/>
        <w:rPr>
          <w:rFonts w:ascii="Arial" w:eastAsia="Times New Roman" w:hAnsi="Arial" w:cs="Times New Roman"/>
          <w:lang w:eastAsia="de-DE"/>
        </w:rPr>
      </w:pPr>
    </w:p>
    <w:p w14:paraId="46DF3A91" w14:textId="77777777" w:rsidR="00687D9A" w:rsidRPr="00A772AF" w:rsidRDefault="0084670D" w:rsidP="00687D9A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2. Na wniosek właściwego organu*, dla zamkniętych średnich i dużych garaży przygotowuje się plany postępowania na wypadek pożaru, koordynowane z organem ochrony przeciwpożarowej i udostępniane miejscowej straży pożarnej. </w:t>
      </w:r>
    </w:p>
    <w:p w14:paraId="7CD69EB8" w14:textId="77777777" w:rsidR="00687D9A" w:rsidRPr="00A772AF" w:rsidRDefault="00687D9A" w:rsidP="00687D9A">
      <w:pPr>
        <w:spacing w:after="0" w:line="240" w:lineRule="auto"/>
        <w:rPr>
          <w:rFonts w:ascii="Arial" w:eastAsia="Times New Roman" w:hAnsi="Arial" w:cs="Times New Roman"/>
          <w:sz w:val="16"/>
          <w:szCs w:val="16"/>
          <w:lang w:eastAsia="de-DE"/>
        </w:rPr>
      </w:pPr>
    </w:p>
    <w:p w14:paraId="1B846EA8" w14:textId="5F18E61E" w:rsidR="00552591" w:rsidRPr="00A772AF" w:rsidRDefault="00687D9A" w:rsidP="00687D9A">
      <w:pPr>
        <w:spacing w:after="0" w:line="240" w:lineRule="auto"/>
        <w:rPr>
          <w:rFonts w:ascii="Arial" w:eastAsia="Times New Roman" w:hAnsi="Arial" w:cs="Times New Roman"/>
          <w:sz w:val="16"/>
          <w:szCs w:val="16"/>
        </w:rPr>
      </w:pPr>
      <w:r>
        <w:rPr>
          <w:rFonts w:ascii="Arial" w:hAnsi="Arial"/>
          <w:sz w:val="16"/>
        </w:rPr>
        <w:t>*zgodnie z prawem regionalnym</w:t>
      </w:r>
    </w:p>
    <w:p w14:paraId="29964897" w14:textId="77777777" w:rsidR="00AB4B95" w:rsidRPr="00A772AF" w:rsidRDefault="00AB4B95" w:rsidP="00AB4B95">
      <w:pPr>
        <w:rPr>
          <w:rFonts w:ascii="Arial" w:hAnsi="Arial" w:cs="Arial"/>
        </w:rPr>
      </w:pPr>
    </w:p>
    <w:p w14:paraId="757B3E97" w14:textId="751705F6" w:rsidR="00B7437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30" w:name="_Toc72146366"/>
      <w:r>
        <w:rPr>
          <w:sz w:val="22"/>
        </w:rPr>
        <w:t>Część V</w:t>
      </w:r>
      <w:bookmarkEnd w:id="30"/>
    </w:p>
    <w:p w14:paraId="4295D9BB" w14:textId="5AF218C6" w:rsidR="00552591" w:rsidRPr="00A772AF" w:rsidRDefault="00552591" w:rsidP="00B74371">
      <w:pPr>
        <w:pStyle w:val="Heading1"/>
        <w:jc w:val="center"/>
        <w:rPr>
          <w:sz w:val="22"/>
          <w:szCs w:val="22"/>
        </w:rPr>
      </w:pPr>
      <w:bookmarkStart w:id="31" w:name="_Toc72146367"/>
      <w:r>
        <w:rPr>
          <w:sz w:val="22"/>
        </w:rPr>
        <w:t>Postanowienia końcowe</w:t>
      </w:r>
      <w:bookmarkEnd w:id="31"/>
    </w:p>
    <w:p w14:paraId="152234AF" w14:textId="77777777" w:rsidR="00B74371" w:rsidRPr="00A772AF" w:rsidRDefault="00B74371" w:rsidP="00B7437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9CEA557" w14:textId="63C94DAB" w:rsidR="00552591" w:rsidRPr="00A772AF" w:rsidRDefault="007D4D2B" w:rsidP="00F43216">
      <w:pPr>
        <w:pStyle w:val="Heading2"/>
        <w:rPr>
          <w:szCs w:val="22"/>
        </w:rPr>
      </w:pPr>
      <w:bookmarkStart w:id="32" w:name="_Toc72146368"/>
      <w:r>
        <w:t>§ 23 Wymagania dodatkowe:</w:t>
      </w:r>
      <w:bookmarkEnd w:id="32"/>
    </w:p>
    <w:p w14:paraId="57A9BC3E" w14:textId="77777777" w:rsidR="00552591" w:rsidRPr="00A772AF" w:rsidRDefault="00552591" w:rsidP="0055259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de-DE"/>
        </w:rPr>
      </w:pPr>
    </w:p>
    <w:p w14:paraId="0A1942DD" w14:textId="23E3AECD" w:rsidR="0084670D" w:rsidRPr="00A772AF" w:rsidRDefault="0084670D" w:rsidP="0084670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W celach bezpieczeństwa określonych w § 3 MBO można wprowadzić bardziej rygorystyczne wymagania niż przewidziane w niniejszym rozporządzeniu, jeżeli:</w:t>
      </w:r>
    </w:p>
    <w:p w14:paraId="0626D25C" w14:textId="15DC22C6" w:rsidR="0084670D" w:rsidRPr="00A772AF" w:rsidRDefault="0084670D" w:rsidP="0084670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określono miejsca parkingowe lub miejsca dla pojazdów silnikowych, których długość przekracza 5 m i których szerokość jest większa niż 2 m;</w:t>
      </w:r>
    </w:p>
    <w:p w14:paraId="1A60BE22" w14:textId="5654BEF9" w:rsidR="0084670D" w:rsidRPr="00A772AF" w:rsidRDefault="0084670D" w:rsidP="0084670D">
      <w:pPr>
        <w:numPr>
          <w:ilvl w:val="0"/>
          <w:numId w:val="3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garaże znajdują się na kondygnacjach, których podłoga jest ponad 22 m nad poziomem gruntu.</w:t>
      </w:r>
    </w:p>
    <w:p w14:paraId="0C2F35D8" w14:textId="77777777" w:rsidR="004614DC" w:rsidRPr="00A772AF" w:rsidRDefault="004614DC" w:rsidP="004614DC">
      <w:pPr>
        <w:spacing w:after="0" w:line="240" w:lineRule="auto"/>
        <w:contextualSpacing/>
        <w:rPr>
          <w:rFonts w:ascii="Arial" w:eastAsia="Times New Roman" w:hAnsi="Arial" w:cs="Times New Roman"/>
          <w:lang w:eastAsia="de-DE"/>
        </w:rPr>
      </w:pPr>
    </w:p>
    <w:p w14:paraId="330F70B6" w14:textId="53088DAD" w:rsidR="00AB4B95" w:rsidRPr="00A772AF" w:rsidRDefault="00AB4B95" w:rsidP="00AB4B95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W średnich i dużych garażach system sygnalizacji pożarowej z ostrzeżeniem dźwiękowym dla użytkowników w garażu może być wymagany, jeśli ze względu na ich szczególne zastosowanie oczekuje się, że osoby pozostaną dłużej. </w:t>
      </w:r>
    </w:p>
    <w:p w14:paraId="1B215BDD" w14:textId="5BBB1487" w:rsidR="00AB4B95" w:rsidRPr="00A772AF" w:rsidRDefault="00AB4B95" w:rsidP="00AB4B95">
      <w:pPr>
        <w:rPr>
          <w:rFonts w:ascii="Arial" w:hAnsi="Arial" w:cs="Arial"/>
        </w:rPr>
      </w:pPr>
    </w:p>
    <w:p w14:paraId="24110C7E" w14:textId="4674C7EF" w:rsidR="00552591" w:rsidRPr="00A772AF" w:rsidRDefault="007D4D2B" w:rsidP="00F43216">
      <w:pPr>
        <w:pStyle w:val="Heading2"/>
        <w:rPr>
          <w:szCs w:val="22"/>
        </w:rPr>
      </w:pPr>
      <w:bookmarkStart w:id="33" w:name="_Toc72146369"/>
      <w:r>
        <w:t>§ 24 Wykroczenia administracyjne</w:t>
      </w:r>
      <w:bookmarkEnd w:id="33"/>
    </w:p>
    <w:p w14:paraId="3D1912E4" w14:textId="77777777" w:rsidR="00552591" w:rsidRPr="00A772AF" w:rsidRDefault="00552591" w:rsidP="00552591">
      <w:pPr>
        <w:spacing w:after="0" w:line="240" w:lineRule="auto"/>
        <w:jc w:val="both"/>
        <w:rPr>
          <w:rFonts w:ascii="Arial" w:eastAsia="Times New Roman" w:hAnsi="Arial" w:cs="Arial"/>
          <w:lang w:eastAsia="de-DE"/>
        </w:rPr>
      </w:pPr>
    </w:p>
    <w:p w14:paraId="452E5C98" w14:textId="77777777" w:rsidR="0084670D" w:rsidRPr="00A772AF" w:rsidRDefault="0084670D" w:rsidP="0084670D">
      <w:pPr>
        <w:spacing w:after="0" w:line="240" w:lineRule="auto"/>
        <w:rPr>
          <w:rFonts w:ascii="Arial" w:eastAsia="Times New Roman" w:hAnsi="Arial" w:cs="Times New Roman"/>
        </w:rPr>
      </w:pPr>
      <w:r>
        <w:rPr>
          <w:rFonts w:ascii="Arial" w:hAnsi="Arial"/>
        </w:rPr>
        <w:t>Wykroczenie administracyjne określone w § 84 ust. 1 pkt 1 MBO jest popełniane przez każdego, kto działa umyślnie lub w wyniku zaniedbania,</w:t>
      </w:r>
    </w:p>
    <w:p w14:paraId="1525542B" w14:textId="554D49B5" w:rsidR="00723196" w:rsidRPr="00A772AF" w:rsidRDefault="0084670D" w:rsidP="00723196">
      <w:pPr>
        <w:numPr>
          <w:ilvl w:val="0"/>
          <w:numId w:val="5"/>
        </w:numPr>
        <w:spacing w:after="0" w:line="240" w:lineRule="auto"/>
        <w:ind w:left="284" w:hanging="28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 xml:space="preserve">wbrew § 15 ust. 1, w zamkniętych garażach średnich i dużych, nie zapewnia niezbędnego oświetlenia. </w:t>
      </w:r>
    </w:p>
    <w:p w14:paraId="6E6FBEAE" w14:textId="3C654C1A" w:rsidR="0084670D" w:rsidRPr="00A772AF" w:rsidRDefault="0084670D" w:rsidP="00723196">
      <w:pPr>
        <w:numPr>
          <w:ilvl w:val="0"/>
          <w:numId w:val="5"/>
        </w:numPr>
        <w:spacing w:after="0" w:line="240" w:lineRule="auto"/>
        <w:ind w:left="284" w:hanging="28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wbrew § 16 ust. 4, działa w taki sposób, że określona wartość zawartości CO w powietrzu jest przekroczona.</w:t>
      </w:r>
    </w:p>
    <w:p w14:paraId="4FF31C09" w14:textId="2EF707B5" w:rsidR="0084670D" w:rsidRPr="00A772AF" w:rsidRDefault="0084670D" w:rsidP="00723196">
      <w:pPr>
        <w:numPr>
          <w:ilvl w:val="0"/>
          <w:numId w:val="5"/>
        </w:numPr>
        <w:spacing w:after="0" w:line="240" w:lineRule="auto"/>
        <w:ind w:left="284" w:hanging="28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wbrew § 21 ust. 2 przechowuje substancje łatwopalne w garażach.</w:t>
      </w:r>
    </w:p>
    <w:p w14:paraId="5409AAE4" w14:textId="37A8BA3A" w:rsidR="00723196" w:rsidRPr="00A772AF" w:rsidRDefault="0084670D" w:rsidP="004C531D">
      <w:pPr>
        <w:numPr>
          <w:ilvl w:val="0"/>
          <w:numId w:val="5"/>
        </w:numPr>
        <w:spacing w:after="0" w:line="240" w:lineRule="auto"/>
        <w:ind w:left="274" w:hanging="274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wbrew § 21 ust. 5 nie utrzymuje dróg ewakuacyjnych oraz wejść i wyjść bezpiecznych od ruchu i wolnych.</w:t>
      </w:r>
    </w:p>
    <w:p w14:paraId="3236DDD6" w14:textId="77777777" w:rsidR="00723196" w:rsidRPr="00A772AF" w:rsidRDefault="00723196" w:rsidP="00723196">
      <w:pPr>
        <w:rPr>
          <w:rFonts w:ascii="Arial" w:hAnsi="Arial" w:cs="Arial"/>
        </w:rPr>
      </w:pPr>
    </w:p>
    <w:p w14:paraId="15EFE214" w14:textId="4A1593D4" w:rsidR="00552591" w:rsidRPr="00A772AF" w:rsidRDefault="007D4D2B" w:rsidP="00F43216">
      <w:pPr>
        <w:pStyle w:val="Heading2"/>
        <w:rPr>
          <w:szCs w:val="22"/>
        </w:rPr>
      </w:pPr>
      <w:bookmarkStart w:id="34" w:name="_Toc72146370"/>
      <w:r>
        <w:lastRenderedPageBreak/>
        <w:t>§ 25 Przepisy przejściowe</w:t>
      </w:r>
      <w:bookmarkEnd w:id="34"/>
    </w:p>
    <w:p w14:paraId="2EC0D2A9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388B9FBD" w14:textId="6AD50B27" w:rsidR="0084670D" w:rsidRPr="00A772AF" w:rsidRDefault="0084670D" w:rsidP="0084670D">
      <w:pPr>
        <w:tabs>
          <w:tab w:val="left" w:pos="274"/>
        </w:tabs>
        <w:spacing w:after="0" w:line="240" w:lineRule="auto"/>
        <w:contextualSpacing/>
        <w:rPr>
          <w:rFonts w:ascii="Arial" w:eastAsia="Times New Roman" w:hAnsi="Arial" w:cs="Times New Roman"/>
        </w:rPr>
      </w:pPr>
      <w:r>
        <w:rPr>
          <w:rFonts w:ascii="Arial" w:hAnsi="Arial"/>
        </w:rPr>
        <w:t>Garaże istniejące w momencie wejścia w życie niniejszego rozporządzenia podlegają zasadom eksploatacji (§ 21).</w:t>
      </w:r>
    </w:p>
    <w:p w14:paraId="28B60D5F" w14:textId="77777777" w:rsidR="00552591" w:rsidRPr="00A772AF" w:rsidRDefault="00552591" w:rsidP="00552591">
      <w:pPr>
        <w:rPr>
          <w:rFonts w:ascii="Arial" w:hAnsi="Arial" w:cs="Arial"/>
        </w:rPr>
      </w:pPr>
    </w:p>
    <w:p w14:paraId="6B2BC815" w14:textId="29484551" w:rsidR="00552591" w:rsidRPr="00A772AF" w:rsidRDefault="007D4D2B" w:rsidP="00F43216">
      <w:pPr>
        <w:pStyle w:val="Heading2"/>
        <w:rPr>
          <w:szCs w:val="22"/>
        </w:rPr>
      </w:pPr>
      <w:bookmarkStart w:id="35" w:name="_Toc72146371"/>
      <w:r>
        <w:t>§ 26 Wejście w życie</w:t>
      </w:r>
      <w:bookmarkEnd w:id="35"/>
    </w:p>
    <w:p w14:paraId="09A7ADEA" w14:textId="77777777" w:rsidR="00F43216" w:rsidRPr="00A772AF" w:rsidRDefault="00F43216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00C7AD39" w14:textId="77777777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Niniejsze rozporządzenie wchodzi w życie z dniem....</w:t>
      </w:r>
    </w:p>
    <w:p w14:paraId="074D1490" w14:textId="2F0D1B2E" w:rsidR="00552591" w:rsidRPr="00A772AF" w:rsidRDefault="00552591" w:rsidP="00552591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/>
        </w:rPr>
        <w:t>Jednocześnie rozporządzenie w sprawie garażu z dnia... przestaje obowiązywać.</w:t>
      </w:r>
    </w:p>
    <w:p w14:paraId="24D8707B" w14:textId="77777777" w:rsidR="0064102E" w:rsidRPr="00A772AF" w:rsidRDefault="0064102E" w:rsidP="00552591">
      <w:pPr>
        <w:spacing w:after="0" w:line="240" w:lineRule="auto"/>
        <w:rPr>
          <w:rFonts w:ascii="Arial" w:eastAsia="Times New Roman" w:hAnsi="Arial" w:cs="Arial"/>
          <w:lang w:eastAsia="de-DE"/>
        </w:rPr>
      </w:pPr>
    </w:p>
    <w:p w14:paraId="404F8B77" w14:textId="77777777" w:rsidR="0064102E" w:rsidRPr="00A772AF" w:rsidRDefault="0064102E" w:rsidP="0064102E">
      <w:pPr>
        <w:spacing w:after="0" w:line="240" w:lineRule="auto"/>
        <w:rPr>
          <w:rFonts w:ascii="Arial" w:eastAsia="Times New Roman" w:hAnsi="Arial" w:cs="Times New Roman"/>
          <w:sz w:val="16"/>
          <w:szCs w:val="16"/>
        </w:rPr>
      </w:pPr>
      <w:r>
        <w:rPr>
          <w:rFonts w:ascii="Arial" w:hAnsi="Arial"/>
          <w:sz w:val="16"/>
        </w:rPr>
        <w:t>*zgodnie z prawem regionalnym</w:t>
      </w:r>
    </w:p>
    <w:p w14:paraId="55D081B7" w14:textId="77777777" w:rsidR="0064102E" w:rsidRPr="00A772AF" w:rsidRDefault="0064102E" w:rsidP="00552591"/>
    <w:sectPr w:rsidR="0064102E" w:rsidRPr="00A772AF" w:rsidSect="003852B2">
      <w:headerReference w:type="default" r:id="rId8"/>
      <w:footerReference w:type="default" r:id="rId9"/>
      <w:pgSz w:w="11906" w:h="16838" w:code="9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51CBD" w14:textId="77777777" w:rsidR="00687D9D" w:rsidRDefault="00687D9D" w:rsidP="003852B2">
      <w:pPr>
        <w:spacing w:after="0" w:line="240" w:lineRule="auto"/>
      </w:pPr>
      <w:r>
        <w:separator/>
      </w:r>
    </w:p>
  </w:endnote>
  <w:endnote w:type="continuationSeparator" w:id="0">
    <w:p w14:paraId="03BFE782" w14:textId="77777777" w:rsidR="00687D9D" w:rsidRDefault="00687D9D" w:rsidP="00385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10ADC" w14:textId="37B3B568" w:rsidR="005B087C" w:rsidRDefault="005B087C" w:rsidP="003852B2">
    <w:pPr>
      <w:pStyle w:val="Footer"/>
      <w:jc w:val="right"/>
    </w:pPr>
    <w:r>
      <w:t xml:space="preserve"> </w:t>
    </w:r>
    <w:r>
      <w:fldChar w:fldCharType="begin"/>
    </w:r>
    <w:r>
      <w:instrText>PAGE   \* MERGEFORMAT</w:instrText>
    </w:r>
    <w:r>
      <w:fldChar w:fldCharType="separate"/>
    </w:r>
    <w:r w:rsidR="00A772AF">
      <w:t>1</w:t>
    </w:r>
    <w:r>
      <w:fldChar w:fldCharType="end"/>
    </w:r>
  </w:p>
  <w:p w14:paraId="5DFA9CAC" w14:textId="77777777" w:rsidR="005B087C" w:rsidRDefault="005B0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AEDB6" w14:textId="77777777" w:rsidR="00687D9D" w:rsidRDefault="00687D9D" w:rsidP="003852B2">
      <w:pPr>
        <w:spacing w:after="0" w:line="240" w:lineRule="auto"/>
      </w:pPr>
      <w:r>
        <w:separator/>
      </w:r>
    </w:p>
  </w:footnote>
  <w:footnote w:type="continuationSeparator" w:id="0">
    <w:p w14:paraId="32882301" w14:textId="77777777" w:rsidR="00687D9D" w:rsidRDefault="00687D9D" w:rsidP="003852B2">
      <w:pPr>
        <w:spacing w:after="0" w:line="240" w:lineRule="auto"/>
      </w:pPr>
      <w:r>
        <w:continuationSeparator/>
      </w:r>
    </w:p>
  </w:footnote>
  <w:footnote w:id="1">
    <w:p w14:paraId="6872DB3D" w14:textId="13B0EFF2" w:rsidR="005B087C" w:rsidRDefault="005B087C">
      <w:pPr>
        <w:pStyle w:val="FootnoteText"/>
      </w:pPr>
      <w:r>
        <w:rPr>
          <w:rStyle w:val="FootnoteReference"/>
        </w:rPr>
        <w:footnoteRef/>
      </w:r>
      <w:r>
        <w:t xml:space="preserve"> Przekazano powiadomienie zgodnie z dyrektywą Parlamentu Europejskiego i Rady (UE) 2015/1535 z dnia 9 września 2015 r. ustanawiającą procedurę udzielania informacji w zakresie przepisów technicznych oraz zasad dotyczących usług społeczeństwa informacyjnego (Dz.U. L 241 z 17.9.2015, s. 1).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E38E0" w14:textId="1DE61254" w:rsidR="005B087C" w:rsidRPr="003852B2" w:rsidRDefault="005B087C" w:rsidP="003852B2">
    <w:pPr>
      <w:pStyle w:val="Header"/>
      <w:jc w:val="right"/>
      <w:rPr>
        <w:rFonts w:ascii="Arial" w:hAnsi="Arial" w:cs="Arial"/>
      </w:rPr>
    </w:pPr>
    <w:r>
      <w:rPr>
        <w:rFonts w:ascii="Arial" w:hAnsi="Arial"/>
      </w:rPr>
      <w:t>Projekt rozporządzenia w sprawie parkingów (M-GarVO)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4717"/>
    <w:multiLevelType w:val="hybridMultilevel"/>
    <w:tmpl w:val="FCAA9AB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501F9"/>
    <w:multiLevelType w:val="hybridMultilevel"/>
    <w:tmpl w:val="C5B09E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1663E"/>
    <w:multiLevelType w:val="hybridMultilevel"/>
    <w:tmpl w:val="0624DE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F2AB0"/>
    <w:multiLevelType w:val="hybridMultilevel"/>
    <w:tmpl w:val="D97E6BA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60C8B"/>
    <w:multiLevelType w:val="hybridMultilevel"/>
    <w:tmpl w:val="C2667EAE"/>
    <w:lvl w:ilvl="0" w:tplc="D20A784A">
      <w:start w:val="3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42C7F"/>
    <w:multiLevelType w:val="hybridMultilevel"/>
    <w:tmpl w:val="C7C09674"/>
    <w:lvl w:ilvl="0" w:tplc="5B38DAE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47591"/>
    <w:multiLevelType w:val="hybridMultilevel"/>
    <w:tmpl w:val="1B3625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F82292"/>
    <w:multiLevelType w:val="hybridMultilevel"/>
    <w:tmpl w:val="7B9A42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41595C"/>
    <w:multiLevelType w:val="hybridMultilevel"/>
    <w:tmpl w:val="566AB6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25841"/>
    <w:multiLevelType w:val="hybridMultilevel"/>
    <w:tmpl w:val="0BDEC0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5B7EE3"/>
    <w:multiLevelType w:val="hybridMultilevel"/>
    <w:tmpl w:val="915632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55FC8"/>
    <w:multiLevelType w:val="hybridMultilevel"/>
    <w:tmpl w:val="12744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35AED"/>
    <w:multiLevelType w:val="hybridMultilevel"/>
    <w:tmpl w:val="E0E430B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91F02"/>
    <w:multiLevelType w:val="hybridMultilevel"/>
    <w:tmpl w:val="2F588EC4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DE272F"/>
    <w:multiLevelType w:val="hybridMultilevel"/>
    <w:tmpl w:val="C1B85F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12"/>
  </w:num>
  <w:num w:numId="5">
    <w:abstractNumId w:val="6"/>
  </w:num>
  <w:num w:numId="6">
    <w:abstractNumId w:val="3"/>
  </w:num>
  <w:num w:numId="7">
    <w:abstractNumId w:val="0"/>
  </w:num>
  <w:num w:numId="8">
    <w:abstractNumId w:val="14"/>
  </w:num>
  <w:num w:numId="9">
    <w:abstractNumId w:val="2"/>
  </w:num>
  <w:num w:numId="10">
    <w:abstractNumId w:val="11"/>
  </w:num>
  <w:num w:numId="11">
    <w:abstractNumId w:val="10"/>
  </w:num>
  <w:num w:numId="12">
    <w:abstractNumId w:val="5"/>
  </w:num>
  <w:num w:numId="13">
    <w:abstractNumId w:val="9"/>
  </w:num>
  <w:num w:numId="14">
    <w:abstractNumId w:val="4"/>
  </w:num>
  <w:num w:numId="15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activeWritingStyle w:appName="MSWord" w:lang="de-DE" w:vendorID="64" w:dllVersion="4096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ersion" w:val="0"/>
  </w:docVars>
  <w:rsids>
    <w:rsidRoot w:val="00552591"/>
    <w:rsid w:val="00031EAA"/>
    <w:rsid w:val="000674FC"/>
    <w:rsid w:val="000705AA"/>
    <w:rsid w:val="000868AB"/>
    <w:rsid w:val="00116C19"/>
    <w:rsid w:val="00154F78"/>
    <w:rsid w:val="00170E16"/>
    <w:rsid w:val="00176D38"/>
    <w:rsid w:val="001B6FCB"/>
    <w:rsid w:val="001C4A80"/>
    <w:rsid w:val="001F5516"/>
    <w:rsid w:val="00203025"/>
    <w:rsid w:val="002055E7"/>
    <w:rsid w:val="00216E0F"/>
    <w:rsid w:val="0024496E"/>
    <w:rsid w:val="00280D54"/>
    <w:rsid w:val="002F325E"/>
    <w:rsid w:val="002F3718"/>
    <w:rsid w:val="002F5A9D"/>
    <w:rsid w:val="00306848"/>
    <w:rsid w:val="003103B6"/>
    <w:rsid w:val="003378A2"/>
    <w:rsid w:val="003533D2"/>
    <w:rsid w:val="00364C43"/>
    <w:rsid w:val="00366C45"/>
    <w:rsid w:val="003852B2"/>
    <w:rsid w:val="003923A5"/>
    <w:rsid w:val="003A2E21"/>
    <w:rsid w:val="003A6DD3"/>
    <w:rsid w:val="003D40EE"/>
    <w:rsid w:val="004001D9"/>
    <w:rsid w:val="004614DC"/>
    <w:rsid w:val="00484D66"/>
    <w:rsid w:val="004B7B9F"/>
    <w:rsid w:val="004C2B99"/>
    <w:rsid w:val="004C5249"/>
    <w:rsid w:val="004C531D"/>
    <w:rsid w:val="004D5DDC"/>
    <w:rsid w:val="004E4BBD"/>
    <w:rsid w:val="004F059F"/>
    <w:rsid w:val="004F065E"/>
    <w:rsid w:val="0050020B"/>
    <w:rsid w:val="00500DDD"/>
    <w:rsid w:val="00520D34"/>
    <w:rsid w:val="00552591"/>
    <w:rsid w:val="0059078B"/>
    <w:rsid w:val="005A0DF1"/>
    <w:rsid w:val="005B087C"/>
    <w:rsid w:val="005C1622"/>
    <w:rsid w:val="0063186F"/>
    <w:rsid w:val="0064102E"/>
    <w:rsid w:val="006415FE"/>
    <w:rsid w:val="00645FCA"/>
    <w:rsid w:val="00670B77"/>
    <w:rsid w:val="00687D9A"/>
    <w:rsid w:val="00687D9D"/>
    <w:rsid w:val="006A304B"/>
    <w:rsid w:val="006C3B5B"/>
    <w:rsid w:val="006C4A58"/>
    <w:rsid w:val="006F1693"/>
    <w:rsid w:val="00701F37"/>
    <w:rsid w:val="00716354"/>
    <w:rsid w:val="00723196"/>
    <w:rsid w:val="00727F1E"/>
    <w:rsid w:val="00744C40"/>
    <w:rsid w:val="007925AF"/>
    <w:rsid w:val="007B108B"/>
    <w:rsid w:val="007D4D2B"/>
    <w:rsid w:val="0084670D"/>
    <w:rsid w:val="00861A9A"/>
    <w:rsid w:val="0087585E"/>
    <w:rsid w:val="008A5C3F"/>
    <w:rsid w:val="008E0C9F"/>
    <w:rsid w:val="008E3DF1"/>
    <w:rsid w:val="00915A71"/>
    <w:rsid w:val="00920CD5"/>
    <w:rsid w:val="00927DC1"/>
    <w:rsid w:val="00960E2B"/>
    <w:rsid w:val="00970530"/>
    <w:rsid w:val="009C0A33"/>
    <w:rsid w:val="009C708F"/>
    <w:rsid w:val="00A074A4"/>
    <w:rsid w:val="00A1368A"/>
    <w:rsid w:val="00A772AF"/>
    <w:rsid w:val="00A90DBC"/>
    <w:rsid w:val="00A9760A"/>
    <w:rsid w:val="00AB4B95"/>
    <w:rsid w:val="00AE1D01"/>
    <w:rsid w:val="00B460D2"/>
    <w:rsid w:val="00B5189B"/>
    <w:rsid w:val="00B61A53"/>
    <w:rsid w:val="00B74371"/>
    <w:rsid w:val="00B9044C"/>
    <w:rsid w:val="00B914A0"/>
    <w:rsid w:val="00BA1FF7"/>
    <w:rsid w:val="00BC5CB4"/>
    <w:rsid w:val="00BF18D1"/>
    <w:rsid w:val="00BF76EC"/>
    <w:rsid w:val="00C152BB"/>
    <w:rsid w:val="00C17BDE"/>
    <w:rsid w:val="00C32C56"/>
    <w:rsid w:val="00C349BF"/>
    <w:rsid w:val="00C54FFD"/>
    <w:rsid w:val="00C65E2E"/>
    <w:rsid w:val="00CA359F"/>
    <w:rsid w:val="00CA78CD"/>
    <w:rsid w:val="00CC01FC"/>
    <w:rsid w:val="00D41CA9"/>
    <w:rsid w:val="00DC1BB4"/>
    <w:rsid w:val="00DE66AF"/>
    <w:rsid w:val="00E17ED6"/>
    <w:rsid w:val="00E273E9"/>
    <w:rsid w:val="00E33EF7"/>
    <w:rsid w:val="00E4711B"/>
    <w:rsid w:val="00E4761D"/>
    <w:rsid w:val="00E65FCF"/>
    <w:rsid w:val="00EA4225"/>
    <w:rsid w:val="00EC28F3"/>
    <w:rsid w:val="00ED1FD9"/>
    <w:rsid w:val="00EF7CE9"/>
    <w:rsid w:val="00F165AC"/>
    <w:rsid w:val="00F43216"/>
    <w:rsid w:val="00F54A3E"/>
    <w:rsid w:val="00F93940"/>
    <w:rsid w:val="00FA55BB"/>
    <w:rsid w:val="00FD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6E498"/>
  <w15:chartTrackingRefBased/>
  <w15:docId w15:val="{7A362A14-3BE1-4726-A3FA-779AE7FF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5AA"/>
    <w:pPr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108B"/>
    <w:pPr>
      <w:spacing w:after="0" w:line="240" w:lineRule="auto"/>
      <w:outlineLvl w:val="1"/>
    </w:pPr>
    <w:rPr>
      <w:rFonts w:ascii="Arial" w:eastAsia="Times New Roman" w:hAnsi="Arial" w:cs="Arial"/>
      <w:b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KeineListe1">
    <w:name w:val="Keine Liste1"/>
    <w:next w:val="NoList"/>
    <w:uiPriority w:val="99"/>
    <w:semiHidden/>
    <w:unhideWhenUsed/>
    <w:rsid w:val="00552591"/>
  </w:style>
  <w:style w:type="table" w:styleId="TableGrid">
    <w:name w:val="Table Grid"/>
    <w:basedOn w:val="TableNormal"/>
    <w:uiPriority w:val="59"/>
    <w:rsid w:val="00552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52591"/>
    <w:pPr>
      <w:spacing w:after="0" w:line="240" w:lineRule="auto"/>
    </w:pPr>
    <w:rPr>
      <w:rFonts w:ascii="MS Serif" w:eastAsia="Times New Roman" w:hAnsi="MS Serif" w:cs="Times New Roman"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591"/>
    <w:pPr>
      <w:spacing w:after="0" w:line="240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591"/>
    <w:rPr>
      <w:rFonts w:ascii="Tahoma" w:eastAsia="Times New Roman" w:hAnsi="Tahoma" w:cs="Tahoma"/>
      <w:sz w:val="16"/>
      <w:szCs w:val="16"/>
      <w:lang w:eastAsia="de-DE"/>
    </w:rPr>
  </w:style>
  <w:style w:type="paragraph" w:styleId="ListParagraph">
    <w:name w:val="List Paragraph"/>
    <w:basedOn w:val="Normal"/>
    <w:uiPriority w:val="34"/>
    <w:qFormat/>
    <w:rsid w:val="00552591"/>
    <w:pPr>
      <w:spacing w:after="0" w:line="240" w:lineRule="auto"/>
      <w:ind w:left="720"/>
      <w:contextualSpacing/>
    </w:pPr>
    <w:rPr>
      <w:rFonts w:ascii="MS Serif" w:eastAsia="Times New Roman" w:hAnsi="MS Serif" w:cs="Times New Roman"/>
      <w:sz w:val="20"/>
      <w:szCs w:val="20"/>
      <w:lang w:eastAsia="de-DE"/>
    </w:rPr>
  </w:style>
  <w:style w:type="paragraph" w:customStyle="1" w:styleId="Default">
    <w:name w:val="Default"/>
    <w:rsid w:val="005525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552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2591"/>
    <w:pPr>
      <w:spacing w:after="0" w:line="240" w:lineRule="auto"/>
    </w:pPr>
    <w:rPr>
      <w:rFonts w:ascii="MS Serif" w:eastAsia="Times New Roman" w:hAnsi="MS Serif" w:cs="Times New Roman"/>
      <w:sz w:val="20"/>
      <w:szCs w:val="20"/>
      <w:lang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2591"/>
    <w:rPr>
      <w:rFonts w:ascii="MS Serif" w:eastAsia="Times New Roman" w:hAnsi="MS Serif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591"/>
    <w:rPr>
      <w:rFonts w:ascii="MS Serif" w:eastAsia="Times New Roman" w:hAnsi="MS Serif" w:cs="Times New Roman"/>
      <w:b/>
      <w:bCs/>
      <w:sz w:val="20"/>
      <w:szCs w:val="20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552591"/>
    <w:pPr>
      <w:tabs>
        <w:tab w:val="center" w:pos="4536"/>
        <w:tab w:val="right" w:pos="9072"/>
      </w:tabs>
      <w:spacing w:after="0" w:line="240" w:lineRule="auto"/>
    </w:pPr>
    <w:rPr>
      <w:rFonts w:ascii="MS Serif" w:eastAsia="Times New Roman" w:hAnsi="MS Serif" w:cs="Times New Roman"/>
      <w:sz w:val="20"/>
      <w:szCs w:val="20"/>
      <w:lang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552591"/>
    <w:rPr>
      <w:rFonts w:ascii="MS Serif" w:eastAsia="Times New Roman" w:hAnsi="MS Serif" w:cs="Times New Roman"/>
      <w:sz w:val="20"/>
      <w:szCs w:val="20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552591"/>
    <w:pPr>
      <w:tabs>
        <w:tab w:val="center" w:pos="4536"/>
        <w:tab w:val="right" w:pos="9072"/>
      </w:tabs>
      <w:spacing w:after="0" w:line="240" w:lineRule="auto"/>
    </w:pPr>
    <w:rPr>
      <w:rFonts w:ascii="MS Serif" w:eastAsia="Times New Roman" w:hAnsi="MS Serif" w:cs="Times New Roman"/>
      <w:sz w:val="20"/>
      <w:szCs w:val="20"/>
      <w:lang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552591"/>
    <w:rPr>
      <w:rFonts w:ascii="MS Serif" w:eastAsia="Times New Roman" w:hAnsi="MS Serif" w:cs="Times New Roman"/>
      <w:sz w:val="20"/>
      <w:szCs w:val="20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705AA"/>
    <w:rPr>
      <w:rFonts w:ascii="Arial" w:eastAsia="Times New Roman" w:hAnsi="Arial" w:cs="Arial"/>
      <w:b/>
      <w:sz w:val="20"/>
      <w:szCs w:val="20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7B108B"/>
    <w:rPr>
      <w:rFonts w:ascii="Arial" w:eastAsia="Times New Roman" w:hAnsi="Arial" w:cs="Arial"/>
      <w:b/>
      <w:szCs w:val="20"/>
      <w:lang w:eastAsia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0705A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1B6FCB"/>
    <w:pPr>
      <w:tabs>
        <w:tab w:val="right" w:leader="dot" w:pos="9062"/>
      </w:tabs>
      <w:spacing w:before="60" w:after="60"/>
      <w:jc w:val="center"/>
    </w:pPr>
    <w:rPr>
      <w:rFonts w:ascii="Arial" w:hAnsi="Arial" w:cs="Arial"/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C1BB4"/>
    <w:pPr>
      <w:tabs>
        <w:tab w:val="right" w:leader="dot" w:pos="9062"/>
      </w:tabs>
      <w:spacing w:after="40" w:line="240" w:lineRule="auto"/>
    </w:pPr>
    <w:rPr>
      <w:rFonts w:ascii="Arial" w:hAnsi="Arial" w:cs="Arial"/>
      <w:noProof/>
    </w:rPr>
  </w:style>
  <w:style w:type="character" w:styleId="Hyperlink">
    <w:name w:val="Hyperlink"/>
    <w:basedOn w:val="DefaultParagraphFont"/>
    <w:uiPriority w:val="99"/>
    <w:unhideWhenUsed/>
    <w:rsid w:val="000705AA"/>
    <w:rPr>
      <w:color w:val="0000FF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0705AA"/>
    <w:pPr>
      <w:spacing w:after="100" w:line="259" w:lineRule="auto"/>
      <w:ind w:left="440"/>
    </w:pPr>
    <w:rPr>
      <w:rFonts w:eastAsiaTheme="minorEastAsia" w:cs="Times New Roman"/>
      <w:lang w:eastAsia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F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F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F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4B985-88FA-4D8B-AC25-1E8077DA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5018</Words>
  <Characters>28604</Characters>
  <Application>Microsoft Office Word</Application>
  <DocSecurity>0</DocSecurity>
  <Lines>238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FM</Company>
  <LinksUpToDate>false</LinksUpToDate>
  <CharactersWithSpaces>33555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Fett, Rainer (FM)</dc:creator>
  <cp:keywords/>
  <dc:description/>
  <cp:lastModifiedBy>Dimitris Dimitriadis</cp:lastModifiedBy>
  <cp:revision>9</cp:revision>
  <dcterms:created xsi:type="dcterms:W3CDTF">2021-04-29T11:06:00Z</dcterms:created>
  <dcterms:modified xsi:type="dcterms:W3CDTF">2021-05-17T09:14:00Z</dcterms:modified>
</cp:coreProperties>
</file>