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7DE0A" w14:textId="77777777" w:rsidR="006D6021" w:rsidRPr="008E5B84" w:rsidRDefault="00311339">
      <w:pPr>
        <w:pStyle w:val="Ttulo4"/>
        <w:widowControl w:val="0"/>
        <w:spacing w:after="120" w:line="360" w:lineRule="auto"/>
        <w:ind w:firstLine="0"/>
        <w:jc w:val="both"/>
        <w:outlineLvl w:val="9"/>
        <w:rPr>
          <w:sz w:val="24"/>
          <w:szCs w:val="24"/>
          <w:rFonts w:ascii="Garamond" w:hAnsi="Garamond"/>
        </w:rPr>
      </w:pPr>
      <w:r>
        <w:rPr>
          <w:sz w:val="24"/>
          <w:rFonts w:ascii="Garamond" w:hAnsi="Garamond"/>
        </w:rPr>
        <w:t xml:space="preserve">DL Nr. XX/2020</w:t>
      </w:r>
      <w:r>
        <w:rPr>
          <w:sz w:val="24"/>
          <w:rFonts w:ascii="Garamond" w:hAnsi="Garamond"/>
        </w:rPr>
        <w:t xml:space="preserve"> </w:t>
      </w:r>
    </w:p>
    <w:p w14:paraId="5D0DF49B" w14:textId="77777777" w:rsidR="006D6021" w:rsidRPr="008E5B84" w:rsidRDefault="00311339">
      <w:pPr>
        <w:pStyle w:val="Ttulo4"/>
        <w:widowControl w:val="0"/>
        <w:spacing w:after="120" w:line="360" w:lineRule="auto"/>
        <w:ind w:firstLine="0"/>
        <w:jc w:val="both"/>
        <w:outlineLvl w:val="9"/>
        <w:rPr>
          <w:sz w:val="24"/>
          <w:szCs w:val="24"/>
          <w:rFonts w:ascii="Garamond" w:hAnsi="Garamond"/>
        </w:rPr>
      </w:pPr>
      <w:bookmarkStart w:id="0" w:name="_Hlk61623095"/>
      <w:r>
        <w:t xml:space="preserve">Gruodžio 10 d. įstatyminiu potvarkiu Nr. 102-D/2020</w:t>
      </w:r>
      <w:bookmarkEnd w:id="0"/>
      <w:r>
        <w:t xml:space="preserve"> atnaujintas </w:t>
      </w:r>
      <w:hyperlink r:id="rId8" w:tooltip="Įstatyminis potvarkis Nr. 152-D/2017" w:history="1">
        <w:r>
          <w:rPr>
            <w:sz w:val="24"/>
            <w:rFonts w:ascii="Garamond" w:hAnsi="Garamond"/>
          </w:rPr>
          <w:t xml:space="preserve">gruodžio 11 d. įstatyminis potvarkis Nr. 152-D/2017</w:t>
        </w:r>
      </w:hyperlink>
      <w:r>
        <w:t xml:space="preserve">, kuriuo į vidaus teisę perkeliama </w:t>
      </w:r>
      <w:hyperlink r:id="rId9" w:tooltip="Nuoroda į Europos Sąjungos direktyvą" w:history="1">
        <w:r>
          <w:rPr>
            <w:sz w:val="24"/>
            <w:rFonts w:ascii="Garamond" w:hAnsi="Garamond"/>
          </w:rPr>
          <w:t xml:space="preserve">1994 m. gruodžio 20 d. Europos Parlamento ir Tarybos direktyva 94/62/EB</w:t>
        </w:r>
      </w:hyperlink>
      <w:r>
        <w:t xml:space="preserve"> dėl pakuočių ir pakuočių atliekų, iš dalies pakeista 2018 m. gegužės 30 d. Europos Parlamento ir Tarybos direktyva (ES) </w:t>
      </w:r>
      <w:hyperlink r:id="rId10" w:tooltip="Nuoroda į Europos Sąjungos direktyvą" w:history="1">
        <w:r>
          <w:rPr>
            <w:sz w:val="24"/>
            <w:rFonts w:ascii="Garamond" w:hAnsi="Garamond"/>
          </w:rPr>
          <w:t xml:space="preserve">2018/852</w:t>
        </w:r>
      </w:hyperlink>
      <w:r>
        <w:t xml:space="preserve">, ir direktyvos </w:t>
      </w:r>
      <w:hyperlink r:id="rId11" w:tooltip="Nuoroda į Europos Sąjungos direktyvą" w:history="1">
        <w:r>
          <w:rPr>
            <w:sz w:val="24"/>
            <w:rFonts w:ascii="Garamond" w:hAnsi="Garamond"/>
          </w:rPr>
          <w:t xml:space="preserve">2000/53/EB</w:t>
        </w:r>
      </w:hyperlink>
      <w:r>
        <w:t xml:space="preserve"> dėl eksploatuoti netinkamų transporto priemonių, </w:t>
      </w:r>
      <w:hyperlink r:id="rId12" w:tooltip="Nuoroda į Europos Sąjungos direktyvą" w:history="1">
        <w:r>
          <w:rPr>
            <w:sz w:val="24"/>
            <w:rFonts w:ascii="Garamond" w:hAnsi="Garamond"/>
          </w:rPr>
          <w:t xml:space="preserve">2006/66/EB</w:t>
        </w:r>
      </w:hyperlink>
      <w:r>
        <w:t xml:space="preserve"> dėl baterijų ir akumuliatorių bei jų atliekų, </w:t>
      </w:r>
      <w:hyperlink r:id="rId13" w:tooltip="Nuoroda į Europos Sąjungos direktyvą" w:history="1">
        <w:r>
          <w:rPr>
            <w:sz w:val="24"/>
            <w:rFonts w:ascii="Garamond" w:hAnsi="Garamond"/>
          </w:rPr>
          <w:t xml:space="preserve">2012/19/ES</w:t>
        </w:r>
      </w:hyperlink>
      <w:r>
        <w:t xml:space="preserve"> dėl elektros ir elektroninės įrangos atliekų, su pakeitimais, padarytais 2018 m. gegužės 30 d. Europos Parlamento ir Tarybos direktyva (ES) </w:t>
      </w:r>
      <w:hyperlink r:id="rId14" w:tooltip="Nuoroda į Europos Sąjungos direktyvą" w:history="1">
        <w:r>
          <w:rPr>
            <w:sz w:val="24"/>
            <w:rFonts w:ascii="Garamond" w:hAnsi="Garamond"/>
          </w:rPr>
          <w:t xml:space="preserve">2018/849</w:t>
        </w:r>
      </w:hyperlink>
      <w:r>
        <w:t xml:space="preserve">.</w:t>
      </w:r>
    </w:p>
    <w:p w14:paraId="7B6DC961" w14:textId="7C6704AB" w:rsidR="006D6021" w:rsidRPr="008E5B84" w:rsidRDefault="00311339">
      <w:pPr>
        <w:spacing w:after="120" w:line="360" w:lineRule="auto"/>
        <w:jc w:val="both"/>
        <w:rPr>
          <w:sz w:val="24"/>
          <w:szCs w:val="24"/>
          <w:rFonts w:ascii="Garamond" w:hAnsi="Garamond"/>
        </w:rPr>
      </w:pPr>
      <w:r>
        <w:t xml:space="preserve">Siekiant greitai perkelti šias direktyvas į nacionalinę teisę ir laikytis informavimo tvarkos techninių reglamentų ir informacinės visuomenės paslaugų taisyklių, numatytų 2015 m. rugsėjo 9 d. Europos Parlamento ir Tarybos </w:t>
      </w:r>
      <w:hyperlink r:id="rId15" w:tooltip="Nuoroda į Europos Sąjungos direktyvą" w:history="1">
        <w:r>
          <w:rPr>
            <w:sz w:val="24"/>
            <w:rFonts w:ascii="Garamond" w:hAnsi="Garamond"/>
          </w:rPr>
          <w:t xml:space="preserve">direktyvoje 2015/1535/ES</w:t>
        </w:r>
      </w:hyperlink>
      <w:r>
        <w:t xml:space="preserve">, vėlesni pakeitimai, būtini gruodžio 11 d. </w:t>
      </w:r>
      <w:hyperlink r:id="rId16" w:tooltip="Įstatyminis potvarkis Nr. 152-D/2017" w:history="1">
        <w:r>
          <w:rPr>
            <w:sz w:val="24"/>
            <w:rFonts w:ascii="Garamond" w:hAnsi="Garamond"/>
          </w:rPr>
          <w:t xml:space="preserve">įstatyminiam potvarkiui Nr. 152-D/2017</w:t>
        </w:r>
      </w:hyperlink>
      <w:r>
        <w:t xml:space="preserve">, patvirtinti buvo pateikti vėliau.</w:t>
      </w:r>
      <w:r>
        <w:rPr>
          <w:sz w:val="24"/>
          <w:rFonts w:ascii="Garamond" w:hAnsi="Garamond"/>
        </w:rPr>
        <w:t xml:space="preserve"> </w:t>
      </w:r>
    </w:p>
    <w:p w14:paraId="3DD37DBB" w14:textId="6C301508" w:rsidR="006D6021" w:rsidRPr="008E5B84" w:rsidRDefault="00311339">
      <w:pPr>
        <w:spacing w:after="120" w:line="360" w:lineRule="auto"/>
        <w:jc w:val="both"/>
        <w:rPr>
          <w:sz w:val="24"/>
          <w:szCs w:val="24"/>
          <w:rFonts w:ascii="Garamond" w:hAnsi="Garamond"/>
        </w:rPr>
      </w:pPr>
      <w:r>
        <w:rPr>
          <w:sz w:val="24"/>
          <w:rFonts w:ascii="Garamond" w:hAnsi="Garamond"/>
        </w:rPr>
        <w:t xml:space="preserve">Taigi šiuo įstatyminiu potvarkiu patvirtinami pirmiau minėti atnaujinimai, visų pirma įvedant daugkartinio naudojimo pakuotes ir pakuotes, kurioms taikoma užstato sistema, ir perdirbamų pakuočių žymėjimą pagal atitinkamas rūšiavimo instrukcijas.</w:t>
      </w:r>
      <w:r>
        <w:rPr>
          <w:sz w:val="24"/>
          <w:rFonts w:ascii="Garamond" w:hAnsi="Garamond"/>
        </w:rPr>
        <w:t xml:space="preserve"> </w:t>
      </w:r>
      <w:r>
        <w:rPr>
          <w:sz w:val="24"/>
          <w:rFonts w:ascii="Garamond" w:hAnsi="Garamond"/>
        </w:rPr>
        <w:t xml:space="preserve">Jame taip pat numatytas įpareigojimas atliekų tvarkymo veiklos vykdytojams kasmet įrodyti licencijos išdavėjui, kad kvalifikacijos reikalavimai ir taikomi standartai atitinka kvalifikuotų vertintojų išduotą dokumentą.</w:t>
      </w:r>
      <w:r>
        <w:rPr>
          <w:sz w:val="24"/>
          <w:rFonts w:ascii="Garamond" w:hAnsi="Garamond"/>
        </w:rPr>
        <w:t xml:space="preserve"> </w:t>
      </w:r>
    </w:p>
    <w:p w14:paraId="758B538F" w14:textId="77777777" w:rsidR="006D6021" w:rsidRPr="008E5B84" w:rsidRDefault="00311339">
      <w:pPr>
        <w:pStyle w:val="Ttulo4"/>
        <w:widowControl w:val="0"/>
        <w:spacing w:after="120" w:line="360" w:lineRule="auto"/>
        <w:ind w:firstLine="0"/>
        <w:jc w:val="left"/>
        <w:outlineLvl w:val="9"/>
        <w:rPr>
          <w:sz w:val="24"/>
          <w:szCs w:val="24"/>
          <w:rFonts w:ascii="Garamond" w:hAnsi="Garamond"/>
        </w:rPr>
      </w:pPr>
      <w:r>
        <w:rPr>
          <w:sz w:val="24"/>
          <w:rFonts w:ascii="Garamond" w:hAnsi="Garamond"/>
        </w:rPr>
        <w:t xml:space="preserve">Atsižvelgta į autonominių regionų savivaldos įstaigų pastabas.</w:t>
      </w:r>
    </w:p>
    <w:p w14:paraId="7D1192FA"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 xml:space="preserve">Todėl,</w:t>
      </w:r>
    </w:p>
    <w:p w14:paraId="26406EBE"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 xml:space="preserve">vadovaudamasi Konstitucijos 198 straipsnio 1 dalies a punktu, Vyriausybė nutaria:</w:t>
      </w:r>
    </w:p>
    <w:p w14:paraId="10E5347C" w14:textId="77777777" w:rsidR="006D6021" w:rsidRPr="008E5B84" w:rsidRDefault="006D6021">
      <w:pPr>
        <w:pStyle w:val="NormalWeb"/>
        <w:shd w:val="clear" w:color="auto" w:fill="FFFFFF"/>
        <w:spacing w:before="0" w:after="225" w:line="390" w:lineRule="atLeast"/>
        <w:jc w:val="both"/>
        <w:rPr>
          <w:rFonts w:ascii="Garamond" w:hAnsi="Garamond"/>
          <w:color w:val="333333"/>
        </w:rPr>
      </w:pPr>
    </w:p>
    <w:p w14:paraId="4D7E55DE" w14:textId="02B10543" w:rsidR="006D6021" w:rsidRPr="008E5B84" w:rsidRDefault="00BC4ADA" w:rsidP="00BC4ADA">
      <w:pPr>
        <w:suppressAutoHyphens w:val="0"/>
        <w:rPr>
          <w:color w:val="333333"/>
          <w:sz w:val="24"/>
          <w:szCs w:val="24"/>
          <w:rFonts w:ascii="Garamond" w:eastAsia="Times New Roman" w:hAnsi="Garamond"/>
        </w:rPr>
      </w:pPr>
      <w:r>
        <w:br w:type="page"/>
      </w:r>
    </w:p>
    <w:p w14:paraId="34A618C4"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1 straipsnis.</w:t>
      </w:r>
    </w:p>
    <w:p w14:paraId="6310E1C1"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Objektas</w:t>
      </w:r>
    </w:p>
    <w:p w14:paraId="19B19F0E" w14:textId="3AE3B598" w:rsidR="006D6021" w:rsidRPr="008E5B84" w:rsidRDefault="00311339">
      <w:pPr>
        <w:pStyle w:val="Ttulo4"/>
        <w:widowControl w:val="0"/>
        <w:spacing w:after="120" w:line="360" w:lineRule="auto"/>
        <w:ind w:firstLine="0"/>
        <w:jc w:val="both"/>
        <w:outlineLvl w:val="9"/>
        <w:rPr>
          <w:sz w:val="24"/>
          <w:szCs w:val="24"/>
          <w:rFonts w:ascii="Garamond" w:hAnsi="Garamond"/>
        </w:rPr>
      </w:pPr>
      <w:r>
        <w:t xml:space="preserve">Šiuo įstatyminiu potvarkiu daromas gruodžio 11 d. </w:t>
      </w:r>
      <w:hyperlink r:id="rId17" w:tooltip="Įstatyminis potvarkis Nr. 152-D/2017" w:history="1">
        <w:r>
          <w:rPr>
            <w:sz w:val="24"/>
            <w:rFonts w:ascii="Garamond" w:hAnsi="Garamond"/>
          </w:rPr>
          <w:t xml:space="preserve">Įstatyminio potvarkio Nr. 152-D/2017</w:t>
        </w:r>
      </w:hyperlink>
      <w:r>
        <w:t xml:space="preserve">, iš dalies pakeisto gruodžio 26 d. Įstatymais Nr. </w:t>
      </w:r>
      <w:hyperlink r:id="rId18" w:tooltip="Įstatymas Nr. 69/2018" w:history="1">
        <w:r>
          <w:rPr>
            <w:sz w:val="24"/>
            <w:rFonts w:ascii="Garamond" w:hAnsi="Garamond"/>
          </w:rPr>
          <w:t xml:space="preserve">69/2018</w:t>
        </w:r>
      </w:hyperlink>
      <w:r>
        <w:t xml:space="preserve"> ir birželio 21 d. </w:t>
      </w:r>
      <w:hyperlink r:id="rId19" w:tooltip="Įstatymas Nr. 41/2019" w:history="1">
        <w:r>
          <w:rPr>
            <w:sz w:val="24"/>
            <w:rFonts w:ascii="Garamond" w:hAnsi="Garamond"/>
          </w:rPr>
          <w:t xml:space="preserve">41/2019</w:t>
        </w:r>
      </w:hyperlink>
      <w:r>
        <w:t xml:space="preserve"> pagal spalio 14 d. Įstatyminį potvarkį Nr. </w:t>
      </w:r>
      <w:hyperlink r:id="rId20" w:tooltip="Įstatyminis potvarkis Nr. 86/2020" w:history="1">
        <w:r>
          <w:rPr>
            <w:sz w:val="24"/>
            <w:rFonts w:ascii="Garamond" w:hAnsi="Garamond"/>
          </w:rPr>
          <w:t xml:space="preserve">86/2020</w:t>
        </w:r>
      </w:hyperlink>
      <w:r>
        <w:t xml:space="preserve"> ir iš dalies pakeisto bei pakartotinai paskelbto gruodžio 10 d. Įstatyminiu potvarkiu Nr. 102-D/2020, penktasis pakeitimas.</w:t>
      </w:r>
      <w:r>
        <w:rPr>
          <w:sz w:val="24"/>
          <w:rFonts w:ascii="Garamond" w:hAnsi="Garamond"/>
        </w:rPr>
        <w:t xml:space="preserve"> </w:t>
      </w:r>
    </w:p>
    <w:p w14:paraId="11139F74" w14:textId="77777777" w:rsidR="006D6021" w:rsidRPr="008E5B84" w:rsidRDefault="00311339">
      <w:pPr>
        <w:jc w:val="center"/>
        <w:rPr>
          <w:sz w:val="24"/>
          <w:szCs w:val="24"/>
          <w:rFonts w:ascii="Garamond" w:hAnsi="Garamond"/>
        </w:rPr>
      </w:pPr>
      <w:r>
        <w:rPr>
          <w:sz w:val="24"/>
          <w:rFonts w:ascii="Garamond" w:hAnsi="Garamond"/>
        </w:rPr>
        <w:t xml:space="preserve">2 straipsnis.</w:t>
      </w:r>
    </w:p>
    <w:p w14:paraId="38D8E667" w14:textId="77777777" w:rsidR="006D6021" w:rsidRPr="008E5B84" w:rsidRDefault="00311339">
      <w:pPr>
        <w:jc w:val="center"/>
        <w:rPr>
          <w:sz w:val="24"/>
          <w:szCs w:val="24"/>
          <w:rFonts w:ascii="Garamond" w:hAnsi="Garamond"/>
        </w:rPr>
      </w:pPr>
      <w:r>
        <w:rPr>
          <w:sz w:val="24"/>
          <w:rFonts w:ascii="Garamond" w:hAnsi="Garamond"/>
        </w:rPr>
        <w:t xml:space="preserve">Gruodžio 11 d. Įstatyminio potvarkio Nr. 152-D/2017 pakeitimas</w:t>
      </w:r>
    </w:p>
    <w:p w14:paraId="740BDF45" w14:textId="1C138E32" w:rsidR="006D6021" w:rsidRPr="008E5B84" w:rsidRDefault="00311339">
      <w:pPr>
        <w:pStyle w:val="NormalWeb"/>
        <w:shd w:val="clear" w:color="auto" w:fill="FFFFFF"/>
        <w:spacing w:before="0" w:after="225" w:line="390" w:lineRule="atLeast"/>
        <w:jc w:val="both"/>
        <w:rPr>
          <w:rFonts w:ascii="Garamond" w:hAnsi="Garamond"/>
        </w:rPr>
      </w:pPr>
      <w:r>
        <w:t xml:space="preserve">Gruodžio 11 d. </w:t>
      </w:r>
      <w:hyperlink r:id="rId21" w:tooltip="Įstatyminis potvarkis Nr. 152-D/2017" w:history="1">
        <w:r>
          <w:rPr>
            <w:rFonts w:ascii="Garamond" w:hAnsi="Garamond"/>
          </w:rPr>
          <w:t xml:space="preserve">Įstatyminio potvarkio Nr. 152-D/2017</w:t>
        </w:r>
      </w:hyperlink>
      <w:r>
        <w:t xml:space="preserve"> 8, 23, 28 ir 90 straipsnių dabartinė formuluotė pakeičiama taip:</w:t>
      </w:r>
    </w:p>
    <w:p w14:paraId="2CB88C12"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rPr>
          <w:sz w:val="24"/>
          <w:rFonts w:ascii="Garamond" w:hAnsi="Garamond"/>
        </w:rPr>
        <w:t xml:space="preserve">„8 straipsnis.</w:t>
      </w:r>
    </w:p>
    <w:p w14:paraId="3EE26575"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Atliekų tvarkymo subjektų kvalifikacija, įskaitant saugojimą</w:t>
      </w:r>
    </w:p>
    <w:p w14:paraId="0E5B07F5" w14:textId="4679E0F2"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Nepažeidžiant šio straipsnio 5 ir 6 dalių nuostatų, konkrečiuose atliekų srautuose veikiantiems atliekų tvarkymo subjektams, įskaitant saugojimą, taikomi kvalifikacijos reikalavimai, kad būtų galima veiksmingai kontroliuoti ir atsekti apdorotas atliekas pagal šiame įstatyminiame potvarkyje nustatytus tikslus ir uždavinius.</w:t>
      </w:r>
      <w:r>
        <w:rPr>
          <w:sz w:val="24"/>
          <w:rFonts w:ascii="Garamond" w:hAnsi="Garamond"/>
        </w:rPr>
        <w:t xml:space="preserve"> </w:t>
      </w:r>
    </w:p>
    <w:p w14:paraId="554CFC4C" w14:textId="400163F5"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Ankstesnėje pastraipoje nurodytus reikalavimus ir jų taikymo sritį nustato </w:t>
      </w:r>
      <w:r>
        <w:rPr>
          <w:sz w:val="24"/>
          <w:shd w:val="clear" w:color="auto" w:fill="FFFFFF"/>
          <w:rFonts w:ascii="Garamond" w:hAnsi="Garamond"/>
        </w:rPr>
        <w:t xml:space="preserve">Portugalijos aplinkos agentūra I.P.</w:t>
      </w:r>
      <w:r>
        <w:rPr>
          <w:sz w:val="24"/>
          <w:shd w:val="clear" w:color="auto" w:fill="FFFFFF"/>
          <w:rFonts w:ascii="Garamond" w:hAnsi="Garamond"/>
        </w:rPr>
        <w:t xml:space="preserve"> </w:t>
      </w:r>
      <w:r>
        <w:rPr>
          <w:sz w:val="24"/>
          <w:shd w:val="clear" w:color="auto" w:fill="FFFFFF"/>
          <w:rFonts w:ascii="Garamond" w:hAnsi="Garamond"/>
        </w:rPr>
        <w:t xml:space="preserve">(</w:t>
      </w:r>
      <w:r>
        <w:rPr>
          <w:sz w:val="24"/>
          <w:rFonts w:ascii="Garamond" w:hAnsi="Garamond"/>
        </w:rPr>
        <w:t xml:space="preserve">APA, I.P.), išklausiusi atliekų tvarkymo operatoriams atstovaujančias asociacijas, licencijas išduodančias institucijas, subjektus, atsakingus už integruotų atliekų sistemų valdymą, ir kitus subjektus, su kuriais, jos nuomone, yra svarbu konsultuotis, atsižvelgiant į techninius kokybės ir veiksmingumo kriterijus, apie kuriuos skelbiama jų interneto svetainėje.</w:t>
      </w:r>
      <w:r>
        <w:rPr>
          <w:sz w:val="24"/>
          <w:rFonts w:ascii="Garamond" w:hAnsi="Garamond"/>
        </w:rPr>
        <w:t xml:space="preserve"> </w:t>
      </w:r>
    </w:p>
    <w:p w14:paraId="0577D597"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6149BD7F"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Pirmesnėse pastraipose nurodyti reikalavimai yra išdėstyti atliekų tvarkymo subjektų leidimuose, o jų atitiktis įrodoma pagal 8 ir 10 dalis.</w:t>
      </w:r>
      <w:r>
        <w:rPr>
          <w:sz w:val="24"/>
          <w:rFonts w:ascii="Garamond" w:hAnsi="Garamond"/>
        </w:rPr>
        <w:t xml:space="preserve"> </w:t>
      </w:r>
    </w:p>
    <w:p w14:paraId="64F7A174"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Atliekų tvarkymo, įskaitant saugojimą, subjektai, veikiantys pagal specifinį EEĮ atliekų srautą, turi būti patvirtinti pagal NP EN 50625-1:2014 „EEĮ atliekų surinkimo, vežimo ir apdorojimo reikalavimai. 1 dalis:</w:t>
      </w:r>
      <w:r>
        <w:rPr>
          <w:sz w:val="24"/>
          <w:rFonts w:ascii="Garamond" w:hAnsi="Garamond"/>
        </w:rPr>
        <w:t xml:space="preserve"> </w:t>
      </w:r>
      <w:r>
        <w:rPr>
          <w:sz w:val="24"/>
          <w:rFonts w:ascii="Garamond" w:hAnsi="Garamond"/>
        </w:rPr>
        <w:t xml:space="preserve">Bendrieji reikalavimai ir apdorojimo būdai“ – atnaujintos formuluotės ir jį pakeičiantis standartas.</w:t>
      </w:r>
    </w:p>
    <w:p w14:paraId="0AF9C3B3" w14:textId="77777777" w:rsidR="006D6021" w:rsidRPr="008E5B84" w:rsidRDefault="00311339">
      <w:pPr>
        <w:pStyle w:val="ListParagraph"/>
        <w:widowControl w:val="0"/>
        <w:numPr>
          <w:ilvl w:val="0"/>
          <w:numId w:val="2"/>
        </w:numPr>
        <w:spacing w:after="120" w:line="360" w:lineRule="auto"/>
        <w:ind w:right="567"/>
        <w:jc w:val="both"/>
        <w:rPr>
          <w:sz w:val="24"/>
          <w:szCs w:val="24"/>
          <w:rFonts w:ascii="Garamond" w:hAnsi="Garamond"/>
        </w:rPr>
      </w:pPr>
      <w:r>
        <w:rPr>
          <w:sz w:val="24"/>
          <w:rFonts w:ascii="Garamond" w:hAnsi="Garamond"/>
        </w:rPr>
        <w:t xml:space="preserve">Pavojingomis klasifikuojamų EEĮ atliekų apdorojimo subjektai, be pirmesniame punkte numatyto sertifikavimo, turi būti sertifikuojami pagal atitinkamą EN 50625 standartų serijos standartą, t. y. lempų (NP EN 50625-2-1:2014), ekranų ir monitorių (NP EN 50625-2-2:2015) ir temperatūros reguliavimo įrangos (EN 50625-2-3:2017) atnaujintą formuluotę ir juos pakeičiančius standartus.</w:t>
      </w:r>
      <w:r>
        <w:rPr>
          <w:sz w:val="24"/>
          <w:rFonts w:ascii="Garamond" w:hAnsi="Garamond"/>
        </w:rPr>
        <w:t xml:space="preserve"> </w:t>
      </w:r>
    </w:p>
    <w:p w14:paraId="2AD5545D" w14:textId="1D2B1236"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1 dalis netaikoma veiklos vykdytojams, kurie atliekas apdoroja pramonės įmonėje pagal Atsakingą pramonės sistemą (SIR), išskyrus tuos atvejus, kai atliekų apdorojimo įrenginys yra ne pramoninė veikla.</w:t>
      </w:r>
    </w:p>
    <w:p w14:paraId="55123F50" w14:textId="5AFC3F8E"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1, 5 ir 6 dalyse nurodyti atliekų tvarkymo subjektai iki kiekvienų metų kovo 31 d. įrodo, kad praėjusiais metais buvo laikomasi licencijas išduodančios koordinuojančios institucijos kvalifikacijos reikalavimų ir standartų, visiškai arba iš dalies sustabdžius licencijos galiojimą pagal bendrojo atliekų tvarkymo režimo 81 straipsnį.</w:t>
      </w:r>
      <w:r>
        <w:rPr>
          <w:sz w:val="24"/>
          <w:rFonts w:ascii="Garamond" w:hAnsi="Garamond"/>
        </w:rPr>
        <w:t xml:space="preserve"> </w:t>
      </w:r>
    </w:p>
    <w:p w14:paraId="3813BD80"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Pirmesnės dalies nuostatos taikomos tik tuo atveju, jei kovo 31 d. veiklos vykdytojas buvo gavęs apdorojimo licenciją ne mažiau kaip šešiems mėnesiams.</w:t>
      </w:r>
    </w:p>
    <w:p w14:paraId="68599E61" w14:textId="44D5CD63"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Atitikties 1 dalyje nurodytiems kvalifikacijos reikalavimams įrodymas pateikiamas kvalifikuotų vertintojų išduotu dokumentu.</w:t>
      </w:r>
      <w:bookmarkStart w:id="1" w:name="_Hlk52723080"/>
    </w:p>
    <w:bookmarkEnd w:id="1"/>
    <w:p w14:paraId="511DE8FF"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Sertifikavimo subjektų ir kvalifikuotų vertintojų pripažinimo kriterijai ir metodika nustatomi Vyriausybės nario, atsakingo už aplinkosaugos klausimus, potvarkiu.</w:t>
      </w:r>
    </w:p>
    <w:p w14:paraId="03805ED9" w14:textId="59353803" w:rsidR="006D6021" w:rsidRPr="008E5B84" w:rsidRDefault="00BC4ADA">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5 ir 6 dalyse numatytą sertifikavimą atlieka akredituota trečioji šalis.</w:t>
      </w:r>
      <w:r>
        <w:rPr>
          <w:sz w:val="24"/>
          <w:rFonts w:ascii="Garamond" w:hAnsi="Garamond"/>
        </w:rPr>
        <w:t xml:space="preserve"> </w:t>
      </w:r>
    </w:p>
    <w:p w14:paraId="6EC366FF"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Jei nesilaikoma šiame straipsnyje nustatytų kvalifikacijos reikalavimų ar standartų, tai yra pagrindas visiškai ar iš dalies panaikinti jų licenciją pagal bendrojo atliekų tvarkymo režimo 81 straipsnį.</w:t>
      </w:r>
      <w:r>
        <w:rPr>
          <w:sz w:val="24"/>
          <w:rFonts w:ascii="Garamond" w:hAnsi="Garamond"/>
        </w:rPr>
        <w:t xml:space="preserve"> </w:t>
      </w:r>
    </w:p>
    <w:p w14:paraId="69B2E75E" w14:textId="77777777" w:rsidR="006D6021" w:rsidRPr="008E5B84" w:rsidRDefault="00311339">
      <w:pPr>
        <w:widowControl w:val="0"/>
        <w:spacing w:after="120" w:line="360" w:lineRule="auto"/>
        <w:ind w:firstLine="284"/>
        <w:jc w:val="center"/>
        <w:rPr>
          <w:sz w:val="24"/>
          <w:szCs w:val="24"/>
          <w:rFonts w:ascii="Garamond" w:hAnsi="Garamond"/>
        </w:rPr>
      </w:pPr>
      <w:bookmarkStart w:id="2" w:name="_Hlk58518925"/>
      <w:r>
        <w:rPr>
          <w:sz w:val="24"/>
          <w:rFonts w:ascii="Garamond" w:hAnsi="Garamond"/>
        </w:rPr>
        <w:t xml:space="preserve">23 straipsnis.</w:t>
      </w:r>
    </w:p>
    <w:p w14:paraId="0F62E269" w14:textId="34428259" w:rsidR="006D6021" w:rsidRPr="008E5B84" w:rsidRDefault="008B3D7C">
      <w:pPr>
        <w:widowControl w:val="0"/>
        <w:spacing w:after="120" w:line="360" w:lineRule="auto"/>
        <w:ind w:firstLine="284"/>
        <w:jc w:val="center"/>
        <w:rPr>
          <w:sz w:val="24"/>
          <w:szCs w:val="24"/>
          <w:rFonts w:ascii="Garamond" w:hAnsi="Garamond"/>
        </w:rPr>
      </w:pPr>
      <w:r>
        <w:rPr>
          <w:sz w:val="24"/>
          <w:rFonts w:ascii="Garamond" w:hAnsi="Garamond"/>
        </w:rPr>
        <w:t xml:space="preserve">&lt;…&gt;</w:t>
      </w:r>
    </w:p>
    <w:p w14:paraId="5F9480C7" w14:textId="454DC41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5F1D39B1"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7F3B2E9D" w14:textId="53686E70"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1C782BC8" w14:textId="68618E7C"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49345D1D"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i/>
          <w:rFonts w:ascii="Garamond" w:hAnsi="Garamond"/>
        </w:rPr>
        <w:t xml:space="preserve">Neteko galios</w:t>
      </w:r>
      <w:r>
        <w:rPr>
          <w:sz w:val="24"/>
          <w:rFonts w:ascii="Garamond" w:hAnsi="Garamond"/>
        </w:rPr>
        <w:t xml:space="preserve">];</w:t>
      </w:r>
    </w:p>
    <w:p w14:paraId="78E509FB"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05BCEA55" w14:textId="01A4160C"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3B767401" w14:textId="7091B311" w:rsidR="006D6021" w:rsidRPr="008E5B84" w:rsidRDefault="008600E0">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4A4D1BE3" w14:textId="4898503B"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0B339EEC" w14:textId="208F75F9"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566473D6" w14:textId="164AC433"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3" w:name="_Hlk61626903"/>
      <w:r>
        <w:rPr>
          <w:sz w:val="24"/>
          <w:rFonts w:ascii="Garamond" w:hAnsi="Garamond"/>
        </w:rPr>
        <w:t xml:space="preserve">[...].</w:t>
      </w:r>
    </w:p>
    <w:p w14:paraId="66BCCA1B" w14:textId="4D55870F"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73A26731" w14:textId="652B1C92"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4" w:name="_Hlk61626654"/>
      <w:bookmarkEnd w:id="3"/>
      <w:r>
        <w:rPr>
          <w:sz w:val="24"/>
          <w:rFonts w:ascii="Garamond" w:hAnsi="Garamond"/>
        </w:rPr>
        <w:t xml:space="preserve">[...].</w:t>
      </w:r>
    </w:p>
    <w:bookmarkEnd w:id="4"/>
    <w:p w14:paraId="385DA688" w14:textId="0D95D9A5"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7BCA8040" w14:textId="4560123D"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5" w:name="_Hlk52724639"/>
      <w:r>
        <w:rPr>
          <w:sz w:val="24"/>
          <w:rFonts w:ascii="Garamond" w:hAnsi="Garamond"/>
        </w:rPr>
        <w:t xml:space="preserve">[...].</w:t>
      </w:r>
    </w:p>
    <w:p w14:paraId="22A71714" w14:textId="11A87C2A"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6" w:name="_Hlk52724601"/>
      <w:bookmarkEnd w:id="5"/>
      <w:r>
        <w:rPr>
          <w:sz w:val="24"/>
          <w:rFonts w:ascii="Garamond" w:hAnsi="Garamond"/>
        </w:rPr>
        <w:t xml:space="preserve">[...].</w:t>
      </w:r>
    </w:p>
    <w:p w14:paraId="7F2D2F9B" w14:textId="47B01B05" w:rsidR="006D6021" w:rsidRPr="008E5B84" w:rsidRDefault="00311339" w:rsidP="007E1034">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Daugkartinio naudojimo pakuotė ženklinama, simbolis ir ženklinimo taisyklės nustatomos Vyriausybės narių, atsakingų už ekonomikos ir aplinkosaugos klausimus, potvarkiu, pasikonsultavus su atitinkamiems sektoriams atstovaujančiomis asociacijomis.</w:t>
      </w:r>
    </w:p>
    <w:p w14:paraId="0388493E" w14:textId="282251FD" w:rsidR="006D6021" w:rsidRPr="008E5B84" w:rsidRDefault="00311339" w:rsidP="007E1034">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Ankstesnėje dalyje nurodytas potvarkis paskelbiamas iki 2022 m. gruodžio 31 d., nustatant pereinamąjį laikotarpį, per kurį turi būti laikomasi įpareigojimo ženklinti ne trumpiau kaip vienus metus.</w:t>
      </w:r>
      <w:r>
        <w:rPr>
          <w:sz w:val="24"/>
          <w:rFonts w:ascii="Garamond" w:hAnsi="Garamond"/>
        </w:rPr>
        <w:t xml:space="preserve"> </w:t>
      </w:r>
    </w:p>
    <w:bookmarkEnd w:id="2"/>
    <w:bookmarkEnd w:id="6"/>
    <w:p w14:paraId="2073F806" w14:textId="77777777" w:rsidR="006D6021" w:rsidRPr="008E5B84" w:rsidRDefault="00311339">
      <w:pPr>
        <w:widowControl w:val="0"/>
        <w:spacing w:after="120" w:line="360" w:lineRule="auto"/>
        <w:ind w:left="851" w:right="567" w:hanging="284"/>
        <w:jc w:val="center"/>
        <w:rPr>
          <w:sz w:val="24"/>
          <w:szCs w:val="24"/>
          <w:rFonts w:ascii="Garamond" w:hAnsi="Garamond"/>
        </w:rPr>
      </w:pPr>
      <w:r>
        <w:rPr>
          <w:sz w:val="24"/>
          <w:rFonts w:ascii="Garamond" w:hAnsi="Garamond"/>
        </w:rPr>
        <w:t xml:space="preserve">28 straipsnis.</w:t>
      </w:r>
    </w:p>
    <w:p w14:paraId="1BFEB45B" w14:textId="255D8B70" w:rsidR="006D6021" w:rsidRPr="008E5B84" w:rsidRDefault="00311339">
      <w:pPr>
        <w:widowControl w:val="0"/>
        <w:spacing w:after="120" w:line="360" w:lineRule="auto"/>
        <w:ind w:left="851" w:right="567" w:hanging="284"/>
        <w:jc w:val="center"/>
        <w:rPr>
          <w:sz w:val="24"/>
          <w:szCs w:val="24"/>
          <w:rFonts w:ascii="Garamond" w:hAnsi="Garamond"/>
        </w:rPr>
      </w:pPr>
      <w:r>
        <w:rPr>
          <w:sz w:val="24"/>
          <w:rFonts w:ascii="Garamond" w:hAnsi="Garamond"/>
        </w:rPr>
        <w:t xml:space="preserve">Pakuočių ženklinimas</w:t>
      </w:r>
    </w:p>
    <w:p w14:paraId="1559C70D"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w:t>
      </w:r>
      <w:r>
        <w:rPr>
          <w:sz w:val="24"/>
          <w:i/>
          <w:rFonts w:ascii="Garamond" w:hAnsi="Garamond"/>
        </w:rPr>
        <w:t xml:space="preserve">Neteko galios</w:t>
      </w:r>
      <w:r>
        <w:rPr>
          <w:sz w:val="24"/>
          <w:rFonts w:ascii="Garamond" w:hAnsi="Garamond"/>
        </w:rPr>
        <w:t xml:space="preserve">].</w:t>
      </w:r>
      <w:r>
        <w:rPr>
          <w:sz w:val="24"/>
          <w:rFonts w:ascii="Garamond" w:hAnsi="Garamond"/>
        </w:rPr>
        <w:t xml:space="preserve"> </w:t>
      </w:r>
    </w:p>
    <w:p w14:paraId="3035F5D8"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Nepažeidžiant 9 dalies, pakartotinai nenaudojamos pirminės pakuotės iš kitų Europos Sąjungos valstybių narių arba trečiųjų šalių, kurios buvo paženklintos tam tikru kilmės simboliu, su šiuo simboliu gali būti pateikiamos rinkai.</w:t>
      </w:r>
      <w:r>
        <w:rPr>
          <w:sz w:val="24"/>
          <w:rFonts w:ascii="Garamond" w:hAnsi="Garamond"/>
        </w:rPr>
        <w:t xml:space="preserve"> </w:t>
      </w:r>
    </w:p>
    <w:p w14:paraId="21253B2F"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Pagal 23 straipsnio C dalyje nurodytą užstato sistemą tvarkoma pakuotė ženklinama simboliu, nustatytu potvarkyje, kurį tvirtina Vyriausybės nariai, atsakingi už ekonominius ir aplinkosaugos klausimus.</w:t>
      </w:r>
    </w:p>
    <w:p w14:paraId="2C5C3A24"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Siekiant palengvinti surinkimą, pakartotinį naudojimą ir utilizavimą, įskaitant perdirbimą, pakuotė pagal identifikavimo sistemą, nustatytą 1997 m. sausio 28 d. Komisijos sprendime Nr. 97/129/EB, kurios sistema nustatyta šio įstatyminio potvarkio IX priede ir kurios sudedamoji dalis ji yra, pramonės šakoms identifikuoti ir klasifikuoti nurodo naudojamos (-ų) pakuotės medžiagos (-ų) pobūdį.</w:t>
      </w:r>
    </w:p>
    <w:p w14:paraId="692F362A"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t xml:space="preserve">Siekiant skatinti teisingą atliekų atskyrimą ir padidinti perdirbimo lygį bei kokybę, rinkai pateiktos </w:t>
      </w:r>
      <w:bookmarkStart w:id="7" w:name="_Hlk61624722"/>
      <w:r>
        <w:t xml:space="preserve">perdirbamos pakuotės turi būti paženklintos atitinkamomis rūšiavimo instrukcijomis,</w:t>
      </w:r>
      <w:bookmarkEnd w:id="7"/>
      <w:r>
        <w:t xml:space="preserve">, visų pirma perdirbimo dėžės, į kurią jos turėtų būti patalpintos, spalva, laikantis sąlygų, nustatytų Vyriausybės narių, atsakingų už ekonomikos ir aplinkosaugos klausimus, potvarkiu.</w:t>
      </w:r>
    </w:p>
    <w:p w14:paraId="533DE736"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Ankstesnėje dalyje nurodytas ženklinimas turi atitikti šiuos reikalavimus:</w:t>
      </w:r>
    </w:p>
    <w:p w14:paraId="08DBE96C" w14:textId="77777777" w:rsidR="006D6021" w:rsidRPr="008E5B84" w:rsidRDefault="00311339">
      <w:pPr>
        <w:widowControl w:val="0"/>
        <w:numPr>
          <w:ilvl w:val="0"/>
          <w:numId w:val="5"/>
        </w:numPr>
        <w:spacing w:after="120" w:line="360" w:lineRule="auto"/>
        <w:ind w:left="1418" w:right="567" w:hanging="284"/>
        <w:jc w:val="both"/>
        <w:rPr>
          <w:sz w:val="24"/>
          <w:szCs w:val="24"/>
          <w:rFonts w:ascii="Garamond" w:hAnsi="Garamond"/>
        </w:rPr>
      </w:pPr>
      <w:r>
        <w:rPr>
          <w:sz w:val="24"/>
          <w:rFonts w:ascii="Garamond" w:hAnsi="Garamond"/>
        </w:rPr>
        <w:t xml:space="preserve">Jis gali būti pateikiamas ikonografija arba rašytiniu tekstu, arba ir vienu, ir kitu;</w:t>
      </w:r>
    </w:p>
    <w:p w14:paraId="77968FCD" w14:textId="77777777" w:rsidR="006D6021" w:rsidRPr="008E5B84" w:rsidRDefault="00311339">
      <w:pPr>
        <w:widowControl w:val="0"/>
        <w:numPr>
          <w:ilvl w:val="0"/>
          <w:numId w:val="5"/>
        </w:numPr>
        <w:spacing w:after="120" w:line="360" w:lineRule="auto"/>
        <w:ind w:left="1418" w:right="567" w:hanging="284"/>
        <w:jc w:val="both"/>
        <w:rPr>
          <w:sz w:val="24"/>
          <w:szCs w:val="24"/>
          <w:rFonts w:ascii="Garamond" w:hAnsi="Garamond"/>
        </w:rPr>
      </w:pPr>
      <w:r>
        <w:rPr>
          <w:sz w:val="24"/>
          <w:rFonts w:ascii="Garamond" w:hAnsi="Garamond"/>
        </w:rPr>
        <w:t xml:space="preserve">Jis turi būti išspausdintas matomai, įskaitomai ir nenutrinamai.</w:t>
      </w:r>
    </w:p>
    <w:p w14:paraId="661794D2"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Vartotojui skirtai pirminei ir antrinei pakuotei taikomas 5 dalyje nurodytas ženklinimo įpareigojimas.</w:t>
      </w:r>
    </w:p>
    <w:p w14:paraId="31B5251D"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Pakuotei, kurios dydis neleidžia ženklinti pagal 6 dalį, netaikomas 5 dalyje nurodytas įpareigojimas.</w:t>
      </w:r>
    </w:p>
    <w:p w14:paraId="0D5DA7CC" w14:textId="07B00E1C" w:rsidR="006D6021" w:rsidRPr="008B3D7C"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Siekiant paaiškinti vartotojams teikiamą informaciją ir skatinti teisingą pakuočių atliekų gabenimą, nuo 5 dalyje nustatyto įpareigojimo įsigaliojimo dienos draudžiama pateikti rinkai perdirbamąsias ir daugkartinio naudojimo pakuotes, pažymėtas „tvarkingo žmogaus“ simboliu.</w:t>
      </w:r>
    </w:p>
    <w:p w14:paraId="5CFB03EA" w14:textId="77777777" w:rsidR="006D6021" w:rsidRPr="008E5B84" w:rsidRDefault="00311339">
      <w:pPr>
        <w:widowControl w:val="0"/>
        <w:numPr>
          <w:ilvl w:val="0"/>
          <w:numId w:val="4"/>
        </w:numPr>
        <w:spacing w:after="120" w:line="360" w:lineRule="auto"/>
        <w:ind w:right="567"/>
        <w:jc w:val="both"/>
        <w:rPr>
          <w:sz w:val="24"/>
          <w:szCs w:val="24"/>
          <w:rFonts w:ascii="Garamond" w:hAnsi="Garamond"/>
        </w:rPr>
      </w:pPr>
      <w:r>
        <w:rPr>
          <w:sz w:val="24"/>
          <w:rFonts w:ascii="Garamond" w:hAnsi="Garamond"/>
        </w:rPr>
        <w:t xml:space="preserve">5 dalyje nurodytas potvarkis paskelbiamas iki 2022 m. gruodžio 31 d., nustatant pereinamąjį laikotarpį, per kurį turi būti laikomasi įpareigojimo ženklinti ne trumpiau kaip vienus metus.</w:t>
      </w:r>
      <w:r>
        <w:rPr>
          <w:sz w:val="24"/>
          <w:rFonts w:ascii="Garamond" w:hAnsi="Garamond"/>
        </w:rPr>
        <w:t xml:space="preserve"> </w:t>
      </w:r>
    </w:p>
    <w:p w14:paraId="2B5AE871" w14:textId="77777777" w:rsidR="006D6021" w:rsidRPr="008E5B84" w:rsidRDefault="00311339">
      <w:pPr>
        <w:pStyle w:val="ListParagraph"/>
        <w:widowControl w:val="0"/>
        <w:tabs>
          <w:tab w:val="left" w:pos="567"/>
        </w:tabs>
        <w:spacing w:after="120" w:line="360" w:lineRule="auto"/>
        <w:ind w:left="426"/>
        <w:jc w:val="center"/>
        <w:rPr>
          <w:sz w:val="24"/>
          <w:szCs w:val="24"/>
          <w:rFonts w:ascii="Garamond" w:hAnsi="Garamond"/>
        </w:rPr>
      </w:pPr>
      <w:r>
        <w:rPr>
          <w:sz w:val="24"/>
          <w:rFonts w:ascii="Garamond" w:hAnsi="Garamond"/>
        </w:rPr>
        <w:t xml:space="preserve">90 straipsnis.</w:t>
      </w:r>
    </w:p>
    <w:p w14:paraId="5993F2D8" w14:textId="679E6390" w:rsidR="006D6021" w:rsidRPr="008E5B84" w:rsidRDefault="00BB1999">
      <w:pPr>
        <w:pStyle w:val="ListParagraph"/>
        <w:widowControl w:val="0"/>
        <w:tabs>
          <w:tab w:val="left" w:pos="567"/>
        </w:tabs>
        <w:spacing w:after="120" w:line="360" w:lineRule="auto"/>
        <w:ind w:left="426"/>
        <w:jc w:val="center"/>
        <w:rPr>
          <w:sz w:val="24"/>
          <w:szCs w:val="24"/>
          <w:rFonts w:ascii="Garamond" w:hAnsi="Garamond"/>
        </w:rPr>
      </w:pPr>
      <w:r>
        <w:rPr>
          <w:sz w:val="24"/>
          <w:rFonts w:ascii="Garamond" w:hAnsi="Garamond"/>
        </w:rPr>
        <w:t xml:space="preserve">&lt;…&gt;</w:t>
      </w:r>
    </w:p>
    <w:p w14:paraId="1BD8205D" w14:textId="1A72943D" w:rsidR="006D6021" w:rsidRPr="008E5B84" w:rsidRDefault="00311339">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1– [...].</w:t>
      </w:r>
    </w:p>
    <w:p w14:paraId="4D5E45BC" w14:textId="264AD440" w:rsidR="006D6021" w:rsidRPr="008E5B84" w:rsidRDefault="00311339">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2 – Šių veiklų atlikimas yra sunkus administracinis pažeidimas, už kurį baudžiama pagal Administracinių teisės pažeidimų teisės aktus:</w:t>
      </w:r>
    </w:p>
    <w:p w14:paraId="34A60EBF" w14:textId="26983D8A" w:rsidR="006D6021"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91F789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76331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05824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63D56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2FDC02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BC28BB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177A22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593CF5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28600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BC6BC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C7EA91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2290F3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C38F47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064F8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D256B3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F8E3AE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E766C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025FBF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C40613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CDF3C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B239DF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6F8F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2E3F6D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E82248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1BFF0E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B8A0F7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A7FDC2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62DF6D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C64AB0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D01A8C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3B4721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C8ADFF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6BEAB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BD54DA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10FE05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1F700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61AB7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9F70C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5AAF43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67C96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A581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A67ED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FFD8B5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D7B2B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9EF16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442035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87A0E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535D9B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DEE736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FCF525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F97F9A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45242A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2D3F49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85AD1E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F3308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E916B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018C53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153AAC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1CC34B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20E49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1F41D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F2D2B9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2EE4E4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B3E78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6A382E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E0BA6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D5C7C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00FEF1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E5517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162670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71743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19079DF" w14:textId="3E22BD35"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Ūkio subjektų, kurie neatitinka kvalifikacijos reikalavimų ar standartų, taikomų pagal 8 straipsnio 1, 5 ir 6 dalis, atliekama atliekų tvarkymo veikla;</w:t>
      </w:r>
      <w:r>
        <w:rPr>
          <w:sz w:val="24"/>
          <w:rFonts w:ascii="Garamond" w:hAnsi="Garamond"/>
        </w:rPr>
        <w:t xml:space="preserve"> </w:t>
      </w:r>
    </w:p>
    <w:p w14:paraId="7EA03A99" w14:textId="76D22DF1"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Įpareigojimo ženklinti pakuotes pagal 23 straipsnio 11 dalį ir 28 straipsnio 3 dalį nesilaikymas.</w:t>
      </w:r>
    </w:p>
    <w:p w14:paraId="63F4F092" w14:textId="77777777" w:rsidR="006D6021" w:rsidRPr="008E5B84" w:rsidRDefault="00311339" w:rsidP="008E5B84">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3 – Nesunkus administracinis pažeidimas, už kurį baudžiama pagal Bendrąjį administracinių teisės pažeidimų aplinkos srityje įstatymą, yra šių veiklų atlikimas:</w:t>
      </w:r>
    </w:p>
    <w:p w14:paraId="717D1B1F" w14:textId="6632C3C4" w:rsidR="00AE3FD7"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786638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6DAF0A6"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84EE665"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5E9A59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F82066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A3C0C2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AC497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88AD3E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0F16E2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91B075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CF63BAD"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D5C26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372D1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6CAD88E"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EE26E5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FAFE6A2"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A2FA5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E63E2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BEAAE8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535C3B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A1FB1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329FF90"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D3E144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19D916A"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4E02EE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93628B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429CEE4" w14:textId="7C04ACFC"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Nesilaikoma įpareigojimo ant pakuotės nurodyti pagal 28 straipsnio 4 dalį naudotas pakavimo medžiagas;</w:t>
      </w:r>
    </w:p>
    <w:p w14:paraId="52F2A95D" w14:textId="5A6D3D93"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Nesilaikoma įpareigojimo nustatyti pakuotės paskirties vietą, kai jos perdirbamos pagal 28 straipsnio 5 ir 6 dalis;</w:t>
      </w:r>
    </w:p>
    <w:p w14:paraId="6D3571B6" w14:textId="2BE01E53" w:rsidR="007C12A7"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„Tvarkingo žmogaus“ simbolio naudojimas ant perdirbamų ir daugkartinio naudojimo pakuočių pažeidžiant 28 straipsnio 9 dalį.</w:t>
      </w:r>
      <w:r>
        <w:rPr>
          <w:sz w:val="24"/>
          <w:rFonts w:ascii="Garamond" w:hAnsi="Garamond"/>
        </w:rPr>
        <w:t xml:space="preserve"> </w:t>
      </w:r>
    </w:p>
    <w:p w14:paraId="7C8C6BB9" w14:textId="1CA7F2E5"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4 -</w:t>
      </w:r>
      <w:r>
        <w:rPr>
          <w:sz w:val="24"/>
          <w:rFonts w:ascii="Garamond" w:hAnsi="Garamond"/>
        </w:rPr>
        <w:tab/>
      </w:r>
      <w:r>
        <w:rPr>
          <w:sz w:val="24"/>
          <w:rFonts w:ascii="Garamond" w:hAnsi="Garamond"/>
        </w:rPr>
        <w:t xml:space="preserve">[...].</w:t>
      </w:r>
    </w:p>
    <w:p w14:paraId="320DA334" w14:textId="78F12E10"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5 -</w:t>
      </w:r>
      <w:r>
        <w:rPr>
          <w:sz w:val="24"/>
          <w:rFonts w:ascii="Garamond" w:hAnsi="Garamond"/>
        </w:rPr>
        <w:tab/>
      </w:r>
      <w:r>
        <w:rPr>
          <w:sz w:val="24"/>
          <w:rFonts w:ascii="Garamond" w:hAnsi="Garamond"/>
        </w:rPr>
        <w:t xml:space="preserve">[...].</w:t>
      </w:r>
    </w:p>
    <w:p w14:paraId="503ACA32" w14:textId="77777777"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6 -</w:t>
      </w:r>
      <w:r>
        <w:rPr>
          <w:sz w:val="24"/>
          <w:rFonts w:ascii="Garamond" w:hAnsi="Garamond"/>
        </w:rPr>
        <w:tab/>
      </w:r>
      <w:r>
        <w:rPr>
          <w:sz w:val="24"/>
          <w:rFonts w:ascii="Garamond" w:hAnsi="Garamond"/>
        </w:rPr>
        <w:t xml:space="preserve">[...].</w:t>
      </w:r>
      <w:r>
        <w:rPr>
          <w:sz w:val="24"/>
          <w:rFonts w:ascii="Garamond" w:hAnsi="Garamond"/>
        </w:rPr>
        <w:t xml:space="preserve"> </w:t>
      </w:r>
    </w:p>
    <w:p w14:paraId="425838E4" w14:textId="5781235B" w:rsidR="006D6021" w:rsidRPr="008E5B84"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7 -</w:t>
      </w:r>
      <w:r>
        <w:rPr>
          <w:sz w:val="24"/>
          <w:rFonts w:ascii="Garamond" w:hAnsi="Garamond"/>
        </w:rPr>
        <w:tab/>
      </w:r>
      <w:r>
        <w:rPr>
          <w:sz w:val="24"/>
          <w:rFonts w:ascii="Garamond" w:hAnsi="Garamond"/>
        </w:rPr>
        <w:t xml:space="preserve">[...].“</w:t>
      </w:r>
    </w:p>
    <w:p w14:paraId="4D8B5014"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rPr>
          <w:sz w:val="24"/>
          <w:rFonts w:ascii="Garamond" w:hAnsi="Garamond"/>
        </w:rPr>
        <w:t xml:space="preserve">3 straipsnis.</w:t>
      </w:r>
    </w:p>
    <w:p w14:paraId="748BF384"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t xml:space="preserve">Gruodžio 11 d. </w:t>
      </w:r>
      <w:hyperlink r:id="rId22" w:tooltip="Įstatyminis potvarkis Nr. 152-D/2017" w:history="1">
        <w:r>
          <w:rPr>
            <w:sz w:val="24"/>
            <w:rFonts w:ascii="Garamond" w:hAnsi="Garamond"/>
          </w:rPr>
          <w:t xml:space="preserve">Įstatyminio potvarkio Nr. 152-D/2017</w:t>
        </w:r>
      </w:hyperlink>
      <w:r>
        <w:t xml:space="preserve">papildymas</w:t>
      </w:r>
    </w:p>
    <w:p w14:paraId="380A1081" w14:textId="6C021E2E" w:rsidR="006D6021" w:rsidRPr="008E5B84" w:rsidRDefault="00311339">
      <w:pPr>
        <w:shd w:val="clear" w:color="auto" w:fill="FFFFFF"/>
        <w:suppressAutoHyphens w:val="0"/>
        <w:spacing w:after="225" w:line="390" w:lineRule="atLeast"/>
        <w:jc w:val="both"/>
        <w:textAlignment w:val="auto"/>
        <w:rPr>
          <w:sz w:val="24"/>
          <w:szCs w:val="24"/>
          <w:rFonts w:ascii="Garamond" w:hAnsi="Garamond"/>
        </w:rPr>
      </w:pPr>
      <w:r>
        <w:t xml:space="preserve">Gruodžio 11 d.</w:t>
      </w:r>
      <w:hyperlink r:id="rId23" w:tooltip="Įstatyminis potvarkis Nr. 152-D/2017" w:history="1">
        <w:r>
          <w:rPr>
            <w:sz w:val="24"/>
            <w:rFonts w:ascii="Garamond" w:hAnsi="Garamond"/>
          </w:rPr>
          <w:t xml:space="preserve">Įstatyminio potvarkio Nr. 152-D/2017</w:t>
        </w:r>
      </w:hyperlink>
      <w:r>
        <w:t xml:space="preserve">dabartinė formuluotė papildoma 20-A straipsniu, kurio formuluotė yra tokia:</w:t>
      </w:r>
    </w:p>
    <w:p w14:paraId="752800F2" w14:textId="77777777" w:rsidR="006D6021" w:rsidRPr="008E5B84" w:rsidRDefault="00311339">
      <w:pPr>
        <w:widowControl w:val="0"/>
        <w:spacing w:after="120" w:line="360" w:lineRule="auto"/>
        <w:jc w:val="center"/>
        <w:rPr>
          <w:sz w:val="24"/>
          <w:szCs w:val="24"/>
          <w:rFonts w:ascii="Garamond" w:hAnsi="Garamond"/>
        </w:rPr>
      </w:pPr>
      <w:r>
        <w:rPr>
          <w:sz w:val="24"/>
          <w:rFonts w:ascii="Garamond" w:hAnsi="Garamond"/>
        </w:rPr>
        <w:t xml:space="preserve">„20-A straipsnis</w:t>
      </w:r>
    </w:p>
    <w:p w14:paraId="1AB94D2F" w14:textId="77777777" w:rsidR="006D6021" w:rsidRPr="008E5B84" w:rsidRDefault="00311339">
      <w:pPr>
        <w:widowControl w:val="0"/>
        <w:spacing w:after="120" w:line="360" w:lineRule="auto"/>
        <w:jc w:val="center"/>
        <w:rPr>
          <w:sz w:val="24"/>
          <w:szCs w:val="24"/>
          <w:rFonts w:ascii="Garamond" w:hAnsi="Garamond"/>
        </w:rPr>
      </w:pPr>
      <w:r>
        <w:rPr>
          <w:sz w:val="24"/>
          <w:rFonts w:ascii="Garamond" w:hAnsi="Garamond"/>
        </w:rPr>
        <w:t xml:space="preserve">Tarpinio tinklo paslaugų teikėjo atsakomybė</w:t>
      </w:r>
      <w:r>
        <w:rPr>
          <w:sz w:val="24"/>
          <w:rFonts w:ascii="Garamond" w:hAnsi="Garamond"/>
        </w:rPr>
        <w:t xml:space="preserve"> </w:t>
      </w:r>
    </w:p>
    <w:p w14:paraId="51D2D4EC" w14:textId="77777777" w:rsidR="006D6021" w:rsidRPr="008E5B84"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Kompiuterinių ryšių paslaugų, kurios šiame įstatyminiame potvarkyje nelaikomos gamintoju, bet kurios, naudojant elektroninę sąsają, pavyzdžiui, rinką, platformą, portalą ar panašų prietaisą, palengvina nuotolinę prekybą produktais, kuriems taikomas gamintojo išplėstinės atsakomybės principas, tarpininkas trečiosios šalies vardu prašo pateikti šią informaciją, kad būtų įrodyta, jog laikomasi įpareigojimų, susijusių su:</w:t>
      </w:r>
    </w:p>
    <w:p w14:paraId="203F3B33" w14:textId="77777777" w:rsidR="006D6021" w:rsidRPr="008E5B84" w:rsidRDefault="00311339">
      <w:pPr>
        <w:numPr>
          <w:ilvl w:val="1"/>
          <w:numId w:val="6"/>
        </w:numPr>
        <w:spacing w:after="120" w:line="360" w:lineRule="auto"/>
        <w:ind w:left="1560" w:hanging="284"/>
        <w:jc w:val="both"/>
        <w:rPr>
          <w:sz w:val="24"/>
          <w:szCs w:val="24"/>
          <w:rFonts w:ascii="Garamond" w:hAnsi="Garamond"/>
        </w:rPr>
      </w:pPr>
      <w:r>
        <w:rPr>
          <w:sz w:val="24"/>
          <w:rFonts w:ascii="Garamond" w:hAnsi="Garamond"/>
        </w:rPr>
        <w:t xml:space="preserve">Duomenų įvedimu ir metiniu pateikimu SIRER pagal 19 straipsnio 1 dalį;</w:t>
      </w:r>
    </w:p>
    <w:p w14:paraId="34CEE8B9" w14:textId="77777777" w:rsidR="006D6021" w:rsidRPr="008E5B84" w:rsidRDefault="00311339">
      <w:pPr>
        <w:numPr>
          <w:ilvl w:val="1"/>
          <w:numId w:val="6"/>
        </w:numPr>
        <w:spacing w:after="120" w:line="360" w:lineRule="auto"/>
        <w:ind w:left="1560" w:hanging="284"/>
        <w:jc w:val="both"/>
        <w:rPr>
          <w:sz w:val="24"/>
          <w:szCs w:val="24"/>
          <w:rFonts w:ascii="Garamond" w:hAnsi="Garamond"/>
        </w:rPr>
      </w:pPr>
      <w:r>
        <w:rPr>
          <w:sz w:val="24"/>
          <w:rFonts w:ascii="Garamond" w:hAnsi="Garamond"/>
        </w:rPr>
        <w:t xml:space="preserve">Vienos iš 7 straipsnio 1 dalyje numatytų sistemų, taikomų platformoje esančiam tipui ar produktų kategorijai, patvirtinimas.</w:t>
      </w:r>
    </w:p>
    <w:p w14:paraId="00C2C8D8" w14:textId="77777777" w:rsidR="006D6021" w:rsidRPr="008E5B84"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Taikant pirmesnę dalį, kompiuterinių ryšių paslaugų tarpinis teikėjas reikalauja, kad atitinkama informacija būtų būtina registruojantis platformoje ir sutarties procedūros tikslais, o vėliau ta informacija kasmet atnaujinama.</w:t>
      </w:r>
    </w:p>
    <w:p w14:paraId="4B9FAC75" w14:textId="77777777" w:rsidR="006D6021"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Tarpinis kompiuterinių ryšių paslaugų teikėjas, kuris, naudodamas elektroninę sąsają, pvz., rinką, platformą, portalą ar panašų prietaisą, padeda nuotoliniu būdu parduoti arba pristatyti panaudotas EEĮA ir VFV dalis pakartotiniam naudojimui, iš pardavėjo paprašo informacijos, įrodančios, kad naudojamos dalys pagamintos iš licencijuotų išmontavimo operatorių, ir, inter alia, reikalauja informacijos apie platformoje pateikiamo eksploatavimo nutraukimo operatoriaus licencijos turėtojo numerį.“</w:t>
      </w:r>
    </w:p>
    <w:p w14:paraId="41D1684A" w14:textId="77777777" w:rsidR="00E262CE" w:rsidRPr="008E5B84" w:rsidRDefault="00E262CE" w:rsidP="002E3B2F">
      <w:pPr>
        <w:spacing w:after="0" w:line="360" w:lineRule="auto"/>
        <w:ind w:left="993"/>
        <w:jc w:val="both"/>
        <w:rPr>
          <w:rFonts w:ascii="Garamond" w:hAnsi="Garamond"/>
          <w:sz w:val="24"/>
          <w:szCs w:val="24"/>
        </w:rPr>
      </w:pPr>
    </w:p>
    <w:p w14:paraId="6416550A" w14:textId="77777777" w:rsidR="006D6021" w:rsidRPr="008E5B84" w:rsidRDefault="00311339">
      <w:pPr>
        <w:widowControl w:val="0"/>
        <w:tabs>
          <w:tab w:val="left" w:pos="142"/>
        </w:tabs>
        <w:spacing w:after="120" w:line="360" w:lineRule="auto"/>
        <w:jc w:val="center"/>
        <w:rPr>
          <w:sz w:val="24"/>
          <w:szCs w:val="24"/>
          <w:rFonts w:ascii="Garamond" w:eastAsia="Times New Roman" w:hAnsi="Garamond" w:cs="Calibri Light"/>
        </w:rPr>
      </w:pPr>
      <w:r>
        <w:rPr>
          <w:sz w:val="24"/>
          <w:rFonts w:ascii="Garamond" w:hAnsi="Garamond"/>
        </w:rPr>
        <w:t xml:space="preserve">4 straipsnis.</w:t>
      </w:r>
    </w:p>
    <w:p w14:paraId="47C9561F" w14:textId="77777777" w:rsidR="006D6021" w:rsidRPr="008E5B84" w:rsidRDefault="00311339">
      <w:pPr>
        <w:widowControl w:val="0"/>
        <w:tabs>
          <w:tab w:val="left" w:pos="142"/>
        </w:tabs>
        <w:spacing w:after="120" w:line="360" w:lineRule="auto"/>
        <w:jc w:val="center"/>
        <w:rPr>
          <w:sz w:val="24"/>
          <w:szCs w:val="24"/>
          <w:rFonts w:ascii="Garamond" w:eastAsia="Times New Roman" w:hAnsi="Garamond" w:cs="Calibri Light"/>
        </w:rPr>
      </w:pPr>
      <w:r>
        <w:rPr>
          <w:sz w:val="24"/>
          <w:rFonts w:ascii="Garamond" w:hAnsi="Garamond"/>
        </w:rPr>
        <w:t xml:space="preserve">Pereinamojo laikotarpio priemonės</w:t>
      </w:r>
      <w:r>
        <w:rPr>
          <w:sz w:val="24"/>
          <w:rFonts w:ascii="Garamond" w:hAnsi="Garamond"/>
        </w:rPr>
        <w:t xml:space="preserve"> </w:t>
      </w:r>
    </w:p>
    <w:p w14:paraId="11F9B5E9" w14:textId="77777777" w:rsidR="006D6021" w:rsidRPr="008E5B84" w:rsidRDefault="00311339" w:rsidP="008E5B84">
      <w:pPr>
        <w:pStyle w:val="ListParagraph"/>
        <w:widowControl w:val="0"/>
        <w:numPr>
          <w:ilvl w:val="0"/>
          <w:numId w:val="7"/>
        </w:numPr>
        <w:spacing w:after="120" w:line="360" w:lineRule="auto"/>
        <w:ind w:left="993" w:hanging="709"/>
        <w:jc w:val="both"/>
        <w:rPr>
          <w:sz w:val="24"/>
          <w:szCs w:val="24"/>
          <w:rFonts w:ascii="Garamond" w:hAnsi="Garamond"/>
        </w:rPr>
      </w:pPr>
      <w:r>
        <w:rPr>
          <w:sz w:val="24"/>
          <w:rFonts w:ascii="Garamond" w:hAnsi="Garamond"/>
        </w:rPr>
        <w:t xml:space="preserve">Gruodžio 11 d. Įstatyminio potvarkio Nr. 152-D/2017 su pakeitimais, padarytais šiuo įstatyminiu potvarkiu, 8 straipsnio 5 dalies nuostatos taikomos praėjus vieniems metams nuo šio įstatyminio potvarkio įsigaliojimo.</w:t>
      </w:r>
      <w:r>
        <w:rPr>
          <w:sz w:val="24"/>
          <w:rFonts w:ascii="Garamond" w:hAnsi="Garamond"/>
        </w:rPr>
        <w:t xml:space="preserve"> </w:t>
      </w:r>
    </w:p>
    <w:p w14:paraId="33C46C89"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Gruodžio 11 d. Įstatyminio potvarkio Nr. 152-D/2017 su pakeitimais, padarytais šiuo įstatyminiu potvarkiu, 8 straipsnio 6 dalies nuostatos taikomos praėjus dvejiems metams nuo šio įstatyminio potvarkio įsigaliojimo.</w:t>
      </w:r>
    </w:p>
    <w:p w14:paraId="118482CA"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Gruodžio 11 d. Įstatyminio potvarkio Nr. 152-D/2017 su pakeitimais, padarytais šiuo įstatyminiu potvarkiu, 8 straipsnio 8 dalyje nustatyto įpareigojimo pirmieji įvykdymo metai yra 2022 m., atsižvelgiant į 2021 m., nepažeidžiant to straipsnio 9 dalies nuostatų, ir su sąlyga, kad tuo metu yra kvalifikuoti tikrintojai.</w:t>
      </w:r>
    </w:p>
    <w:p w14:paraId="239A29A5"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Gruodžio 11 d. Įstatyminio potvarkio Nr. 152-D/2017 su pakeitimais, padarytais šiuo įstatyminiu potvarkiu, 28 straipsnio 4 dalies nuostatos taikomos praėjus dvejiems metams nuo šio įstatyminio potvarkio įsigaliojimo.</w:t>
      </w:r>
    </w:p>
    <w:p w14:paraId="561C5A3C" w14:textId="77777777" w:rsidR="00FA19BE" w:rsidRDefault="00FA19BE">
      <w:pPr>
        <w:jc w:val="center"/>
        <w:rPr>
          <w:rFonts w:ascii="Garamond" w:hAnsi="Garamond"/>
          <w:sz w:val="24"/>
          <w:szCs w:val="24"/>
        </w:rPr>
      </w:pPr>
    </w:p>
    <w:p w14:paraId="3AA09853" w14:textId="77777777" w:rsidR="00FA19BE" w:rsidRPr="008E5B84" w:rsidRDefault="00FA19BE" w:rsidP="00FA19BE">
      <w:pPr>
        <w:jc w:val="center"/>
        <w:rPr>
          <w:sz w:val="24"/>
          <w:szCs w:val="24"/>
          <w:rFonts w:ascii="Garamond" w:hAnsi="Garamond"/>
        </w:rPr>
      </w:pPr>
      <w:r>
        <w:rPr>
          <w:sz w:val="24"/>
          <w:rFonts w:ascii="Garamond" w:hAnsi="Garamond"/>
        </w:rPr>
        <w:t xml:space="preserve">5 straipsnis.</w:t>
      </w:r>
    </w:p>
    <w:p w14:paraId="3E008870" w14:textId="2B7749B8" w:rsidR="00FA19BE" w:rsidRPr="008E5B84" w:rsidRDefault="00FA19BE" w:rsidP="00FA19BE">
      <w:pPr>
        <w:jc w:val="center"/>
        <w:rPr>
          <w:sz w:val="24"/>
          <w:szCs w:val="24"/>
          <w:rFonts w:ascii="Garamond" w:hAnsi="Garamond"/>
        </w:rPr>
      </w:pPr>
      <w:r>
        <w:rPr>
          <w:sz w:val="24"/>
          <w:rFonts w:ascii="Garamond" w:hAnsi="Garamond"/>
        </w:rPr>
        <w:t xml:space="preserve">Panaikinimas</w:t>
      </w:r>
    </w:p>
    <w:p w14:paraId="357EF3D3" w14:textId="36BD9C91" w:rsidR="00FA19BE" w:rsidRPr="008E5B84" w:rsidRDefault="00FA19BE" w:rsidP="00FA19BE">
      <w:pPr>
        <w:shd w:val="clear" w:color="auto" w:fill="FFFFFF"/>
        <w:suppressAutoHyphens w:val="0"/>
        <w:spacing w:after="225" w:line="390" w:lineRule="atLeast"/>
        <w:jc w:val="both"/>
        <w:textAlignment w:val="auto"/>
        <w:rPr>
          <w:sz w:val="24"/>
          <w:szCs w:val="24"/>
          <w:rFonts w:ascii="Garamond" w:hAnsi="Garamond"/>
        </w:rPr>
      </w:pPr>
      <w:r>
        <w:rPr>
          <w:sz w:val="24"/>
          <w:rFonts w:ascii="Garamond" w:hAnsi="Garamond"/>
        </w:rPr>
        <w:t xml:space="preserve">Gruodžio 11 d. Įstatyminio potvarkio Nr. 152-D/2017, iš dalies pakeisto gruodžio 26 d. Įstatymu Nr. 69/2018 ir birželio 21 d. Nr. 41/2019, spalio 14 d. Įstatyminiu potvarkiu Nr. 86/2020, 28 straipsnio 1 dalis, iš dalies pakeista ir iš naujo paskelbta gruodžio 10 d. Įstatyminiu potvarkiu Nr. 102-D/2020, panaikinama.</w:t>
      </w:r>
      <w:r>
        <w:rPr>
          <w:sz w:val="24"/>
          <w:rFonts w:ascii="Garamond" w:hAnsi="Garamond"/>
        </w:rPr>
        <w:t xml:space="preserve"> </w:t>
      </w:r>
    </w:p>
    <w:p w14:paraId="18BEA12B" w14:textId="77777777" w:rsidR="00FA19BE" w:rsidRDefault="00FA19BE">
      <w:pPr>
        <w:jc w:val="center"/>
        <w:rPr>
          <w:rFonts w:ascii="Garamond" w:hAnsi="Garamond"/>
          <w:sz w:val="24"/>
          <w:szCs w:val="24"/>
        </w:rPr>
      </w:pPr>
    </w:p>
    <w:p w14:paraId="2595911C" w14:textId="07A0F7C4" w:rsidR="006D6021" w:rsidRPr="008E5B84" w:rsidRDefault="00311339">
      <w:pPr>
        <w:jc w:val="center"/>
        <w:rPr>
          <w:sz w:val="24"/>
          <w:szCs w:val="24"/>
          <w:rFonts w:ascii="Garamond" w:hAnsi="Garamond"/>
        </w:rPr>
      </w:pPr>
      <w:r>
        <w:rPr>
          <w:sz w:val="24"/>
          <w:rFonts w:ascii="Garamond" w:hAnsi="Garamond"/>
        </w:rPr>
        <w:t xml:space="preserve">6 straipsnis</w:t>
      </w:r>
    </w:p>
    <w:p w14:paraId="75EC9DA9" w14:textId="77777777" w:rsidR="006D6021" w:rsidRPr="008E5B84" w:rsidRDefault="00311339">
      <w:pPr>
        <w:jc w:val="center"/>
        <w:rPr>
          <w:sz w:val="24"/>
          <w:szCs w:val="24"/>
          <w:rFonts w:ascii="Garamond" w:hAnsi="Garamond"/>
        </w:rPr>
      </w:pPr>
      <w:r>
        <w:rPr>
          <w:sz w:val="24"/>
          <w:rFonts w:ascii="Garamond" w:hAnsi="Garamond"/>
        </w:rPr>
        <w:t xml:space="preserve">Įsigaliojimas</w:t>
      </w:r>
    </w:p>
    <w:p w14:paraId="116948F8" w14:textId="77777777" w:rsidR="006D6021" w:rsidRPr="008E5B84" w:rsidRDefault="00311339" w:rsidP="008E5B84">
      <w:pPr>
        <w:shd w:val="clear" w:color="auto" w:fill="FFFFFF"/>
        <w:suppressAutoHyphens w:val="0"/>
        <w:spacing w:after="225" w:line="390" w:lineRule="atLeast"/>
        <w:jc w:val="both"/>
        <w:textAlignment w:val="auto"/>
        <w:rPr>
          <w:sz w:val="24"/>
          <w:szCs w:val="24"/>
          <w:rFonts w:ascii="Garamond" w:hAnsi="Garamond"/>
        </w:rPr>
      </w:pPr>
      <w:r>
        <w:rPr>
          <w:sz w:val="24"/>
          <w:rFonts w:ascii="Garamond" w:hAnsi="Garamond"/>
        </w:rPr>
        <w:t xml:space="preserve">Šis įstatyminis potvarkis įsigalioja kitą dieną po jo paskelbimo.</w:t>
      </w:r>
      <w:r>
        <w:rPr>
          <w:sz w:val="24"/>
          <w:rFonts w:ascii="Garamond" w:hAnsi="Garamond"/>
        </w:rPr>
        <w:t xml:space="preserve"> </w:t>
      </w:r>
    </w:p>
    <w:sectPr w:rsidR="006D6021" w:rsidRPr="008E5B84">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5514C" w14:textId="77777777" w:rsidR="00071555" w:rsidRDefault="00071555">
      <w:pPr>
        <w:spacing w:after="0"/>
      </w:pPr>
      <w:r>
        <w:separator/>
      </w:r>
    </w:p>
  </w:endnote>
  <w:endnote w:type="continuationSeparator" w:id="0">
    <w:p w14:paraId="3A09787D" w14:textId="77777777" w:rsidR="00071555" w:rsidRDefault="00071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3DC03" w14:textId="77777777" w:rsidR="00071555" w:rsidRDefault="00071555">
      <w:pPr>
        <w:spacing w:after="0"/>
      </w:pPr>
      <w:r>
        <w:rPr>
          <w:color w:val="000000"/>
        </w:rPr>
        <w:separator/>
      </w:r>
    </w:p>
  </w:footnote>
  <w:footnote w:type="continuationSeparator" w:id="0">
    <w:p w14:paraId="66F4E6EC" w14:textId="77777777" w:rsidR="00071555" w:rsidRDefault="000715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3657"/>
    <w:multiLevelType w:val="multilevel"/>
    <w:tmpl w:val="D05AC05A"/>
    <w:lvl w:ilvl="0">
      <w:start w:val="6"/>
      <w:numFmt w:val="decimal"/>
      <w:lvlText w:val="%1 -"/>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97B0D"/>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 w15:restartNumberingAfterBreak="0">
    <w:nsid w:val="0F392368"/>
    <w:multiLevelType w:val="multilevel"/>
    <w:tmpl w:val="F1BEC4E6"/>
    <w:lvl w:ilvl="0">
      <w:start w:val="1"/>
      <w:numFmt w:val="lowerLetter"/>
      <w:lvlText w:val="%1)"/>
      <w:lvlJc w:val="left"/>
      <w:pPr>
        <w:ind w:left="644" w:hanging="360"/>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3CE25F0"/>
    <w:multiLevelType w:val="multilevel"/>
    <w:tmpl w:val="45E6EE42"/>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41AC33B5"/>
    <w:multiLevelType w:val="multilevel"/>
    <w:tmpl w:val="D7103C30"/>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2DF1C07"/>
    <w:multiLevelType w:val="multilevel"/>
    <w:tmpl w:val="E982D0B8"/>
    <w:lvl w:ilvl="0">
      <w:start w:val="1"/>
      <w:numFmt w:val="decimal"/>
      <w:lvlText w:val="%1 - "/>
      <w:lvlJc w:val="right"/>
      <w:pPr>
        <w:ind w:left="720" w:hanging="360"/>
      </w:pPr>
    </w:lvl>
    <w:lvl w:ilvl="1">
      <w:start w:val="1"/>
      <w:numFmt w:val="lowerLetter"/>
      <w:lvlText w:val="%2)"/>
      <w:lvlJc w:val="left"/>
      <w:pPr>
        <w:ind w:left="1440" w:hanging="360"/>
      </w:pPr>
      <w:rPr>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7E471E"/>
    <w:multiLevelType w:val="multilevel"/>
    <w:tmpl w:val="30E8A17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75F63389"/>
    <w:multiLevelType w:val="multilevel"/>
    <w:tmpl w:val="BC00FD0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7DC659A2"/>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dirty" w:grammar="dirty"/>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021"/>
    <w:rsid w:val="00071555"/>
    <w:rsid w:val="00166DDB"/>
    <w:rsid w:val="001C005C"/>
    <w:rsid w:val="00221984"/>
    <w:rsid w:val="002E3B2F"/>
    <w:rsid w:val="00311339"/>
    <w:rsid w:val="00381105"/>
    <w:rsid w:val="00401FF0"/>
    <w:rsid w:val="005370FE"/>
    <w:rsid w:val="00595413"/>
    <w:rsid w:val="005E437A"/>
    <w:rsid w:val="006D6021"/>
    <w:rsid w:val="00774954"/>
    <w:rsid w:val="007C12A7"/>
    <w:rsid w:val="007E1034"/>
    <w:rsid w:val="00815E10"/>
    <w:rsid w:val="008518A0"/>
    <w:rsid w:val="008600E0"/>
    <w:rsid w:val="008B3D7C"/>
    <w:rsid w:val="008E5B84"/>
    <w:rsid w:val="00913675"/>
    <w:rsid w:val="009207B5"/>
    <w:rsid w:val="009C3B2B"/>
    <w:rsid w:val="00A14A5D"/>
    <w:rsid w:val="00AB6977"/>
    <w:rsid w:val="00AC1D9E"/>
    <w:rsid w:val="00AE3FD7"/>
    <w:rsid w:val="00BB1999"/>
    <w:rsid w:val="00BC4ADA"/>
    <w:rsid w:val="00BD1E18"/>
    <w:rsid w:val="00C57444"/>
    <w:rsid w:val="00CD351B"/>
    <w:rsid w:val="00DB12E4"/>
    <w:rsid w:val="00E262CE"/>
    <w:rsid w:val="00E94D66"/>
    <w:rsid w:val="00FA19BE"/>
    <w:rsid w:val="00FB0FBD"/>
    <w:rsid w:val="00FB3CFA"/>
    <w:rsid w:val="00FD44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FEA0"/>
  <w15:docId w15:val="{CB9A8596-23B0-4A3D-8DE0-4AA2AE32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4">
    <w:name w:val="Título 4"/>
    <w:basedOn w:val="Normal"/>
    <w:next w:val="Normal"/>
    <w:pPr>
      <w:ind w:firstLine="284"/>
      <w:jc w:val="center"/>
      <w:outlineLvl w:val="3"/>
    </w:pPr>
    <w:rPr>
      <w:rFonts w:ascii="Times New Roman" w:hAnsi="Times New Roman"/>
      <w:sz w:val="20"/>
    </w:rPr>
  </w:style>
  <w:style w:type="character" w:customStyle="1" w:styleId="Ttulo4Carter">
    <w:name w:val="Título 4 Caráter"/>
    <w:basedOn w:val="DefaultParagraphFont"/>
    <w:rPr>
      <w:rFonts w:ascii="Times New Roman" w:hAnsi="Times New Roman" w:cs="Times New Roman"/>
      <w:sz w:val="20"/>
    </w:rPr>
  </w:style>
  <w:style w:type="paragraph" w:styleId="ListParagraph">
    <w:name w:val="List Paragraph"/>
    <w:basedOn w:val="Normal"/>
    <w:pPr>
      <w:ind w:left="720"/>
    </w:pPr>
  </w:style>
  <w:style w:type="character" w:customStyle="1" w:styleId="PargrafodaListaCarter">
    <w:name w:val="Parágrafo da Lista Caráte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TextodebaloCarter">
    <w:name w:val="Texto de balão Caráte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TextodecomentrioCarter">
    <w:name w:val="Texto de comentário Caráter"/>
    <w:basedOn w:val="DefaultParagraphFont"/>
    <w:rPr>
      <w:sz w:val="20"/>
      <w:szCs w:val="20"/>
    </w:rPr>
  </w:style>
  <w:style w:type="paragraph" w:styleId="CommentSubject">
    <w:name w:val="annotation subject"/>
    <w:basedOn w:val="CommentText"/>
    <w:next w:val="CommentText"/>
    <w:rPr>
      <w:b/>
      <w:bCs/>
    </w:rPr>
  </w:style>
  <w:style w:type="character" w:customStyle="1" w:styleId="AssuntodecomentrioCarter">
    <w:name w:val="Assunto de comentário Caráter"/>
    <w:basedOn w:val="TextodecomentrioCarter"/>
    <w:rPr>
      <w:b/>
      <w:bCs/>
      <w:sz w:val="20"/>
      <w:szCs w:val="20"/>
    </w:rPr>
  </w:style>
  <w:style w:type="character" w:styleId="Hyperlink">
    <w:name w:val="Hyperlink"/>
    <w:basedOn w:val="DefaultParagraphFont"/>
    <w:rPr>
      <w:color w:val="0563C1"/>
      <w:u w:val="single"/>
    </w:rPr>
  </w:style>
  <w:style w:type="character" w:customStyle="1" w:styleId="MenoNoResolvida">
    <w:name w:val="Menção Não Resolvida"/>
    <w:basedOn w:val="DefaultParagraphFont"/>
    <w:rPr>
      <w:color w:val="605E5C"/>
      <w:shd w:val="clear" w:color="auto" w:fill="E1DFDD"/>
    </w:rPr>
  </w:style>
  <w:style w:type="paragraph" w:customStyle="1" w:styleId="Default">
    <w:name w:val="Default"/>
    <w:pPr>
      <w:autoSpaceDE w:val="0"/>
      <w:spacing w:after="0"/>
      <w:textAlignment w:val="auto"/>
    </w:pPr>
    <w:rPr>
      <w:rFonts w:cs="Calibri"/>
      <w:color w:val="000000"/>
      <w:sz w:val="24"/>
      <w:szCs w:val="24"/>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 standalone="yes"?>
<Relationships xmlns="http://schemas.openxmlformats.org/package/2006/relationships"><Relationship Id="rId8" Type="http://schemas.openxmlformats.org/officeDocument/2006/relationships/hyperlink" Target="https://dre.pt/web/guest/pesquisa/-/search/114337042/details/normal?l=1" TargetMode="External"/><Relationship Id="rId13" Type="http://schemas.openxmlformats.org/officeDocument/2006/relationships/hyperlink" Target="https://dre.pt/application/external/eurolex?12L0019" TargetMode="External"/><Relationship Id="rId18" Type="http://schemas.openxmlformats.org/officeDocument/2006/relationships/hyperlink" Target="https://dre.pt/web/guest/pesquisa/-/search/117484671/details/normal?l=1" TargetMode="External"/><Relationship Id="rId3" Type="http://schemas.openxmlformats.org/officeDocument/2006/relationships/styles" Target="styles.xml"/><Relationship Id="rId21" Type="http://schemas.openxmlformats.org/officeDocument/2006/relationships/hyperlink" Target="https://dre.pt/web/guest/pesquisa/-/search/114337042/details/normal?l=1" TargetMode="External"/><Relationship Id="rId7" Type="http://schemas.openxmlformats.org/officeDocument/2006/relationships/endnotes" Target="endnotes.xml"/><Relationship Id="rId12" Type="http://schemas.openxmlformats.org/officeDocument/2006/relationships/hyperlink" Target="https://dre.pt/application/external/eurolex?06L0066" TargetMode="External"/><Relationship Id="rId17" Type="http://schemas.openxmlformats.org/officeDocument/2006/relationships/hyperlink" Target="https://dre.pt/web/guest/pesquisa/-/search/114337042/details/normal?l=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e.pt/web/guest/pesquisa/-/search/114337042/details/normal?l=1" TargetMode="External"/><Relationship Id="rId20" Type="http://schemas.openxmlformats.org/officeDocument/2006/relationships/hyperlink" Target="https://dre.pt/web/guest/pesquisa/-/search/145359680/details/normal?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pt/application/external/eurolex?00L00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e.pt/application/external/eurolex?15L1535" TargetMode="External"/><Relationship Id="rId23" Type="http://schemas.openxmlformats.org/officeDocument/2006/relationships/hyperlink" Target="https://dre.pt/web/guest/pesquisa/-/search/114337042/details/normal?l=1" TargetMode="External"/><Relationship Id="rId10" Type="http://schemas.openxmlformats.org/officeDocument/2006/relationships/hyperlink" Target="https://dre.pt/application/external/eurolex?18L0852" TargetMode="External"/><Relationship Id="rId19" Type="http://schemas.openxmlformats.org/officeDocument/2006/relationships/hyperlink" Target="https://dre.pt/web/guest/pesquisa/-/search/122627506/details/normal?l=1" TargetMode="External"/><Relationship Id="rId4" Type="http://schemas.openxmlformats.org/officeDocument/2006/relationships/settings" Target="settings.xml"/><Relationship Id="rId9" Type="http://schemas.openxmlformats.org/officeDocument/2006/relationships/hyperlink" Target="https://dre.pt/application/external/eurolex?94L0062" TargetMode="External"/><Relationship Id="rId14" Type="http://schemas.openxmlformats.org/officeDocument/2006/relationships/hyperlink" Target="https://dre.pt/application/external/eurolex?18L0849" TargetMode="External"/><Relationship Id="rId22" Type="http://schemas.openxmlformats.org/officeDocument/2006/relationships/hyperlink" Target="https://dre.pt/web/guest/pesquisa/-/search/114337042/details/normal?l=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50415-889B-4084-922C-B491886F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2233</Words>
  <Characters>12730</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GSEAMB</dc:creator>
  <dc:description/>
  <cp:lastModifiedBy>Dimitris</cp:lastModifiedBy>
  <cp:revision>10</cp:revision>
  <dcterms:created xsi:type="dcterms:W3CDTF">2021-02-18T16:42:00Z</dcterms:created>
  <dcterms:modified xsi:type="dcterms:W3CDTF">2021-03-01T14:11:00Z</dcterms:modified>
</cp:coreProperties>
</file>