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Nacrt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Kraljevina Belgija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Savezna javna služba za javno zdravstvo, sigurnost prehrambenog lanca i okoliš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Kraljevska uredba o izmjeni Kraljevske uredbe od 27. svibnja 2014. o stavljanju na tržište tvari proizvedenih u nanočestičnom obliku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PHILIPPE, kralj Belgijanaca,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Pozdravljajući sve sadašnje i buduće generacije,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uzimajući u obzir članak 5. stavak 1. podstavak 1. točku 2. Zakona od 21. prosinca 1998. o normama za proizvode za promicanje održivih načina proizvodnje i obrazaca potrošnje te zaštitu okoliša, zdravlja i radnika, kako je izmijenjen zakonima od 27. prosinca 2004. i 27. srpnja 2011.,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uzimajući u obzir Kraljevsku uredbu od 27. svibnja 2014. o stavljanju na tržište tvari proizvedenih u nanočestičnom obliku, kako je izmijenjena Kraljevskom uredbom od 22. prosinca 2017.,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sudjelovanje regionalnih vlada u pripremi ove Uredbe, u okviru Međuministarske konferencije o okolišu (CIE), održane dana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Nacionalnog radničkog vijeća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Središnjeg gospodarskog vijeća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Saveznog vijeća za održivi razvoj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Vrhovnog vijeća za zdravstvo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Vijeća za zaštitu potrošača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Vrhovnog vijeća za prevenciju i zaštitu na radu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uzimajući u obzir obavijest Vijeća ministara dostavljenu u kontekstu donošenja Kraljevske uredbe od 27. svibnja 2014. o stavljanju na tržište tvari proizvedenih u nanočestičnom obliku, u skladu s kojom bi bilo primjereno odrediti prioritete kategorija proizvoda koji se registriraju,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studiju koju je 2022. provelo Sveučilište u Namuru nakon zahtjeva Vijeća ministara za ocjenjivanje proizvoda, u kojoj je istaknuto pravilno funkcioniranje i korisnost Kraljevske uredbe od 27. svibnja 2014. o stavljanju na tržište tvari proizvedenih u nanočestičnom obliku te potreba za dovršetkom sljedivosti nanomaterijala stavljenih na tržište u Belgiji provedbom odjeljka o proizvodima uz davanje prednosti određenim kategorijama proizvoda za koje je izloženost ljudi najintenzivnija ili najproblematičnija,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obzirom na pandemiju bolesti COVID-19, raširenu upotrebu maski za lice od strane neprofesionalnih potrošača i razne studije društva Sciensano o kemikalijama zabrinjavajućih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svojstava u maskama za lice, ključno je usmjeriti se na tu novu uporabu i izloženost koju ona podrazumijeva,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uzimajući u obzir mišljenje financijskog inspektorata od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suglasnost ministra proračuna koju je dao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uzimajući u obzir mišljenje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Državnog vijeća, od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>, u skladu s člankom 84. stavkom 1. podstavkom 1. točkom 2. Zakona o Državnom vijeću, pročišćenog 12. siječnja 1973.,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 prijedlog ministra gospodarstva i rada, ministra zdravstva i ministra okoliša te prema mišljenju ministara koji su raspravljali u Vijeću,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donijeli smo i donosimo: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Članak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U članku 1. Kraljevske uredbe od 27. svibnja 2014. o stavljanju na tržište tvari proizvedenih u nanočestičnom obliku uvode se sljedeće izmjene: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točke 1. i 8. prestaju važiti;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točka 9., unesena Kraljevskom uredbom od 22. prosinca 2017., prestaje važiti;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točka 4. zamjenjuje se sljedećim: „4. Prehrambeni proizvodi iz članka 1. točke 1. Zakona od 24. siječnja 1977. o zaštiti zdravlja potrošača u pogledu prehrambenih proizvoda i drugih proizvoda;”.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Članak 2. </w:t>
            </w:r>
            <w:r>
              <w:rPr>
                <w:rFonts w:ascii="Times New Roman" w:hAnsi="Times New Roman"/>
                <w:sz w:val="24"/>
              </w:rPr>
              <w:t xml:space="preserve">U članku 2. iste uredbe podstavak 1. dopunjuje se sljedećim točkama 26., 27. i 28.: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„26. kozmetički proizvod: svaka tvar ili smjesa koja je namijenjena za dodir s površinskim dijelovima ljudskog tijela (epiderma, kosa i kapilarni sustavi, nokti, usne i vanjski spolni organi) ili sa zubima i sluznicom usne šupljine kako bi ih se, isključivo ili uglavnom, čistilo, parfimiralo, mijenjalo njihov izgled, štitilo, održavalo u dobrom stanju ili kako bi se poboljšali tjelesni mirisi;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biocidni proizvod: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svaka tvar ili smjesa, u obliku u kojem se isporučuje korisniku, koja se sastoji od jedne ili više aktivnih tvari, koja je sadrži ili proizvodi, a namijenjena je uništavanju, odbijanju ili uklanjanju štetnih organizama, sprečavanju njihova djelovanja ili borbi protiv njih na bilo koji drugi način, osim pukog fizičkog ili mehaničkog djelovanja,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svaka tvar ili smjesa koju proizvode tvari ili smjese koje same po sebi nisu obuhvaćene područjem primjene prve alineje, a namijenjene su za uništavanje, odbijanje ili uklanjanje štetnih organizama, za sprečavanje njihova djelovanja ili za borbu protiv njih na bilo koji drugi način, osim pukog fizičkog ili mehaničkog djelovanja.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Tretirani proizvod koji ima uglavnom biocidnu funkciju smatra se biocidnim proizvodom;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28. materijali i predmeti koji dolaze u dodir s prehrambenim proizvodima: materijali i predmeti, uključujući aktivne i inteligentne materijale i predmete koji dolaze u dodir s prehrambenim proizvodima, koji su kao gotovi proizvod: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namijenjeni dodiru s prehrambenim proizvodima,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ili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već u dodiru s prehrambenim proizvodima i namijenjeni su za tu svrhu,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ili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za koje se razumno može očekivati da će doći u dodir s prehrambenim proizvodima ili prenijeti svoje sastojke na prehrambene proizvode u uobičajenim ili predvidivim uvjetima njihove uporabe.”.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Članak 3. </w:t>
            </w:r>
            <w:r>
              <w:rPr>
                <w:rFonts w:ascii="Times New Roman" w:hAnsi="Times New Roman"/>
                <w:sz w:val="24"/>
              </w:rPr>
              <w:t xml:space="preserve">U poglavlje 3. iste uredbe umeću se članci od 10.a do 10.c i glase kako slijedi: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 Članak 10.a Odredbe ovog poglavlja primjenjuju se na sljedeće kategorije proizvoda: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tekstilne proizvode;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proizvode za osobnu njegu i kozmetičke proizvode;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proizvode namijenjene dojenčadi i djeci;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 filtre, kuhinjsku opremu, materijale i predmete koji dolaze u dodir s prehrambenim proizvodima;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maske za lice.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Članak 10.b Za potrebe ovog poglavlja, pojam „tekstilni proizvodi” znači: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odjeća,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obuća,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sportski proizvodi, tj. sportska odjeća i ostali sportski tekstilni proizvodi,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tekstilni proizvodi osim odjeće koji u normalnim ili razumno predvidljivim uvjetima uporabe dolaze u dodir s ljudskom kožom u sličnoj mjeri kao i odjeća.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Članak 10.c Za potrebe primjene ovog poglavlja sljedeći proizvodi tretiraju se kako slijedi: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Proizvodi za osobnu njegu i kozmetički proizvodi: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frizerski pribor i pribor za šminkanje,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mali aparati koji se koriste za tijelo, zube i kosu,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kozmetički proizvodi.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Proizvodi namijenjeni dojenčadi i djeci: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proizvodi za njegu djece,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igračke.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Filtri, kuhinjska oprema, materijali i predmeti koji dolaze u dodir s prehrambenim proizvodima: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filtri za vodu,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filtri za nape,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kuhinjski pribor,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električni proizvodi i kuhinjski uređaji,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ambalaža za hranu i proizvodi za čuvanje hrane.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Maske za lice: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proizvodi koji se nanose na nos i usta, tkani ili netkani, koji se upotrebljavaju za filtriranje izdahnutog ili udahnutog zraka.”.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Članak 4. </w:t>
            </w:r>
            <w:r>
              <w:rPr>
                <w:rFonts w:ascii="Times New Roman" w:hAnsi="Times New Roman"/>
                <w:sz w:val="24"/>
              </w:rPr>
              <w:t>U članku 11. iste uredbe stavak 1. točka 2. zamjenjuje se sljedećim: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„2. Količina veća od 100 grama najmanje jedne od tih tvari proizvedenih u nanočestičnom obliku ili količina od najmanje tisuću komada složenog proizvoda ili predmeta stavlja se na tržište tijekom kalendarske godine u kojoj se odvija obavješćivanje;”.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Članak 5. </w:t>
            </w:r>
            <w:r>
              <w:rPr>
                <w:rFonts w:ascii="Times New Roman" w:hAnsi="Times New Roman"/>
                <w:sz w:val="24"/>
              </w:rPr>
              <w:t>U članku 24. iste uredbe stavak 1. podstavak 3. zamjenjuje se sljedećim: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 Članci od 10.a do 17. stupaju na snagu 1. siječnja 2025.”.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Članak 6. </w:t>
            </w:r>
            <w:r>
              <w:rPr>
                <w:rFonts w:ascii="Times New Roman" w:hAnsi="Times New Roman"/>
                <w:sz w:val="24"/>
              </w:rPr>
              <w:tab/>
              <w:t>Za provedbu ove uredbe odgovorni su ministar gospodarstva, ministar rada, ministar javnog zdravstva i ministar okoliša.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A840CE">
            <w:pPr>
              <w:pageBreakBefore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Za                                , dana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 ime kralja,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potpredsjednik vlade i ministar gospodarstva i rada,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ministar javnog zdravstva,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ministrica okoliša,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25006">
    <w:abstractNumId w:val="6"/>
  </w:num>
  <w:num w:numId="2" w16cid:durableId="301472690">
    <w:abstractNumId w:val="1"/>
  </w:num>
  <w:num w:numId="3" w16cid:durableId="881819059">
    <w:abstractNumId w:val="8"/>
  </w:num>
  <w:num w:numId="4" w16cid:durableId="297497185">
    <w:abstractNumId w:val="2"/>
  </w:num>
  <w:num w:numId="5" w16cid:durableId="353645">
    <w:abstractNumId w:val="5"/>
  </w:num>
  <w:num w:numId="6" w16cid:durableId="2051569814">
    <w:abstractNumId w:val="4"/>
  </w:num>
  <w:num w:numId="7" w16cid:durableId="1133249491">
    <w:abstractNumId w:val="3"/>
  </w:num>
  <w:num w:numId="8" w16cid:durableId="497886717">
    <w:abstractNumId w:val="0"/>
  </w:num>
  <w:num w:numId="9" w16cid:durableId="740366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840CE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hr-HR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hr-HR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2023-02-27T09:46:00Z</dcterms:modified>
</cp:coreProperties>
</file>