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EEE5" w14:textId="77777777" w:rsidR="0023656E" w:rsidRDefault="00956B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Rozporządzenie nr 2024-316 z dnia 5 kwietnia 2024 r. w sprawie wskaźnika trwałości sprzętu elektrycznego i elektronicznego</w:t>
      </w:r>
    </w:p>
    <w:p w14:paraId="16D700DD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NR REF.: TRED2329205D</w:t>
      </w:r>
    </w:p>
    <w:p w14:paraId="7D920524" w14:textId="192AB7B9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ELI: </w:t>
      </w:r>
      <w:hyperlink r:id="rId4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https://www.legifrance.gouv.fr/eli/decret/2024/4/5/TRED2329205D/jo/texte</w:t>
        </w:r>
      </w:hyperlink>
    </w:p>
    <w:p w14:paraId="6CAA6AAE" w14:textId="783AAEE7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Alias: </w:t>
      </w:r>
      <w:hyperlink r:id="rId5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https://www.legifrance.gouv.fr/eli/decret/2024/4/5/2024-316/jo/texte</w:t>
        </w:r>
      </w:hyperlink>
    </w:p>
    <w:p w14:paraId="2AC6BE26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Dziennik Urzędowy Republiki Francuskiej (JORF) nr 0082 z dnia 7 kwietnia 2024 r.</w:t>
      </w:r>
    </w:p>
    <w:p w14:paraId="7693BB8D" w14:textId="7098A389" w:rsidR="0023656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Tekst nr 21</w:t>
      </w:r>
    </w:p>
    <w:p w14:paraId="1C8F13CD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Grupa docelowa: producenci, importerzy, dystrybutorzy lub inni dostawcy sprzętu elektrycznego i elektronicznego, sprzedawcy tego sprzętu oraz ci, którzy korzystają ze strony internetowej, platformy lub innego kanału dystrybucji online w ramach swojej działalności handlowej we Francji. </w:t>
      </w:r>
      <w:r>
        <w:rPr>
          <w:rFonts w:ascii="Times New Roman" w:hAnsi="Times New Roman"/>
          <w:sz w:val="24"/>
        </w:rPr>
        <w:br/>
        <w:t xml:space="preserve">Przedmiot: przepisy wykonawcze dotyczące wskaźnika trwałości określonego w art. L. 541-9-2 kodeksu ochrony środowiska. </w:t>
      </w:r>
      <w:r>
        <w:rPr>
          <w:rFonts w:ascii="Times New Roman" w:hAnsi="Times New Roman"/>
          <w:sz w:val="24"/>
        </w:rPr>
        <w:br/>
        <w:t xml:space="preserve">Wejście w życie: tekst wchodzi w życie następnego dnia po jego opublikowaniu. </w:t>
      </w:r>
      <w:r>
        <w:rPr>
          <w:rFonts w:ascii="Times New Roman" w:hAnsi="Times New Roman"/>
          <w:sz w:val="24"/>
        </w:rPr>
        <w:br/>
        <w:t xml:space="preserve">Zawiadomienie: niniejsze rozporządzenie określa przepisy wykonawcze do art. L. 541-9-2 kodeksu ochrony środowiska, który przewiduje wprowadzenie wskaźnika trwałości dla niektórych kategorii sprzętu elektrycznego i elektronicznego. Określa on w szczególności kryteria i parametry obliczeń stosowanych do ustalenia tego wskaźnika, jak również ogólne ramy obowiązków związanych z jego komunikacją i prezentacją. </w:t>
      </w:r>
      <w:r>
        <w:rPr>
          <w:rFonts w:ascii="Times New Roman" w:hAnsi="Times New Roman"/>
          <w:sz w:val="24"/>
        </w:rPr>
        <w:br/>
        <w:t xml:space="preserve">Odniesienia: niniejsze rozporządzenie jest dostępne do wglądu na stronie internetowej Légifrance (https://www.legifrance.gouv.fr). </w:t>
      </w:r>
    </w:p>
    <w:p w14:paraId="286486BA" w14:textId="77777777" w:rsidR="00366729" w:rsidRDefault="00956BE5" w:rsidP="0036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Premier,</w:t>
      </w:r>
    </w:p>
    <w:p w14:paraId="4F0D4103" w14:textId="77777777" w:rsidR="00366729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odnosząc się do sprawozdania ministra gospodarki, finansów oraz suwerenności przemysłowej i cyfrowej oraz ministra transformacji ekologicznej i spójności terytorialnej,</w:t>
      </w:r>
    </w:p>
    <w:p w14:paraId="37F75173" w14:textId="442EB61D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uwzględniając dyrektywę (UE) 2015/1535 Parlamentu Europejskiego i Rady z dnia 9 września 2015 r. ustanawiająca procedurę udzielania informacji w dziedzinie przepisów technicznych oraz zasad dotyczących usług społeczeństwa informacyjnego oraz powiadomienie 2023/477-481/FR przesłane do Komisji Europejskiej w dniu 2 sierpnia 2023 r. i uzyskane na nie odpowiedzi z dnia 27 października 2023 r. i 5 lutego 2024 r.,</w:t>
      </w:r>
      <w:r>
        <w:rPr>
          <w:rFonts w:ascii="Times New Roman" w:hAnsi="Times New Roman"/>
          <w:sz w:val="24"/>
        </w:rPr>
        <w:br/>
        <w:t>uwzględniając kodeks ochrony środowiska, w szczególności jego art. 541-9-1, L. 541-9-2, L. 541-9-4 oraz L. 541-9-4-1,</w:t>
      </w:r>
      <w:r>
        <w:rPr>
          <w:rFonts w:ascii="Times New Roman" w:hAnsi="Times New Roman"/>
          <w:sz w:val="24"/>
        </w:rPr>
        <w:br/>
        <w:t>uwzględniając kodeks stosunków między społeczeństwem a administracją, w szczególności jego Księgę III,</w:t>
      </w:r>
      <w:r>
        <w:rPr>
          <w:rFonts w:ascii="Times New Roman" w:hAnsi="Times New Roman"/>
          <w:sz w:val="24"/>
        </w:rPr>
        <w:br/>
        <w:t>uwzględniając uwagi zgłoszone podczas konsultacji społecznych przeprowadzonych w dniach od 5 września do 13 października 2023 r. zgodnie z art. L. 123-19-1 kodeksu ochrony środowiska,</w:t>
      </w:r>
      <w:r>
        <w:rPr>
          <w:rFonts w:ascii="Times New Roman" w:hAnsi="Times New Roman"/>
          <w:sz w:val="24"/>
        </w:rPr>
        <w:br/>
        <w:t>po wysłuchaniu Rady Stanu (Sekcja ds. Robót Publicznych),</w:t>
      </w:r>
      <w:r>
        <w:rPr>
          <w:rFonts w:ascii="Times New Roman" w:hAnsi="Times New Roman"/>
          <w:sz w:val="24"/>
        </w:rPr>
        <w:br/>
        <w:t>rozporządza, co następuje:</w:t>
      </w:r>
    </w:p>
    <w:p w14:paraId="25FC888A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 1</w:t>
      </w:r>
    </w:p>
    <w:p w14:paraId="640ECED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W tytule IV księgi V sekcji 9 rozdziału I części regulacyjnej kodeksu ochrony środowiska dodaje się podsekcję 2 w brzmieniu: </w:t>
      </w:r>
    </w:p>
    <w:p w14:paraId="27226E4B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 Podsekcja 2</w:t>
      </w:r>
      <w:r>
        <w:rPr>
          <w:rFonts w:ascii="Times New Roman" w:hAnsi="Times New Roman"/>
          <w:sz w:val="24"/>
        </w:rPr>
        <w:br/>
        <w:t xml:space="preserve">„Prezentacja wskaźnika trwałości dotyczącego sprzętu elektrycznego i elektronicznego </w:t>
      </w:r>
    </w:p>
    <w:p w14:paraId="6EEDF8B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Artykuł R. 541-215. – Niniejsza podsekcja ma zastosowanie do kategorii nowego sprzętu elektrycznego i elektronicznego określonych na mocy rozporządzenia ministrów właściwych ds. środowiska i gospodarki. </w:t>
      </w:r>
    </w:p>
    <w:p w14:paraId="3A6AF9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Artykuł R. 541-216. – Wskaźnik trwałości ustanowiony przez producentów lub importerów zgodnie z art. L. 541-9-2 II składa się z oceny punktowej ustalonej dla każdego modelu sprzętu zgodnie z procedurami określonymi poniżej. Ta punktacja jest prezentowana konsumentom w momencie zakupu sprzętu. </w:t>
      </w:r>
      <w:r>
        <w:rPr>
          <w:rFonts w:ascii="Times New Roman" w:hAnsi="Times New Roman"/>
          <w:sz w:val="24"/>
        </w:rPr>
        <w:br/>
        <w:t xml:space="preserve">„ Wskaźnik trwałości zastępuje wskaźnik możliwości naprawy przewidziany w ust. I artykułu L. 541-9-2 od dnia wejścia w życie zobowiązań dotyczących wskaźnika trwałości dla danej kategorii sprzętu. </w:t>
      </w:r>
    </w:p>
    <w:p w14:paraId="34FF8F0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Art. R 541-217.– Do celów niniejszej podsekcji stosuje się następujące definicje: </w:t>
      </w:r>
      <w:r>
        <w:rPr>
          <w:rFonts w:ascii="Times New Roman" w:hAnsi="Times New Roman"/>
          <w:sz w:val="24"/>
        </w:rPr>
        <w:br/>
        <w:t xml:space="preserve">1. „udostępnienie na rynku” oznacza dowolną dostawę, w ramach działalności handlowej, sprzętu przeznaczonego do dystrybucji lub użytkowania na rynku krajowym, odpłatnie lub nieodpłatnie; </w:t>
      </w:r>
      <w:r>
        <w:rPr>
          <w:rFonts w:ascii="Times New Roman" w:hAnsi="Times New Roman"/>
          <w:sz w:val="24"/>
        </w:rPr>
        <w:br/>
        <w:t xml:space="preserve">2. „wprowadzenie do obrotu” oznacza pierwsze udostępnienie sprzętu na rynku krajowym; </w:t>
      </w:r>
      <w:r>
        <w:rPr>
          <w:rFonts w:ascii="Times New Roman" w:hAnsi="Times New Roman"/>
          <w:sz w:val="24"/>
        </w:rPr>
        <w:br/>
        <w:t xml:space="preserve">3. „producent” oznacza każdą osobę fizyczną lub prawną, która wytwarza sprzęt lub zleca jego zaprojektowanie i wprowadzenie do obrotu pod własną nazwą lub marką; </w:t>
      </w:r>
      <w:r>
        <w:rPr>
          <w:rFonts w:ascii="Times New Roman" w:hAnsi="Times New Roman"/>
          <w:sz w:val="24"/>
        </w:rPr>
        <w:br/>
        <w:t xml:space="preserve">4. „importer” oznacza każdą osobę fizyczną lub prawną wprowadzającą do obrotu krajowego sprzęt z państw członkowskich Unii Europejskiej lub z krajów trzecich; </w:t>
      </w:r>
      <w:r>
        <w:rPr>
          <w:rFonts w:ascii="Times New Roman" w:hAnsi="Times New Roman"/>
          <w:sz w:val="24"/>
        </w:rPr>
        <w:br/>
        <w:t xml:space="preserve">5. „dystrybutor” oznacza każdą osobę fizyczną lub prawną w łańcuchu dostaw, inną niż producent lub importer, która oferuje sprzęt do sprzedaży na rynku krajowym; </w:t>
      </w:r>
      <w:r>
        <w:rPr>
          <w:rFonts w:ascii="Times New Roman" w:hAnsi="Times New Roman"/>
          <w:sz w:val="24"/>
        </w:rPr>
        <w:br/>
        <w:t xml:space="preserve">6. „sprzedawca” oznacza każdą osobę fizyczną lub prawną, która w ramach działalności handlowej udostępnia konsumentom sprzęt na rynku poprzez sprzedaż, w tym na odległość; </w:t>
      </w:r>
      <w:r>
        <w:rPr>
          <w:rFonts w:ascii="Times New Roman" w:hAnsi="Times New Roman"/>
          <w:sz w:val="24"/>
        </w:rPr>
        <w:br/>
        <w:t xml:space="preserve">7. „sprzedaż na odległość” oznacza umowę zawartą na odległość między profesjonalnym sprzedawcą a konsumentem w ramach zorganizowanego systemu sprzedaży, bez jednoczesnej fizycznej obecności przedsiębiorcy i konsumenta, z wyłącznym wykorzystaniem jednego lub większej liczby środków porozumiewania się na odległość do chwili zawarcia umowy; </w:t>
      </w:r>
      <w:r>
        <w:rPr>
          <w:rFonts w:ascii="Times New Roman" w:hAnsi="Times New Roman"/>
          <w:sz w:val="24"/>
        </w:rPr>
        <w:br/>
        <w:t xml:space="preserve">8. „ model” oznacza wersję produktu, której wszystkie egzemplarze mają te same właściwości techniczne istotne w kontekście obliczania wskaźnika, </w:t>
      </w:r>
      <w:r>
        <w:rPr>
          <w:rFonts w:ascii="Times New Roman" w:hAnsi="Times New Roman"/>
          <w:sz w:val="24"/>
        </w:rPr>
        <w:br/>
        <w:t xml:space="preserve">9. „modele równoważne” oznacza grupę modeli posiadających takie same właściwości techniczne istotne dla celów badania niezawodności, które ma być przeprowadzone i wprowadzanych do obrotu lub oddawanych do użytku przez tego samego producenta, importera lub innego sprzedawcę jako inny model z innym oznaczeniem modelu. </w:t>
      </w:r>
    </w:p>
    <w:p w14:paraId="664ACBEA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„ Artykuł R 541-218.I.– Producenci lub importerzy ustalają, w odniesieniu do sprzętu, który wprowadzają do obrotu, wskaźnik trwałości oraz parametry, które umożliwiły jego ustalenie zgodnie z procedurami określonymi w rozporządzeniu ministrów właściwych ds. środowiska i gospodarki. </w:t>
      </w:r>
      <w:r>
        <w:rPr>
          <w:rFonts w:ascii="Times New Roman" w:hAnsi="Times New Roman"/>
          <w:sz w:val="24"/>
        </w:rPr>
        <w:br/>
        <w:t xml:space="preserve">II.- Producenci lub importerzy przekazują następujące informacje, w formacie elektronicznym i nieodpłatnie, również dystrybutorom lub sprzedawcom, w momencie sporządzania wykazu i dostawy sprzętu, w odniesieniu do każdego modelu sprzętu wprowadzanego do obrotu:  </w:t>
      </w:r>
      <w:r>
        <w:rPr>
          <w:rFonts w:ascii="Times New Roman" w:hAnsi="Times New Roman"/>
          <w:sz w:val="24"/>
        </w:rPr>
        <w:br/>
        <w:t xml:space="preserve">1. Wskaźnik trwałości zgodnie z warunkami i oznaczeniami przewidzianymi w rozporządzeniu, o którym mowa w I, </w:t>
      </w:r>
      <w:r>
        <w:rPr>
          <w:rFonts w:ascii="Times New Roman" w:hAnsi="Times New Roman"/>
          <w:sz w:val="24"/>
        </w:rPr>
        <w:br/>
        <w:t xml:space="preserve">2. Tabelę zawierającą szczegółowe informacje na temat elementów uwzględnionych w ocenie wskaźnika trwałości, zgodnie z formatem prezentacji przewidzianym w rozporządzeniu, o którym mowa w pkt I. </w:t>
      </w:r>
    </w:p>
    <w:p w14:paraId="67E6F352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 III.- W przypadku gdy dystrybutor nie jest jednocześnie sprzedawcą, dystrybutor przekazuje nieodpłatnie sprzedawcy, na warunkach, o których mowa w pkt 1 i 2 II, wskaźnik oraz tabelę, o której mowa w II, w momencie sporządzenia wykazu i dostawy sprzętu elektrycznego i elektronicznego. </w:t>
      </w:r>
      <w:r>
        <w:rPr>
          <w:rFonts w:ascii="Times New Roman" w:hAnsi="Times New Roman"/>
          <w:sz w:val="24"/>
        </w:rPr>
        <w:br/>
        <w:t xml:space="preserve">„ IV.- Wskaźnik może być dodatkowo umieszczony na każdym urządzeniu lub na opakowaniu za pomocą etykiety lub oznakowania, przestrzegając przy tym oznaczeń określonych w rozporządzeniu, o którym mowa w I. </w:t>
      </w:r>
    </w:p>
    <w:p w14:paraId="4B1F359E" w14:textId="17C1264C" w:rsidR="0023656E" w:rsidRDefault="00956BE5" w:rsidP="00956BE5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 V.- Informacje, o których mowa w pkt II, są udostępniane do publicznej wiadomości drogą elektroniczną i przekazywane nieodpłatnie przez producentów lub importerów każdej osobie, która o nie wystąpi w terminie pięciu dni roboczych przez okres co najmniej 2 lat od wprowadzenia do obrotu ostatniego egzemplarza modelu sprzętu. </w:t>
      </w:r>
    </w:p>
    <w:p w14:paraId="0758D71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Artykuł R. 541-219. – Organ administracyjny zapewnia scentralizowany dostęp do informacji, o których mowa w art. R. 541-218 II, na warunkach określonych poniżej. </w:t>
      </w:r>
      <w:r>
        <w:rPr>
          <w:rFonts w:ascii="Times New Roman" w:hAnsi="Times New Roman"/>
          <w:sz w:val="24"/>
        </w:rPr>
        <w:br/>
        <w:t xml:space="preserve">„ Dla każdej kategorii urządzeń wskaźnik, parametry obliczeniowe wykorzystanie do jego ustalenia, z wyłączeniem tych, które dotyczą ceny części zamiennych, jak również informacje dotyczące identyfikacji modeli i metod obliczania punktacji są publicznie rozpowszechniane przez jeden portal międzyresortowy, o którym mowa w art. R. 321-8 kodeksu stosunków między społeczeństwem a administracją. </w:t>
      </w:r>
      <w:r>
        <w:rPr>
          <w:rFonts w:ascii="Times New Roman" w:hAnsi="Times New Roman"/>
          <w:sz w:val="24"/>
        </w:rPr>
        <w:br/>
        <w:t xml:space="preserve">„ Dane te są przekazywane i udostępniane do publicznej wiadomości na odpowiedzialność producenta lub importera zgodnie ze schematem danych dostępnym na tym portalu. W zarządzeniu ministrów właściwych ds. środowiska i gospodarki określa się, w razie potrzeby, warunki techniczne wdrażania systemu danych. </w:t>
      </w:r>
      <w:r>
        <w:rPr>
          <w:rFonts w:ascii="Times New Roman" w:hAnsi="Times New Roman"/>
          <w:sz w:val="24"/>
        </w:rPr>
        <w:br/>
        <w:t xml:space="preserve">„ Dane te można ponownie wykorzystać na warunkach określonych w dziale II Księgi III kodeksu stosunków między społeczeństwem a administracją oraz na warunkach licencji otwartej, o których mowa w art. D. 323-2-1 pkt 1 I tego kodeksu. </w:t>
      </w:r>
      <w:r>
        <w:rPr>
          <w:rFonts w:ascii="Times New Roman" w:hAnsi="Times New Roman"/>
          <w:sz w:val="24"/>
        </w:rPr>
        <w:br/>
        <w:t xml:space="preserve">„ Jeżeli obliczenie wartości wskaźnika trwałości dla danego modelu zostanie zaktualizowane, dane te są aktualizowane w okresie nieprzekraczającym jednego miesiąca. </w:t>
      </w:r>
    </w:p>
    <w:p w14:paraId="763FC439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Artykuł R 541-220.-I.- Jeżeli sprzęt jest oferowany do sprzedaży w sklepach, sprzedawca prezentuje w sposób i za pomocą oznakowania przewidzianego w rozporządzeniu, o którym mowa w art. I R. 541-218, wskaźnik trwałości w widoczny, czytelny i łatwo dostępny sposób, na każdym sprzęcie oferowanym do sprzedaży lub w </w:t>
      </w:r>
      <w:r>
        <w:rPr>
          <w:rFonts w:ascii="Times New Roman" w:hAnsi="Times New Roman"/>
          <w:sz w:val="24"/>
        </w:rPr>
        <w:lastRenderedPageBreak/>
        <w:t xml:space="preserve">jego bezpośrednim sąsiedztwie. </w:t>
      </w:r>
      <w:r>
        <w:rPr>
          <w:rFonts w:ascii="Times New Roman" w:hAnsi="Times New Roman"/>
          <w:sz w:val="24"/>
        </w:rPr>
        <w:br/>
        <w:t xml:space="preserve">„ II.- W przypadku, gdy sprzęt jest oferowany do sprzedaży na odległość, sprzedawca umieszcza wskaźnik trwałości w sposób widoczny, czytelny i łatwo dostępny w prezentacji sprzętu i na wszystkich stronach internetowych, na których oferuje się zakup sprzętu, w pobliżu wskazania jego ceny, zgodnie z procedurami i oznakowaniem przewidzianym w rozporządzeniu, o którym mowa w art. R. 541-218. Obowiązek ten nie ma zastosowania do stron podsumowania zamówienia i płatności. </w:t>
      </w:r>
      <w:r>
        <w:rPr>
          <w:rFonts w:ascii="Times New Roman" w:hAnsi="Times New Roman"/>
          <w:sz w:val="24"/>
        </w:rPr>
        <w:br/>
        <w:t xml:space="preserve">„ III.- Sprzedawca udostępnia również konsumentom tabelę, o której mowa w pkt 2 II artykułu R. 541-218, w drodze odpowiedniego procesu. Jeżeli sprzęt jest oferowany do sprzedaży w sklepie, umieszcza się na półce wyświetlacz informujący konsumenta o istnieniu tabeli i możliwości uzyskania do niej dostępu. Na żądanie klienta wydaje się jej egzemplarz w formie papierowej lub elektronicznej, zgodnie z wyborem klienta. Jeżeli sprzęt jest oferowany do sprzedaży online, ta tabela powinna być dostępna bezpośrednio na stronach internetowych, na których prezentowany jest wskaźnik trwałości. </w:t>
      </w:r>
    </w:p>
    <w:p w14:paraId="0757B42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 Art. R. 541-221.-I.- Wskaźnik trwałości oblicza się na podstawie następujących kryteriów i parametrów: </w:t>
      </w:r>
      <w:r>
        <w:rPr>
          <w:rFonts w:ascii="Times New Roman" w:hAnsi="Times New Roman"/>
          <w:sz w:val="24"/>
        </w:rPr>
        <w:br/>
        <w:t xml:space="preserve">1. Punktacji ustalonej w skali od 0 do 10 dotyczącej możliwości naprawy sprzętu z uwzględnieniem dostępności dokumentacji technicznej, łatwości demontażu oraz dostępności i ceny części zamiennych, </w:t>
      </w:r>
      <w:r>
        <w:rPr>
          <w:rFonts w:ascii="Times New Roman" w:hAnsi="Times New Roman"/>
          <w:sz w:val="24"/>
        </w:rPr>
        <w:br/>
        <w:t xml:space="preserve">2. Punktacji ustalonej w skali od 0 do 10 dotyczącej niezawodności sprzętu z uwzględnieniem m.in. odporności na naprężenia i zużycie, łatwości konserwacji i serwisowania, a także istnienia gwarancji handlowej i procesu jakości, </w:t>
      </w:r>
      <w:r>
        <w:rPr>
          <w:rFonts w:ascii="Times New Roman" w:hAnsi="Times New Roman"/>
          <w:sz w:val="24"/>
        </w:rPr>
        <w:br/>
        <w:t xml:space="preserve">3. W stosownych przypadkach, punktacji ustalonej w skali od 0 do 10 odnoszącej się do aktualizacji oprogramowania i sprzętu, </w:t>
      </w:r>
      <w:r>
        <w:rPr>
          <w:rFonts w:ascii="Times New Roman" w:hAnsi="Times New Roman"/>
          <w:sz w:val="24"/>
        </w:rPr>
        <w:br/>
        <w:t xml:space="preserve">„ Wskaźnik trwałości oblicza się na podstawie punktacji, o których mowa w pkt 1 i 2, oraz, w stosownych przypadkach, w pkt 3. Jest on wyrażany jako ogólny wynik w skali od 0 do 10. </w:t>
      </w:r>
      <w:r>
        <w:rPr>
          <w:rFonts w:ascii="Times New Roman" w:hAnsi="Times New Roman"/>
          <w:sz w:val="24"/>
        </w:rPr>
        <w:br/>
        <w:t xml:space="preserve">„ II.- Dla każdej kategorii uwzględnionego sprzętu, rozporządzenie ministrów środowiska i gospodarki określa wszystkie uwzględniane kryteria oraz podkryteria, a także metody obliczania wskaźnika. </w:t>
      </w:r>
      <w:r>
        <w:rPr>
          <w:rFonts w:ascii="Times New Roman" w:hAnsi="Times New Roman"/>
          <w:sz w:val="24"/>
        </w:rPr>
        <w:br/>
        <w:t>„ Rozporządzenie, o którym mowa w art. R. 541-218 pkt I, może przewidywać, że niektóre kryteria lub podkryteria odnoszące się do niezawodności sprzętu mogą zostać ustanowione dla pojedynczego modelu dla zestawu modeli, które można uznać za równoważne.”</w:t>
      </w:r>
    </w:p>
    <w:p w14:paraId="4AA5D504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 2</w:t>
      </w:r>
    </w:p>
    <w:p w14:paraId="56E9C66E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Artykuł R. 541-211 kodeksu ochrony środowiska otrzymuje brzmienie: </w:t>
      </w:r>
    </w:p>
    <w:p w14:paraId="616E4A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 Artykuł R. 541-211. - Do celów niniejszej podsekcji stosuje się definicje przewidziane w art. R. 541-217 pkt 1-8.”</w:t>
      </w:r>
    </w:p>
    <w:p w14:paraId="5F3A14FC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 3</w:t>
      </w:r>
    </w:p>
    <w:p w14:paraId="5244038D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Podsekcje 2, 3 i 4 sekcji 9 rozdziału I działu IV Księgi V części regulacyjnej kodeksu </w:t>
      </w:r>
      <w:r>
        <w:rPr>
          <w:rFonts w:ascii="Times New Roman" w:hAnsi="Times New Roman"/>
          <w:sz w:val="24"/>
        </w:rPr>
        <w:lastRenderedPageBreak/>
        <w:t xml:space="preserve">ochrony środowiska stają się odpowiednio podsekcjami 3, 4 i 5 tej samej sekcji. </w:t>
      </w:r>
      <w:r>
        <w:rPr>
          <w:rFonts w:ascii="Times New Roman" w:hAnsi="Times New Roman"/>
          <w:sz w:val="24"/>
        </w:rPr>
        <w:br/>
        <w:t xml:space="preserve">Artykuły D. 541-215 do D. 541-219 kodeksu ochrony środowiska stają się odpowiednio artykułami D. 541-222 do D. 541-226 tego kodeksu, artykuły R. 541-220 do R. 541-223 kodeksu ochrony środowiska stają się odpowiednio artykułami R. 541-227 do R. 541-230 tego kodeksu, a artykuły D. 541-225 do D. 541-232-1 kodeksu ochrony środowiska stają się odpowiednio artykułami D. 541-231 do D. 541-239 tego kodeksu. </w:t>
      </w:r>
      <w:r>
        <w:rPr>
          <w:rFonts w:ascii="Times New Roman" w:hAnsi="Times New Roman"/>
          <w:sz w:val="24"/>
        </w:rPr>
        <w:br/>
        <w:t>W obowiązujących rozporządzeniach odpowiednio zmienia się odniesienia do przepisów art. D. 541-215 do D. 541-232-1 kodeksu ochrony środowiska.</w:t>
      </w:r>
    </w:p>
    <w:p w14:paraId="164929AB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4.</w:t>
      </w:r>
    </w:p>
    <w:p w14:paraId="0FD038C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Gospodarki, Finansów oraz Suwerenności Przemysłowej i Cyfrowej oraz Minister Transformacji Ekologicznej i Spójności Terytorialnej jest odpowiedzialny za stosowanie niniejszego rozporządzenia, które zostanie opublikowane w Dzienniku Urzędowym Republiki Francuskiej.</w:t>
      </w:r>
    </w:p>
    <w:p w14:paraId="421DD6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Sporządzono dnia 5 kwietnia 2024 r.</w:t>
      </w:r>
    </w:p>
    <w:p w14:paraId="0DCDC5CA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Gabriel Attal</w:t>
      </w:r>
      <w:r>
        <w:rPr>
          <w:rFonts w:ascii="Times New Roman" w:hAnsi="Times New Roman"/>
          <w:sz w:val="24"/>
        </w:rPr>
        <w:br/>
        <w:t>W imieniu Premiera:</w:t>
      </w:r>
    </w:p>
    <w:p w14:paraId="2A297E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Transformacji Ekologicznej i Spójności Terytorialnej,</w:t>
      </w:r>
      <w:r>
        <w:rPr>
          <w:rFonts w:ascii="Times New Roman" w:hAnsi="Times New Roman"/>
          <w:sz w:val="24"/>
        </w:rPr>
        <w:br/>
        <w:t>Christophe Béchu</w:t>
      </w:r>
    </w:p>
    <w:p w14:paraId="14F9C159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Gospodarki, Finansów oraz Suwerenności Przemysłowej i Cyfrowej,</w:t>
      </w:r>
      <w:r>
        <w:rPr>
          <w:rFonts w:ascii="Times New Roman" w:hAnsi="Times New Roman"/>
          <w:sz w:val="24"/>
        </w:rPr>
        <w:br/>
        <w:t>Bruno Le Maire</w:t>
      </w:r>
    </w:p>
    <w:p w14:paraId="4C7B3C76" w14:textId="77777777" w:rsidR="0023656E" w:rsidRDefault="0023656E"/>
    <w:sectPr w:rsidR="0023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6E"/>
    <w:rsid w:val="00162288"/>
    <w:rsid w:val="0023656E"/>
    <w:rsid w:val="00366729"/>
    <w:rsid w:val="007B3CEE"/>
    <w:rsid w:val="009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403D"/>
  <w15:chartTrackingRefBased/>
  <w15:docId w15:val="{FD5B4176-1E84-4468-A5A1-BF138CC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word-break-all">
    <w:name w:val="word-break-all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7B3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eli/decret/2024/4/5/2024-316/jo/texte" TargetMode="External"/><Relationship Id="rId4" Type="http://schemas.openxmlformats.org/officeDocument/2006/relationships/hyperlink" Target="https://www.legifrance.gouv.fr/eli/decret/2024/4/5/TRED2329205D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10626</Characters>
  <Application>Microsoft Office Word</Application>
  <DocSecurity>0</DocSecurity>
  <Lines>204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KARADEMIR Emma</dc:creator>
  <cp:keywords>class='Internal'</cp:keywords>
  <dc:description/>
  <cp:lastModifiedBy>Ragnhild Efraimsson</cp:lastModifiedBy>
  <cp:revision>2</cp:revision>
  <dcterms:created xsi:type="dcterms:W3CDTF">2024-05-06T08:44:00Z</dcterms:created>
  <dcterms:modified xsi:type="dcterms:W3CDTF">2024-05-06T08:44:00Z</dcterms:modified>
</cp:coreProperties>
</file>