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6043F" w:rsidRPr="002217AD" w14:paraId="4B918421" w14:textId="77777777" w:rsidTr="0066043F">
        <w:tc>
          <w:tcPr>
            <w:tcW w:w="5000" w:type="pct"/>
          </w:tcPr>
          <w:p w14:paraId="35850805" w14:textId="77777777" w:rsidR="0066043F" w:rsidRPr="00DD5BDD" w:rsidRDefault="0066043F" w:rsidP="005B3FB9">
            <w:pPr>
              <w:spacing w:before="240"/>
              <w:jc w:val="center"/>
              <w:rPr>
                <w:b/>
                <w:bCs/>
                <w:caps/>
              </w:rPr>
            </w:pPr>
            <w:r>
              <w:rPr>
                <w:b/>
                <w:caps/>
              </w:rPr>
              <w:t>Βασίλειο του Βελγίου</w:t>
            </w:r>
          </w:p>
        </w:tc>
      </w:tr>
      <w:tr w:rsidR="0066043F" w:rsidRPr="002217AD" w14:paraId="5338082C" w14:textId="77777777" w:rsidTr="0066043F">
        <w:tc>
          <w:tcPr>
            <w:tcW w:w="5000" w:type="pct"/>
          </w:tcPr>
          <w:p w14:paraId="2886B770" w14:textId="77777777" w:rsidR="0066043F" w:rsidRPr="002217AD" w:rsidRDefault="0066043F" w:rsidP="005B3FB9">
            <w:pPr>
              <w:spacing w:before="240"/>
              <w:jc w:val="center"/>
              <w:rPr>
                <w:b/>
                <w:bCs/>
              </w:rPr>
            </w:pPr>
            <w:r>
              <w:rPr>
                <w:b/>
              </w:rPr>
              <w:t>_________</w:t>
            </w:r>
          </w:p>
        </w:tc>
      </w:tr>
      <w:tr w:rsidR="0066043F" w:rsidRPr="002217AD" w14:paraId="01058409" w14:textId="77777777" w:rsidTr="0066043F">
        <w:tc>
          <w:tcPr>
            <w:tcW w:w="5000" w:type="pct"/>
          </w:tcPr>
          <w:p w14:paraId="279E5A93" w14:textId="77777777" w:rsidR="0066043F" w:rsidRPr="002217AD" w:rsidRDefault="0066043F" w:rsidP="005B3FB9">
            <w:pPr>
              <w:spacing w:before="240"/>
              <w:jc w:val="center"/>
              <w:rPr>
                <w:b/>
                <w:bCs/>
              </w:rPr>
            </w:pPr>
          </w:p>
        </w:tc>
      </w:tr>
      <w:tr w:rsidR="0066043F" w:rsidRPr="002217AD" w14:paraId="6055F6C0" w14:textId="77777777" w:rsidTr="0066043F">
        <w:tc>
          <w:tcPr>
            <w:tcW w:w="5000" w:type="pct"/>
          </w:tcPr>
          <w:p w14:paraId="4BA6FD73" w14:textId="77777777" w:rsidR="0066043F" w:rsidRPr="00DD5BDD" w:rsidRDefault="0066043F" w:rsidP="005B3FB9">
            <w:pPr>
              <w:spacing w:before="240"/>
              <w:jc w:val="center"/>
              <w:rPr>
                <w:b/>
                <w:bCs/>
                <w:caps/>
              </w:rPr>
            </w:pPr>
            <w:r>
              <w:rPr>
                <w:b/>
                <w:caps/>
              </w:rPr>
              <w:t>Ομοσπονδιακή Δημόσια Υπηρεσία Δικαιοσύνης</w:t>
            </w:r>
          </w:p>
        </w:tc>
      </w:tr>
      <w:tr w:rsidR="0066043F" w:rsidRPr="002217AD" w14:paraId="4B0C7A9F" w14:textId="77777777" w:rsidTr="0066043F">
        <w:tc>
          <w:tcPr>
            <w:tcW w:w="5000" w:type="pct"/>
          </w:tcPr>
          <w:p w14:paraId="5CE7FE1D" w14:textId="77777777" w:rsidR="0066043F" w:rsidRPr="002217AD" w:rsidRDefault="0066043F" w:rsidP="005B3FB9">
            <w:pPr>
              <w:spacing w:before="240"/>
              <w:jc w:val="both"/>
              <w:rPr>
                <w:b/>
                <w:bCs/>
              </w:rPr>
            </w:pPr>
          </w:p>
        </w:tc>
      </w:tr>
      <w:tr w:rsidR="0066043F" w:rsidRPr="001262B1" w14:paraId="135E58F9" w14:textId="77777777" w:rsidTr="0066043F">
        <w:tc>
          <w:tcPr>
            <w:tcW w:w="5000" w:type="pct"/>
          </w:tcPr>
          <w:p w14:paraId="38C908AB" w14:textId="514268E2" w:rsidR="0066043F" w:rsidRPr="001262B1" w:rsidRDefault="0066043F" w:rsidP="005B3FB9">
            <w:pPr>
              <w:spacing w:before="240"/>
              <w:jc w:val="both"/>
              <w:rPr>
                <w:b/>
                <w:bCs/>
              </w:rPr>
            </w:pPr>
            <w:r>
              <w:rPr>
                <w:b/>
              </w:rPr>
              <w:t>7 ΜΑΙΟΣ 2024 – Νόμος για την τροποποίηση του νόμου της 7ης Μαΐου 1999 σχετικά με τα τυχερά παιχνίδια, τα στοιχήματα, τις εγκαταστάσεις τυχερών παιχνιδιών και την προστασία των παικτών και για τη θέσπιση διαφόρων διατάξεων για τα τυχερά παιχνίδια (1)</w:t>
            </w:r>
          </w:p>
        </w:tc>
      </w:tr>
      <w:tr w:rsidR="0066043F" w:rsidRPr="002217AD" w14:paraId="6CCA7224" w14:textId="77777777" w:rsidTr="0066043F">
        <w:tc>
          <w:tcPr>
            <w:tcW w:w="5000" w:type="pct"/>
          </w:tcPr>
          <w:p w14:paraId="2587FB8F" w14:textId="77777777" w:rsidR="0066043F" w:rsidRPr="00010994" w:rsidRDefault="0066043F" w:rsidP="005B3FB9">
            <w:pPr>
              <w:spacing w:before="240"/>
              <w:jc w:val="both"/>
            </w:pPr>
          </w:p>
        </w:tc>
      </w:tr>
      <w:tr w:rsidR="0066043F" w14:paraId="18274E42" w14:textId="77777777" w:rsidTr="0066043F">
        <w:tc>
          <w:tcPr>
            <w:tcW w:w="5000" w:type="pct"/>
          </w:tcPr>
          <w:p w14:paraId="2D89BD13" w14:textId="77777777" w:rsidR="0066043F" w:rsidRDefault="0066043F" w:rsidP="005B3FB9">
            <w:pPr>
              <w:spacing w:before="240"/>
              <w:jc w:val="both"/>
            </w:pPr>
            <w:r>
              <w:t>Ο ΦΙΛΙΠΠΟΣ, Βασιλιάς των Βέλγων,</w:t>
            </w:r>
          </w:p>
        </w:tc>
      </w:tr>
      <w:tr w:rsidR="0066043F" w:rsidRPr="002217AD" w14:paraId="7AB666BB" w14:textId="77777777" w:rsidTr="0066043F">
        <w:tc>
          <w:tcPr>
            <w:tcW w:w="5000" w:type="pct"/>
          </w:tcPr>
          <w:p w14:paraId="36F1F0FA" w14:textId="77777777" w:rsidR="0066043F" w:rsidRPr="002217AD" w:rsidRDefault="0066043F" w:rsidP="005B3FB9">
            <w:pPr>
              <w:spacing w:before="240"/>
              <w:jc w:val="both"/>
            </w:pPr>
            <w:r>
              <w:t>Χαιρετίζει όλους τους πολίτες, παρόντες και μελλοντικούς.</w:t>
            </w:r>
          </w:p>
        </w:tc>
      </w:tr>
      <w:tr w:rsidR="0066043F" w:rsidRPr="002217AD" w14:paraId="2C083866" w14:textId="77777777" w:rsidTr="0066043F">
        <w:tc>
          <w:tcPr>
            <w:tcW w:w="5000" w:type="pct"/>
          </w:tcPr>
          <w:p w14:paraId="429011D0" w14:textId="77777777" w:rsidR="0066043F" w:rsidRPr="002217AD" w:rsidRDefault="0066043F" w:rsidP="005B3FB9">
            <w:pPr>
              <w:spacing w:before="240"/>
              <w:jc w:val="both"/>
            </w:pPr>
            <w:r>
              <w:t>Η Βουλή των Αντιπροσώπων ενέκρινε και Εμείς θεσπίζουμε τα εξής:</w:t>
            </w:r>
          </w:p>
        </w:tc>
      </w:tr>
      <w:tr w:rsidR="0066043F" w:rsidRPr="0082140B" w14:paraId="09544200" w14:textId="77777777" w:rsidTr="0066043F">
        <w:tc>
          <w:tcPr>
            <w:tcW w:w="5000" w:type="pct"/>
          </w:tcPr>
          <w:p w14:paraId="526860BE" w14:textId="77777777" w:rsidR="0066043F" w:rsidRPr="0082140B" w:rsidRDefault="0066043F" w:rsidP="005B3FB9">
            <w:pPr>
              <w:spacing w:before="240"/>
              <w:jc w:val="center"/>
            </w:pPr>
            <w:r>
              <w:t xml:space="preserve">ΚΕΦΑΛΑΙΟ 1. – </w:t>
            </w:r>
            <w:r>
              <w:rPr>
                <w:i/>
              </w:rPr>
              <w:t>Γενικές διατάξεις</w:t>
            </w:r>
          </w:p>
        </w:tc>
      </w:tr>
      <w:tr w:rsidR="0066043F" w:rsidRPr="002217AD" w14:paraId="19F0334F" w14:textId="77777777" w:rsidTr="0066043F">
        <w:tc>
          <w:tcPr>
            <w:tcW w:w="5000" w:type="pct"/>
          </w:tcPr>
          <w:p w14:paraId="0074BFD6" w14:textId="77777777" w:rsidR="0066043F" w:rsidRPr="002217AD" w:rsidRDefault="0066043F" w:rsidP="005B3FB9">
            <w:pPr>
              <w:spacing w:before="240"/>
              <w:jc w:val="both"/>
            </w:pPr>
            <w:r>
              <w:rPr>
                <w:b/>
              </w:rPr>
              <w:t xml:space="preserve">Άρθρο 1. </w:t>
            </w:r>
            <w:r>
              <w:t>Ο παρών νόμος ρυθμίζει ζήτημα το οποίο προβλέπεται στο άρθρο 74 του Συντάγματος.</w:t>
            </w:r>
          </w:p>
        </w:tc>
      </w:tr>
      <w:tr w:rsidR="0066043F" w:rsidRPr="0082140B" w14:paraId="5B92BC29" w14:textId="77777777" w:rsidTr="0066043F">
        <w:tc>
          <w:tcPr>
            <w:tcW w:w="5000" w:type="pct"/>
          </w:tcPr>
          <w:p w14:paraId="2EED2AE1" w14:textId="77777777" w:rsidR="0066043F" w:rsidRPr="0082140B" w:rsidRDefault="0066043F" w:rsidP="005B3FB9">
            <w:pPr>
              <w:spacing w:before="240"/>
              <w:jc w:val="center"/>
            </w:pPr>
            <w:r>
              <w:t xml:space="preserve">ΚΕΦΑΛΑΙΟ 2 – </w:t>
            </w:r>
            <w:r>
              <w:rPr>
                <w:i/>
              </w:rPr>
              <w:t>Τροποποιήσεις του νόμου της 7ης Μαΐου 1999 σχετικά με τα τυχερά παιχνίδια, τα στοιχήματα, τις εγκαταστάσεις τυχερών παιχνιδιών και την προστασία των παικτών</w:t>
            </w:r>
          </w:p>
        </w:tc>
      </w:tr>
      <w:tr w:rsidR="0066043F" w:rsidRPr="002217AD" w14:paraId="44C8AD35" w14:textId="77777777" w:rsidTr="0066043F">
        <w:tc>
          <w:tcPr>
            <w:tcW w:w="5000" w:type="pct"/>
          </w:tcPr>
          <w:p w14:paraId="27495EDB" w14:textId="77777777" w:rsidR="0066043F" w:rsidRPr="002217AD" w:rsidRDefault="0066043F" w:rsidP="005B3FB9">
            <w:pPr>
              <w:spacing w:before="240"/>
              <w:jc w:val="both"/>
            </w:pPr>
            <w:r>
              <w:rPr>
                <w:b/>
              </w:rPr>
              <w:t>Άρθρο 2.</w:t>
            </w:r>
            <w:r>
              <w:t xml:space="preserve"> Το άρθρο 4 του νόμου της 7ης Μαΐου 1999 σχετικά με τα τυχερά παιχνίδια, τα στοιχήματα, τις εγκαταστάσεις τυχερών παιχνιδιών και την προστασία των παικτών, το οποίο αντικαταστάθηκε από τον νόμο της 10ης Ιανουαρίου 2010, συμπληρώνεται με τις παραγράφους 4 και 5 που διατυπώνονται ως εξής:</w:t>
            </w:r>
          </w:p>
        </w:tc>
      </w:tr>
      <w:tr w:rsidR="0066043F" w:rsidRPr="002217AD" w14:paraId="44597AC5" w14:textId="77777777" w:rsidTr="0066043F">
        <w:tc>
          <w:tcPr>
            <w:tcW w:w="5000" w:type="pct"/>
          </w:tcPr>
          <w:p w14:paraId="61A9A630" w14:textId="77777777" w:rsidR="0066043F" w:rsidRPr="002217AD" w:rsidRDefault="0066043F" w:rsidP="005B3FB9">
            <w:pPr>
              <w:spacing w:before="240"/>
              <w:jc w:val="both"/>
            </w:pPr>
            <w:r>
              <w:t>«Παράγραφος 4. Απαγορεύεται σε οποιοδήποτε πρόσωπο να χρησιμοποιεί, σε οποιαδήποτε μορφή, προσωπικά δεδομένα που δεν του ανήκουν με σκοπό την πρόσβαση σε εγκατάσταση τυχερών παιχνιδιών ή τη συμμετοχή σε τυχερά παιχνίδια.</w:t>
            </w:r>
          </w:p>
        </w:tc>
      </w:tr>
      <w:tr w:rsidR="0066043F" w:rsidRPr="002217AD" w14:paraId="02D0F5C0" w14:textId="77777777" w:rsidTr="0066043F">
        <w:tc>
          <w:tcPr>
            <w:tcW w:w="5000" w:type="pct"/>
          </w:tcPr>
          <w:p w14:paraId="37C7B0A8" w14:textId="77777777" w:rsidR="0066043F" w:rsidRPr="002217AD" w:rsidRDefault="0066043F" w:rsidP="005B3FB9">
            <w:pPr>
              <w:spacing w:before="240"/>
              <w:jc w:val="both"/>
            </w:pPr>
            <w:r>
              <w:t>Απαγορεύεται σε οποιοδήποτε πρόσωπο να διαθέσει προσωπικά δεδομένα σε άλλο πρόσωπο σε οποιαδήποτε μορφή, γνωρίζοντας ότι τα δεδομένα αυτά θα χρησιμοποιηθούν με σκοπό την πρόσβαση σε εγκατάσταση τυχερών παιχνιδιών ή τη συμμετοχή σε τυχερά παιχνίδια.</w:t>
            </w:r>
          </w:p>
        </w:tc>
      </w:tr>
      <w:tr w:rsidR="0066043F" w:rsidRPr="002217AD" w14:paraId="6769D09B" w14:textId="77777777" w:rsidTr="0066043F">
        <w:tc>
          <w:tcPr>
            <w:tcW w:w="5000" w:type="pct"/>
          </w:tcPr>
          <w:p w14:paraId="25707CA0" w14:textId="77777777" w:rsidR="0066043F" w:rsidRPr="002217AD" w:rsidRDefault="0066043F" w:rsidP="005B3FB9">
            <w:pPr>
              <w:spacing w:before="240"/>
              <w:jc w:val="both"/>
            </w:pPr>
            <w:r>
              <w:t>Για τους σκοπούς της παρούσας παραγράφου, ως «δεδομένα προσωπικού χαρακτήρα» νοούνται τα δεδομένα προσωπικού χαρακτήρα όπως ορίζονται στο άρθρο 4 παράγραφος 1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tc>
      </w:tr>
      <w:tr w:rsidR="0066043F" w:rsidRPr="002217AD" w14:paraId="53A76D84" w14:textId="77777777" w:rsidTr="0066043F">
        <w:tc>
          <w:tcPr>
            <w:tcW w:w="5000" w:type="pct"/>
          </w:tcPr>
          <w:p w14:paraId="6174A9EA" w14:textId="77777777" w:rsidR="0066043F" w:rsidRPr="002217AD" w:rsidRDefault="0066043F" w:rsidP="005B3FB9">
            <w:pPr>
              <w:spacing w:before="240"/>
              <w:jc w:val="both"/>
            </w:pPr>
            <w:r>
              <w:t>Παράγραφος 5. Απαγορεύεται σε κάθε πρόσωπο να επιτρέπει την πρόσβαση σε εγκατάσταση τυχερών παιχνιδιών ή την άσκηση τυχερών παιχνιδιών σε πρόσωπα για τα οποία η εν λόγω πρόσβαση ή πρακτική δεν επιτρέπεται σύμφωνα με το άρθρο 54.».</w:t>
            </w:r>
          </w:p>
        </w:tc>
      </w:tr>
      <w:tr w:rsidR="0066043F" w:rsidRPr="002217AD" w14:paraId="6EF83FF4" w14:textId="77777777" w:rsidTr="0066043F">
        <w:tc>
          <w:tcPr>
            <w:tcW w:w="5000" w:type="pct"/>
          </w:tcPr>
          <w:p w14:paraId="5921564A" w14:textId="77777777" w:rsidR="0066043F" w:rsidRPr="002217AD" w:rsidRDefault="0066043F" w:rsidP="005B3FB9">
            <w:pPr>
              <w:spacing w:before="240"/>
              <w:jc w:val="both"/>
            </w:pPr>
            <w:r>
              <w:rPr>
                <w:b/>
              </w:rPr>
              <w:lastRenderedPageBreak/>
              <w:t>Άρθρο 3.</w:t>
            </w:r>
            <w:r>
              <w:t xml:space="preserve"> Το άρθρο 8/1 προστίθεται στον ίδιο νόμο ως εξής:</w:t>
            </w:r>
          </w:p>
        </w:tc>
      </w:tr>
      <w:tr w:rsidR="0066043F" w:rsidRPr="002217AD" w14:paraId="3D79F3FB" w14:textId="77777777" w:rsidTr="0066043F">
        <w:tc>
          <w:tcPr>
            <w:tcW w:w="5000" w:type="pct"/>
          </w:tcPr>
          <w:p w14:paraId="44BA6322" w14:textId="77777777" w:rsidR="0066043F" w:rsidRPr="002217AD" w:rsidRDefault="0066043F" w:rsidP="005B3FB9">
            <w:pPr>
              <w:spacing w:before="240"/>
              <w:jc w:val="both"/>
            </w:pPr>
            <w:r>
              <w:t>«Άρθρο 8/1 Η υπηρεσία διαμεσολάβησης καταναλωτών που αναφέρεται στο άρθρο XVI.5 του κώδικα οικονομικού δικαίου λαμβάνει και διεκπεραιώνει αιτήματα για την εξωδικαστική επίλυση καταναλωτικών διαφορών σχετικών με τυχερά παιχνίδια σύμφωνα με τις διατάξεις του άρθρου 2 του κεφαλαίου 3 του τίτλου 3 του βιβλίου XVI του εν λόγω κώδικα.</w:t>
            </w:r>
          </w:p>
        </w:tc>
      </w:tr>
      <w:tr w:rsidR="0066043F" w:rsidRPr="002217AD" w14:paraId="13E0619B" w14:textId="77777777" w:rsidTr="0066043F">
        <w:tc>
          <w:tcPr>
            <w:tcW w:w="5000" w:type="pct"/>
          </w:tcPr>
          <w:p w14:paraId="0A91BBDA" w14:textId="77777777" w:rsidR="0066043F" w:rsidRPr="002217AD" w:rsidRDefault="0066043F" w:rsidP="005B3FB9">
            <w:pPr>
              <w:spacing w:before="240"/>
              <w:jc w:val="both"/>
            </w:pPr>
            <w:r>
              <w:t>Όταν η αίτηση αφορά παράβαση του παρόντος νόμου ή των εκτελεστικών διατάξεών του, η υπηρεσία διαμεσολάβησης καταναλωτών τον διαβιβάζει στην Επιτροπή».</w:t>
            </w:r>
          </w:p>
        </w:tc>
      </w:tr>
      <w:tr w:rsidR="0066043F" w:rsidRPr="002217AD" w14:paraId="6EC78BD6" w14:textId="77777777" w:rsidTr="0066043F">
        <w:tc>
          <w:tcPr>
            <w:tcW w:w="5000" w:type="pct"/>
          </w:tcPr>
          <w:p w14:paraId="220D2EC2" w14:textId="77777777" w:rsidR="0066043F" w:rsidRPr="002217AD" w:rsidRDefault="0066043F" w:rsidP="005B3FB9">
            <w:pPr>
              <w:spacing w:before="240"/>
              <w:jc w:val="both"/>
            </w:pPr>
            <w:r>
              <w:rPr>
                <w:b/>
              </w:rPr>
              <w:t>Άρθρο 4.</w:t>
            </w:r>
            <w:r>
              <w:t xml:space="preserve"> Στο άρθρο 15 παράγραφος 1 εδάφιο 4 σημείο 2 του εν λόγω νόμου, μεταξύ του κειμένου «απαιτείται η κοινοποίηση όλων των εγγράφων» και του κειμένου «μπορεί να είναι χρήσιμο για την έρευνά τους» παρεμβάλλεται το κείμενο «και ιδίως το μητρώο των επαγγελματιών που αναφέρονται στο άρθρο 55/4 και οι εικόνες κάμερας παρακολούθησης που τοποθετούνται από τους φορείς εκμετάλλευσης σύμφωνα με τον νόμο της 21ης Μαρτίου 2007·».</w:t>
            </w:r>
          </w:p>
        </w:tc>
      </w:tr>
      <w:tr w:rsidR="0066043F" w:rsidRPr="002217AD" w14:paraId="2853B46D" w14:textId="77777777" w:rsidTr="0066043F">
        <w:tc>
          <w:tcPr>
            <w:tcW w:w="5000" w:type="pct"/>
          </w:tcPr>
          <w:p w14:paraId="784C75E4" w14:textId="77777777" w:rsidR="0066043F" w:rsidRPr="002217AD" w:rsidRDefault="0066043F" w:rsidP="005B3FB9">
            <w:pPr>
              <w:spacing w:before="240"/>
              <w:jc w:val="both"/>
            </w:pPr>
            <w:r>
              <w:rPr>
                <w:b/>
              </w:rPr>
              <w:t>Άρθρο 5.</w:t>
            </w:r>
            <w:r>
              <w:t xml:space="preserve"> Στο άρθρο 15/2 του ίδιου νόμου, που προστέθηκε με τον νόμο της 10ης Ιανουαρίου 2010 και αντικαταστάθηκε με τον νόμο της 7ης Μαΐου 2019, πραγματοποιούνται οι ακόλουθες τροποποιήσεις</w:t>
            </w:r>
          </w:p>
        </w:tc>
      </w:tr>
      <w:tr w:rsidR="0066043F" w:rsidRPr="002217AD" w14:paraId="0651BAC9" w14:textId="77777777" w:rsidTr="0066043F">
        <w:tc>
          <w:tcPr>
            <w:tcW w:w="5000" w:type="pct"/>
          </w:tcPr>
          <w:p w14:paraId="2E3D722C" w14:textId="77777777" w:rsidR="0066043F" w:rsidRPr="002217AD" w:rsidRDefault="0066043F" w:rsidP="005B3FB9">
            <w:pPr>
              <w:spacing w:before="240"/>
              <w:jc w:val="both"/>
            </w:pPr>
            <w:r>
              <w:t>1) στην παράγραφο 2 εδάφιο 1 σημείο 3, το κείμενο «πρόσωπο ηλικίας κάτω των 18 ετών» αντικαθίσταται από το κείμενο «πρόσωπο ηλικίας κάτω των 21 ετών.».</w:t>
            </w:r>
          </w:p>
        </w:tc>
      </w:tr>
      <w:tr w:rsidR="0066043F" w:rsidRPr="002217AD" w14:paraId="658582C2" w14:textId="77777777" w:rsidTr="0066043F">
        <w:tc>
          <w:tcPr>
            <w:tcW w:w="5000" w:type="pct"/>
          </w:tcPr>
          <w:p w14:paraId="0877585C" w14:textId="77777777" w:rsidR="0066043F" w:rsidRPr="002217AD" w:rsidRDefault="0066043F" w:rsidP="005B3FB9">
            <w:pPr>
              <w:spacing w:before="240"/>
              <w:jc w:val="both"/>
            </w:pPr>
            <w:r>
              <w:t>2) στην παράγραφο 3 εδάφιο 1 σημείο 2, το κείμενο «πρόσωπο ηλικίας κάτω των 18 ετών· » αντικαθίσταται από το κείμενο «πρόσωπο ηλικίας κάτω των 21 ετών· ”.</w:t>
            </w:r>
          </w:p>
        </w:tc>
      </w:tr>
      <w:tr w:rsidR="0066043F" w:rsidRPr="002217AD" w14:paraId="7967A93B" w14:textId="77777777" w:rsidTr="0066043F">
        <w:tc>
          <w:tcPr>
            <w:tcW w:w="5000" w:type="pct"/>
          </w:tcPr>
          <w:p w14:paraId="4DF6354D" w14:textId="77777777" w:rsidR="0066043F" w:rsidRPr="002217AD" w:rsidRDefault="0066043F" w:rsidP="005B3FB9">
            <w:pPr>
              <w:spacing w:before="240"/>
              <w:jc w:val="both"/>
            </w:pPr>
            <w:r>
              <w:rPr>
                <w:b/>
              </w:rPr>
              <w:t>Άρθρο 6.</w:t>
            </w:r>
            <w:r>
              <w:t xml:space="preserve"> Στο άρθρο 15/3 παράγραφος 1 του ίδιου νόμου, που προστέθηκε με τον νόμο της 10ης Ιανουαρίου 2010, αντικαταστάθηκε με τον νόμο της 7ης Μαΐου 2019 και τροποποιήθηκε τελευταία με τον νόμο της 18ης Ιανουαρίου 2024, το κείμενο «46, 54, 58, 60, 62 και οι διατάξεις που θεσπίζονται κατ’ εφαρμογή των άρθρων αυτών και του άρθρου 61 παράγραφος 2» αντικαθίσταται με το κείμενο «46, 58, 60, 61 παράγραφοι 2 και 3 και τις διατάξεις που θεσπίζονται κατ’ εφαρμογή των άρθρων αυτών».</w:t>
            </w:r>
          </w:p>
        </w:tc>
      </w:tr>
      <w:tr w:rsidR="0066043F" w:rsidRPr="002217AD" w14:paraId="1E4CEBD0" w14:textId="77777777" w:rsidTr="0066043F">
        <w:tc>
          <w:tcPr>
            <w:tcW w:w="5000" w:type="pct"/>
          </w:tcPr>
          <w:p w14:paraId="18D4299B" w14:textId="77777777" w:rsidR="0066043F" w:rsidRPr="002217AD" w:rsidRDefault="0066043F" w:rsidP="005B3FB9">
            <w:pPr>
              <w:spacing w:before="240"/>
              <w:jc w:val="both"/>
            </w:pPr>
            <w:r>
              <w:rPr>
                <w:b/>
              </w:rPr>
              <w:t>Άρθρο 7.</w:t>
            </w:r>
            <w:r>
              <w:t xml:space="preserve"> Στο άρθρο 20 του ίδιου νόμου, όπως τροποποιήθηκε με τους νόμους της 10ης Ιανουαρίου 2010 και της 18ης Σεπτεμβρίου 2017, το εδάφιο 3 αντικαθίσταται με το ακόλουθο κείμενο:</w:t>
            </w:r>
          </w:p>
        </w:tc>
      </w:tr>
      <w:tr w:rsidR="0066043F" w:rsidRPr="002217AD" w14:paraId="6899992B" w14:textId="77777777" w:rsidTr="0066043F">
        <w:tc>
          <w:tcPr>
            <w:tcW w:w="5000" w:type="pct"/>
          </w:tcPr>
          <w:p w14:paraId="07FF4F80" w14:textId="77777777" w:rsidR="0066043F" w:rsidRPr="002217AD" w:rsidRDefault="0066043F" w:rsidP="005B3FB9">
            <w:pPr>
              <w:spacing w:before="240"/>
              <w:jc w:val="both"/>
            </w:pPr>
            <w:r>
              <w:t>«Η Επιτροπή λαμβάνει καταγγελίες σχετικά με την εφαρμογή και την εκτέλεση του παρόντος νόμου και των εκτελεστικών διατάξεών του σύμφωνα με τις διαδικασίες που καθορίζει η Επιτροπή.»</w:t>
            </w:r>
          </w:p>
        </w:tc>
      </w:tr>
      <w:tr w:rsidR="0066043F" w:rsidRPr="002217AD" w14:paraId="0154410B" w14:textId="77777777" w:rsidTr="0066043F">
        <w:tc>
          <w:tcPr>
            <w:tcW w:w="5000" w:type="pct"/>
          </w:tcPr>
          <w:p w14:paraId="6796053F" w14:textId="77777777" w:rsidR="0066043F" w:rsidRPr="002217AD" w:rsidRDefault="0066043F" w:rsidP="005B3FB9">
            <w:pPr>
              <w:spacing w:before="240"/>
              <w:jc w:val="both"/>
            </w:pPr>
            <w:r>
              <w:rPr>
                <w:b/>
              </w:rPr>
              <w:t xml:space="preserve">Άρθρο 8. </w:t>
            </w:r>
            <w:r>
              <w:t>Το άρθρο 24 του ίδιου νόμου αντικαθίσταται με το ακόλουθο κείμενο:</w:t>
            </w:r>
          </w:p>
        </w:tc>
      </w:tr>
      <w:tr w:rsidR="0066043F" w:rsidRPr="0071317A" w14:paraId="5016A177" w14:textId="77777777" w:rsidTr="0066043F">
        <w:tc>
          <w:tcPr>
            <w:tcW w:w="5000" w:type="pct"/>
          </w:tcPr>
          <w:p w14:paraId="184FFFD7" w14:textId="77777777" w:rsidR="0066043F" w:rsidRPr="0071317A" w:rsidRDefault="0066043F" w:rsidP="005B3FB9">
            <w:pPr>
              <w:spacing w:before="240"/>
              <w:jc w:val="both"/>
            </w:pPr>
            <w:r>
              <w:t>«Άρθρο 24. Παράγραφος 1. Προκειμένου να ενισχυθεί η προστασία των παικτών, η Επιτροπή συνεδριάζει τουλάχιστον μία φορά ετησίως με τους εκπροσώπους των δικαιούχων προκειμένου να ενημερωθεί σχετικά με τις προοπτικές και τις πρωτοβουλίες των φορέων εκμετάλλευσης σε σχέση με τις εθιστικές συμπεριφορές και σχετικά με το χρέος και τους πόρους που αφιερώνουν σε αυτό.</w:t>
            </w:r>
          </w:p>
        </w:tc>
      </w:tr>
      <w:tr w:rsidR="0066043F" w:rsidRPr="002217AD" w14:paraId="3802F96C" w14:textId="77777777" w:rsidTr="0066043F">
        <w:tc>
          <w:tcPr>
            <w:tcW w:w="5000" w:type="pct"/>
          </w:tcPr>
          <w:p w14:paraId="0F3D26B7" w14:textId="77777777" w:rsidR="0066043F" w:rsidRPr="002217AD" w:rsidRDefault="0066043F" w:rsidP="005B3FB9">
            <w:pPr>
              <w:spacing w:before="240"/>
              <w:jc w:val="both"/>
            </w:pPr>
            <w:r>
              <w:t>Οι πληροφορίες αυτές κοινοποιούνται στην έκθεση που αναφέρεται στο άρθρο 16.</w:t>
            </w:r>
          </w:p>
        </w:tc>
      </w:tr>
      <w:tr w:rsidR="0066043F" w:rsidRPr="002217AD" w14:paraId="34AF8C82" w14:textId="77777777" w:rsidTr="0066043F">
        <w:tc>
          <w:tcPr>
            <w:tcW w:w="5000" w:type="pct"/>
          </w:tcPr>
          <w:p w14:paraId="65276DE3" w14:textId="77777777" w:rsidR="0066043F" w:rsidRPr="002217AD" w:rsidRDefault="0066043F" w:rsidP="005B3FB9">
            <w:pPr>
              <w:spacing w:before="240"/>
              <w:jc w:val="both"/>
            </w:pPr>
            <w:r>
              <w:t xml:space="preserve">Παράγραφος 2. Σε θέματα που εμπίπτουν στην αρμοδιότητά της, η Επιτροπή μπορεί, μετά από διαβούλευση με την Ομοσπονδιακή Δημόσια Υπηρεσία Δημόσιας Υγείας, να καταρτίζει κοινά </w:t>
            </w:r>
            <w:r>
              <w:lastRenderedPageBreak/>
              <w:t>πρωτόκολλα για την τεχνική και πρακτική εφαρμογή των νομοθετικών και κανονιστικών διατάξεων.</w:t>
            </w:r>
          </w:p>
        </w:tc>
      </w:tr>
      <w:tr w:rsidR="0066043F" w:rsidRPr="002217AD" w14:paraId="2FB6DE2D" w14:textId="77777777" w:rsidTr="0066043F">
        <w:tc>
          <w:tcPr>
            <w:tcW w:w="5000" w:type="pct"/>
          </w:tcPr>
          <w:p w14:paraId="4DAE3868" w14:textId="77777777" w:rsidR="0066043F" w:rsidRPr="002217AD" w:rsidRDefault="0066043F" w:rsidP="005B3FB9">
            <w:pPr>
              <w:spacing w:before="240"/>
              <w:jc w:val="both"/>
            </w:pPr>
            <w:r>
              <w:lastRenderedPageBreak/>
              <w:t>Εάν, εντός προθεσμίας 30 ημερών, η Ομοσπονδιακή Δημόσια Υπηρεσία Δημόσιας Υγείας δεν αποστείλει στην Επιτροπή ειδοποίηση ή αίτημα παράτασης της προθεσμίας στις 60 ημέρες, η διαδικασία συνεχίζεται χωρίς ειδοποίηση.</w:t>
            </w:r>
          </w:p>
        </w:tc>
      </w:tr>
      <w:tr w:rsidR="0066043F" w:rsidRPr="002217AD" w14:paraId="71232CCD" w14:textId="77777777" w:rsidTr="0066043F">
        <w:tc>
          <w:tcPr>
            <w:tcW w:w="5000" w:type="pct"/>
          </w:tcPr>
          <w:p w14:paraId="15762982" w14:textId="77777777" w:rsidR="0066043F" w:rsidRPr="002217AD" w:rsidRDefault="0066043F" w:rsidP="005B3FB9">
            <w:pPr>
              <w:spacing w:before="240"/>
              <w:jc w:val="both"/>
            </w:pPr>
            <w:r>
              <w:t xml:space="preserve">Η Επιτροπή δημοσιεύει τα πρωτόκολλα αυτά στη </w:t>
            </w:r>
            <w:r>
              <w:rPr>
                <w:rStyle w:val="Italic"/>
              </w:rPr>
              <w:t>Moniteur belge</w:t>
            </w:r>
            <w:r>
              <w:t xml:space="preserve"> (Επίσημη Εφημερίδα)».</w:t>
            </w:r>
          </w:p>
        </w:tc>
      </w:tr>
      <w:tr w:rsidR="0066043F" w:rsidRPr="002217AD" w14:paraId="155B7AA7" w14:textId="77777777" w:rsidTr="0066043F">
        <w:tc>
          <w:tcPr>
            <w:tcW w:w="5000" w:type="pct"/>
          </w:tcPr>
          <w:p w14:paraId="6D7AA6BC" w14:textId="77777777" w:rsidR="0066043F" w:rsidRPr="002217AD" w:rsidRDefault="0066043F" w:rsidP="005B3FB9">
            <w:pPr>
              <w:spacing w:before="240"/>
              <w:jc w:val="both"/>
            </w:pPr>
            <w:r>
              <w:rPr>
                <w:b/>
              </w:rPr>
              <w:t>Άρθρο 9.</w:t>
            </w:r>
            <w:r>
              <w:t xml:space="preserve"> Το άρθρο 42/1 προστίθεται στον ίδιο νόμο ως εξής:</w:t>
            </w:r>
          </w:p>
        </w:tc>
      </w:tr>
      <w:tr w:rsidR="0066043F" w:rsidRPr="002217AD" w14:paraId="6627EF06" w14:textId="77777777" w:rsidTr="0066043F">
        <w:tc>
          <w:tcPr>
            <w:tcW w:w="5000" w:type="pct"/>
          </w:tcPr>
          <w:p w14:paraId="717D11FC" w14:textId="77777777" w:rsidR="0066043F" w:rsidRPr="002217AD" w:rsidRDefault="0066043F" w:rsidP="005B3FB9">
            <w:pPr>
              <w:spacing w:before="240"/>
              <w:jc w:val="both"/>
            </w:pPr>
            <w:r>
              <w:t>«Άρθρο 42/1. Για να παραμείνει κάτοχος άδειας κατηγορίας Γ, ο αιτών πρέπει να συνεχίσει να πληροί τους όρους των άρθρων 41 και 42».</w:t>
            </w:r>
          </w:p>
        </w:tc>
      </w:tr>
      <w:tr w:rsidR="0066043F" w:rsidRPr="002217AD" w14:paraId="7EDAD023" w14:textId="77777777" w:rsidTr="0066043F">
        <w:tc>
          <w:tcPr>
            <w:tcW w:w="5000" w:type="pct"/>
          </w:tcPr>
          <w:p w14:paraId="2509AA66" w14:textId="77777777" w:rsidR="0066043F" w:rsidRPr="002217AD" w:rsidRDefault="0066043F" w:rsidP="005B3FB9">
            <w:pPr>
              <w:spacing w:before="240"/>
              <w:jc w:val="both"/>
            </w:pPr>
            <w:r>
              <w:rPr>
                <w:b/>
              </w:rPr>
              <w:t>Άρθρο 10.</w:t>
            </w:r>
            <w:r>
              <w:t xml:space="preserve"> Στο άρθρο 43/1 παράγραφος 1 του ίδιου νόμου, το οποίο προστέθηκε με τον νόμο της 10 Ιανουαρίου 2010 και τροποποιήθηκε με τον νόμο της 7 Μαΐου 2019, η λέξη «ανήλικοι» αντικαθίσταται από τη λέξη «πρόσωπα ηλικίας κάτω των 21 ετών».</w:t>
            </w:r>
          </w:p>
        </w:tc>
      </w:tr>
      <w:tr w:rsidR="0066043F" w:rsidRPr="00CF6D43" w14:paraId="7859C208" w14:textId="77777777" w:rsidTr="0066043F">
        <w:tc>
          <w:tcPr>
            <w:tcW w:w="5000" w:type="pct"/>
          </w:tcPr>
          <w:p w14:paraId="2B6FBAB0" w14:textId="77777777" w:rsidR="0066043F" w:rsidRPr="00CF6D43" w:rsidRDefault="0066043F" w:rsidP="005B3FB9">
            <w:pPr>
              <w:spacing w:before="240"/>
              <w:jc w:val="both"/>
            </w:pPr>
            <w:r>
              <w:rPr>
                <w:b/>
              </w:rPr>
              <w:t xml:space="preserve">Άρθρο 11. </w:t>
            </w:r>
            <w:r>
              <w:t>Στο άρθρο 43/8 του ίδιου νόμου, το οποίο προστέθηκε με τον νόμο της 10ης Ιανουαρίου 2010 και τροποποιήθηκε με τους νόμους της 7ης Μαΐου 2019 και της 28ης Νοεμβρίου 2021, πραγματοποιούνται οι ακόλουθες τροποποιήσεις:</w:t>
            </w:r>
          </w:p>
        </w:tc>
      </w:tr>
      <w:tr w:rsidR="0066043F" w:rsidRPr="006D2041" w14:paraId="0C7EB156" w14:textId="77777777" w:rsidTr="0066043F">
        <w:tc>
          <w:tcPr>
            <w:tcW w:w="5000" w:type="pct"/>
          </w:tcPr>
          <w:p w14:paraId="2675B3C7" w14:textId="77777777" w:rsidR="0066043F" w:rsidRPr="006D2041" w:rsidRDefault="0066043F" w:rsidP="005B3FB9">
            <w:pPr>
              <w:spacing w:before="240"/>
              <w:jc w:val="both"/>
              <w:rPr>
                <w:b/>
                <w:bCs/>
              </w:rPr>
            </w:pPr>
            <w:r>
              <w:t>1) στην παράγραφο 2 εδάφιο 1 το στοιχείο ε) καταργείται·</w:t>
            </w:r>
          </w:p>
        </w:tc>
      </w:tr>
      <w:tr w:rsidR="0066043F" w:rsidRPr="00F11721" w14:paraId="29535F32" w14:textId="77777777" w:rsidTr="0066043F">
        <w:tc>
          <w:tcPr>
            <w:tcW w:w="5000" w:type="pct"/>
          </w:tcPr>
          <w:p w14:paraId="7365F420" w14:textId="77777777" w:rsidR="0066043F" w:rsidRPr="00F11721" w:rsidRDefault="0066043F" w:rsidP="005B3FB9">
            <w:pPr>
              <w:spacing w:before="240"/>
              <w:jc w:val="both"/>
            </w:pPr>
            <w:r>
              <w:t>2) η παράγραφος 4 συμπληρώνεται με τρία εδάφια, τα οποία διατυπώνονται ως εξής:</w:t>
            </w:r>
          </w:p>
        </w:tc>
      </w:tr>
      <w:tr w:rsidR="0066043F" w:rsidRPr="00F11721" w14:paraId="5405EA78" w14:textId="77777777" w:rsidTr="0066043F">
        <w:tc>
          <w:tcPr>
            <w:tcW w:w="5000" w:type="pct"/>
          </w:tcPr>
          <w:p w14:paraId="7E77C678" w14:textId="77777777" w:rsidR="0066043F" w:rsidRPr="00F11721" w:rsidRDefault="0066043F" w:rsidP="005B3FB9">
            <w:pPr>
              <w:spacing w:before="240"/>
              <w:jc w:val="both"/>
              <w:rPr>
                <w:b/>
                <w:bCs/>
              </w:rPr>
            </w:pPr>
            <w:r>
              <w:t xml:space="preserve">«Η Επιτροπή τηρεί επίσης ενημερωμένο κατάλογο των διευθύνσεων URL των ιστοτόπων των φορέων εκμετάλλευσης τυχερών παιχνιδιών που θεωρεί ότι προσφέρουν, μέσω εργαλείων της κοινωνίας των πληροφοριών, τυχερά παιχνίδια στο Βέλγιο χωρίς άδεια που να τους έχει χορηγηθεί για τον σκοπό αυτό. Οι επικαιροποιήσεις του καταλόγου αυτού δημοσιεύονται στην </w:t>
            </w:r>
            <w:r>
              <w:rPr>
                <w:rStyle w:val="Italic"/>
              </w:rPr>
              <w:t>Moniteur belge</w:t>
            </w:r>
            <w:r>
              <w:t>.</w:t>
            </w:r>
          </w:p>
        </w:tc>
      </w:tr>
      <w:tr w:rsidR="0066043F" w:rsidRPr="00F11721" w14:paraId="77C2730F" w14:textId="77777777" w:rsidTr="0066043F">
        <w:tc>
          <w:tcPr>
            <w:tcW w:w="5000" w:type="pct"/>
          </w:tcPr>
          <w:p w14:paraId="0200E79F" w14:textId="77777777" w:rsidR="0066043F" w:rsidRPr="00F11721" w:rsidRDefault="0066043F" w:rsidP="005B3FB9">
            <w:pPr>
              <w:spacing w:before="240"/>
              <w:jc w:val="both"/>
            </w:pPr>
            <w:r>
              <w:t>Οι διευθύνσεις URL που περιλαμβάνονται στον κατάλογο που αναφέρεται στην παράγραφο 2 μεταβιβάζονται σε παρόχους υπηρεσιών διαδικτύου σύμφωνα με το νόμο της 13ης Ιουνίου 2005 για τις ηλεκτρονικές επικοινωνίες, ώστε να μπορούν να εμποδίζουν την πρόσβαση σε αυτές το συντομότερο δυνατόν.</w:t>
            </w:r>
          </w:p>
        </w:tc>
      </w:tr>
      <w:tr w:rsidR="0066043F" w:rsidRPr="00F11721" w14:paraId="1560EB92" w14:textId="77777777" w:rsidTr="0066043F">
        <w:tc>
          <w:tcPr>
            <w:tcW w:w="5000" w:type="pct"/>
          </w:tcPr>
          <w:p w14:paraId="79C4FE69" w14:textId="77777777" w:rsidR="0066043F" w:rsidRPr="00F11721" w:rsidRDefault="0066043F" w:rsidP="005B3FB9">
            <w:pPr>
              <w:spacing w:before="240"/>
              <w:jc w:val="both"/>
            </w:pPr>
            <w:r>
              <w:t>Ο Βασιλιάς μπορεί να θεσπίσει άλλες ρυθμίσεις σχετικά με τον κατάλογο που αναφέρεται στο εδάφιο 2».</w:t>
            </w:r>
          </w:p>
        </w:tc>
      </w:tr>
      <w:tr w:rsidR="0066043F" w14:paraId="47873ADD" w14:textId="77777777" w:rsidTr="0066043F">
        <w:tc>
          <w:tcPr>
            <w:tcW w:w="5000" w:type="pct"/>
          </w:tcPr>
          <w:p w14:paraId="423A0965" w14:textId="77777777" w:rsidR="0066043F" w:rsidRDefault="0066043F" w:rsidP="005B3FB9">
            <w:pPr>
              <w:spacing w:before="240"/>
              <w:jc w:val="both"/>
            </w:pPr>
            <w:r>
              <w:rPr>
                <w:b/>
              </w:rPr>
              <w:t xml:space="preserve">Άρθρο 12. </w:t>
            </w:r>
            <w:r>
              <w:t>Στο άρθρο 44 του ίδιου νόμου, όπως τροποποιήθηκε με τον νόμο της 10ης Ιανουαρίου 2010, πραγματοποιούνται οι ακόλουθες τροποποιήσεις:</w:t>
            </w:r>
          </w:p>
        </w:tc>
      </w:tr>
      <w:tr w:rsidR="0066043F" w14:paraId="10659864" w14:textId="77777777" w:rsidTr="0066043F">
        <w:tc>
          <w:tcPr>
            <w:tcW w:w="5000" w:type="pct"/>
          </w:tcPr>
          <w:p w14:paraId="29E9FB97" w14:textId="77777777" w:rsidR="0066043F" w:rsidRDefault="0066043F" w:rsidP="005B3FB9">
            <w:pPr>
              <w:spacing w:before="240"/>
              <w:jc w:val="both"/>
            </w:pPr>
            <w:r>
              <w:t>1) το κείμενο «και να φέρουν μονίμως το δελτίο ταυτότητας που πιστοποιεί την κατοχή της εν λόγω άδειας», αντικαθίσταται με το κείμενο «και να φέρουν μόνιμα απόδειξη αυτής»·</w:t>
            </w:r>
          </w:p>
        </w:tc>
      </w:tr>
      <w:tr w:rsidR="0066043F" w14:paraId="5833A6E3" w14:textId="77777777" w:rsidTr="0066043F">
        <w:tc>
          <w:tcPr>
            <w:tcW w:w="5000" w:type="pct"/>
          </w:tcPr>
          <w:p w14:paraId="2493E136" w14:textId="77777777" w:rsidR="0066043F" w:rsidRDefault="0066043F" w:rsidP="005B3FB9">
            <w:pPr>
              <w:spacing w:before="240"/>
              <w:jc w:val="both"/>
            </w:pPr>
            <w:r>
              <w:t>2) στο ολλανδικό κείμενο, το κείμενο «</w:t>
            </w:r>
            <w:r>
              <w:rPr>
                <w:rStyle w:val="Italic"/>
              </w:rPr>
              <w:t xml:space="preserve"> in de vorm van een identificatiekaart,</w:t>
            </w:r>
            <w:r>
              <w:t>» διαγράφεται.</w:t>
            </w:r>
          </w:p>
        </w:tc>
      </w:tr>
      <w:tr w:rsidR="0066043F" w14:paraId="2EB820C8" w14:textId="77777777" w:rsidTr="0066043F">
        <w:tc>
          <w:tcPr>
            <w:tcW w:w="5000" w:type="pct"/>
          </w:tcPr>
          <w:p w14:paraId="50963D3D" w14:textId="77777777" w:rsidR="0066043F" w:rsidRDefault="0066043F" w:rsidP="005B3FB9">
            <w:pPr>
              <w:spacing w:before="240"/>
              <w:jc w:val="both"/>
            </w:pPr>
            <w:r>
              <w:rPr>
                <w:b/>
              </w:rPr>
              <w:t>Άρθρο 13.</w:t>
            </w:r>
            <w:r>
              <w:t xml:space="preserve"> Στο σημείο 1. του άρθρου 47 του εν λόγω νόμου, το κείμενο «και το συνοδευτικό δελτίο ταυτότητας» διαγράφεται.</w:t>
            </w:r>
          </w:p>
        </w:tc>
      </w:tr>
      <w:tr w:rsidR="0066043F" w14:paraId="5161D6F3" w14:textId="77777777" w:rsidTr="0066043F">
        <w:tc>
          <w:tcPr>
            <w:tcW w:w="5000" w:type="pct"/>
          </w:tcPr>
          <w:p w14:paraId="68CE6767" w14:textId="77777777" w:rsidR="0066043F" w:rsidRDefault="0066043F" w:rsidP="005B3FB9">
            <w:pPr>
              <w:spacing w:before="240"/>
              <w:jc w:val="both"/>
            </w:pPr>
            <w:r>
              <w:rPr>
                <w:b/>
              </w:rPr>
              <w:lastRenderedPageBreak/>
              <w:t xml:space="preserve">Άρθρο 14. </w:t>
            </w:r>
            <w:r>
              <w:t>Στο άρθρο 54 παράγραφος 3 του νόμου αυτού, όπως τροποποιήθηκε με τους νόμους της 10ης Ιανουαρίου 2010 και της 17ης Μαρτίου 2013, πραγματοποιούνται οι ακόλουθες τροποποιήσεις:</w:t>
            </w:r>
          </w:p>
        </w:tc>
      </w:tr>
      <w:tr w:rsidR="0066043F" w14:paraId="16375213" w14:textId="77777777" w:rsidTr="0066043F">
        <w:tc>
          <w:tcPr>
            <w:tcW w:w="5000" w:type="pct"/>
          </w:tcPr>
          <w:p w14:paraId="317FFDC6" w14:textId="77777777" w:rsidR="0066043F" w:rsidRDefault="0066043F" w:rsidP="005B3FB9">
            <w:pPr>
              <w:spacing w:before="240"/>
              <w:jc w:val="both"/>
            </w:pPr>
            <w:r>
              <w:t xml:space="preserve">1) η εισαγωγική πρόταση αντικαθίσταται με το ακόλουθο κείμενο: </w:t>
            </w:r>
          </w:p>
        </w:tc>
      </w:tr>
      <w:tr w:rsidR="0066043F" w14:paraId="36C48A6D" w14:textId="77777777" w:rsidTr="0066043F">
        <w:tc>
          <w:tcPr>
            <w:tcW w:w="5000" w:type="pct"/>
          </w:tcPr>
          <w:p w14:paraId="63545EC5" w14:textId="77777777" w:rsidR="0066043F" w:rsidRDefault="0066043F" w:rsidP="005B3FB9">
            <w:pPr>
              <w:spacing w:before="240"/>
              <w:jc w:val="both"/>
            </w:pPr>
            <w:r>
              <w:t>«Οι κάτοχοι αδειών A, A +, B +, B +, F1 + και F2 απαγορεύουν την πρόσβαση στις αίθουσες τυχερών παιχνιδιών των κατηγοριών Ι και ΙΙ ή στα τυχερά παιχνίδια της κατηγορίας IV, τα οποία πραγματοποιούν στοιχήματα εκτός των τυχερών παιχνιδιών της κατηγορίας IV και στα τυχερά παιχνίδια που πραγματοποιούνται με μέσα της κοινωνίας της πληροφορίας, στα ακόλουθα πρόσωπα που εισέρχονται ή επιθυμούν να συμμετάσχουν σε τυχερά παιχνίδια, εξαιρουμένων των προσώπων που εισέρχονται σε αυτά για επαγγελματικούς σκοπούς, στα οποία η Επιτροπή έχει απαγορεύσει την πρόσβαση:»·</w:t>
            </w:r>
          </w:p>
        </w:tc>
      </w:tr>
      <w:tr w:rsidR="0066043F" w14:paraId="59A4CA34" w14:textId="77777777" w:rsidTr="0066043F">
        <w:tc>
          <w:tcPr>
            <w:tcW w:w="5000" w:type="pct"/>
          </w:tcPr>
          <w:p w14:paraId="2CFF4FCA" w14:textId="77777777" w:rsidR="0066043F" w:rsidRDefault="0066043F" w:rsidP="005B3FB9">
            <w:pPr>
              <w:spacing w:before="240"/>
              <w:jc w:val="both"/>
            </w:pPr>
            <w:r>
              <w:t>2) Το 4 αντικαθίσταται ως εξής:</w:t>
            </w:r>
          </w:p>
        </w:tc>
      </w:tr>
      <w:tr w:rsidR="0066043F" w14:paraId="458A6E54" w14:textId="77777777" w:rsidTr="0066043F">
        <w:tc>
          <w:tcPr>
            <w:tcW w:w="5000" w:type="pct"/>
          </w:tcPr>
          <w:p w14:paraId="21EE1438" w14:textId="77777777" w:rsidR="0066043F" w:rsidRDefault="0066043F" w:rsidP="005B3FB9">
            <w:pPr>
              <w:spacing w:before="240"/>
              <w:jc w:val="both"/>
            </w:pPr>
            <w:r>
              <w:t>«4. τα πρόσωπα που αντιμετωπίζουν πρόβλημα εθισμού στα τυχερά παιχνίδια και για τα οποία η επιτροπή έχει προβεί, κατόπιν αιτήματος οποιουδήποτε ενδιαφερομένου μέρους, σε εξαίρεση·».</w:t>
            </w:r>
          </w:p>
        </w:tc>
      </w:tr>
      <w:tr w:rsidR="0066043F" w14:paraId="16DED9C1" w14:textId="77777777" w:rsidTr="0066043F">
        <w:tc>
          <w:tcPr>
            <w:tcW w:w="5000" w:type="pct"/>
          </w:tcPr>
          <w:p w14:paraId="6AB75904" w14:textId="77777777" w:rsidR="0066043F" w:rsidRDefault="0066043F" w:rsidP="005B3FB9">
            <w:pPr>
              <w:spacing w:before="240"/>
              <w:jc w:val="both"/>
            </w:pPr>
            <w:r>
              <w:rPr>
                <w:b/>
              </w:rPr>
              <w:t xml:space="preserve">Άρθρο 15. </w:t>
            </w:r>
            <w:r>
              <w:t>Στον ίδιο νόμο προστίθεται το άρθρο 54/1, το οποίο, διατυπώνεται ως εξής:</w:t>
            </w:r>
          </w:p>
        </w:tc>
      </w:tr>
      <w:tr w:rsidR="0066043F" w14:paraId="09AA8F4A" w14:textId="77777777" w:rsidTr="0066043F">
        <w:tc>
          <w:tcPr>
            <w:tcW w:w="5000" w:type="pct"/>
          </w:tcPr>
          <w:p w14:paraId="7E5478C8" w14:textId="77777777" w:rsidR="0066043F" w:rsidRDefault="0066043F" w:rsidP="005B3FB9">
            <w:pPr>
              <w:spacing w:before="240"/>
              <w:jc w:val="both"/>
            </w:pPr>
            <w:r>
              <w:t>«Άρθρο 54/1. Παράγραφος 1. Οι κάτοχοι αδειών των κατηγοριών Α, Α+, Β, Β+, F1+ και F2, με εξαίρεση τους κατόχους αδειών F2 που αναφέρονται στο άρθρο 43/4 παράγραφος 5 εδάφιο 1, υποχρεούνται να ταυτοποιούν οποιοδήποτε πρόσωπο εισέρχεται στην αίθουσα τυχερών παιχνιδιών ή στην εγκατάσταση τυχερών παιχνιδιών ή που επιθυμεί να συμμετάσχει σε τυχερά παιχνίδια, εξαιρουμένων των ατόμων που εισέρχονται για επαγγελματικούς λόγους.</w:t>
            </w:r>
          </w:p>
        </w:tc>
      </w:tr>
      <w:tr w:rsidR="0066043F" w14:paraId="2E15C5A6" w14:textId="77777777" w:rsidTr="0066043F">
        <w:tc>
          <w:tcPr>
            <w:tcW w:w="5000" w:type="pct"/>
          </w:tcPr>
          <w:p w14:paraId="6F47BC75" w14:textId="77777777" w:rsidR="0066043F" w:rsidRDefault="0066043F" w:rsidP="005B3FB9">
            <w:pPr>
              <w:spacing w:before="240"/>
              <w:jc w:val="both"/>
            </w:pPr>
            <w:r>
              <w:t>Σκοπός της ταυτοποίησης αυτής είναι:</w:t>
            </w:r>
          </w:p>
        </w:tc>
      </w:tr>
      <w:tr w:rsidR="0066043F" w14:paraId="49C9CBB4" w14:textId="77777777" w:rsidTr="0066043F">
        <w:tc>
          <w:tcPr>
            <w:tcW w:w="5000" w:type="pct"/>
          </w:tcPr>
          <w:p w14:paraId="144C2F93" w14:textId="77777777" w:rsidR="0066043F" w:rsidRDefault="0066043F" w:rsidP="005B3FB9">
            <w:pPr>
              <w:spacing w:before="240"/>
              <w:jc w:val="both"/>
            </w:pPr>
            <w:r>
              <w:t>1) να επαληθεύεται εάν το προσκομιζόμενο έγγραφο ταυτότητας ανήκει στο πρόσωπο που αναφέρεται στο εδάφιο 1 και το προσκομίζει</w:t>
            </w:r>
          </w:p>
        </w:tc>
      </w:tr>
      <w:tr w:rsidR="0066043F" w14:paraId="442B50B4" w14:textId="77777777" w:rsidTr="0066043F">
        <w:tc>
          <w:tcPr>
            <w:tcW w:w="5000" w:type="pct"/>
          </w:tcPr>
          <w:p w14:paraId="5D98A629" w14:textId="77777777" w:rsidR="0066043F" w:rsidRDefault="0066043F" w:rsidP="005B3FB9">
            <w:pPr>
              <w:spacing w:before="240"/>
              <w:jc w:val="both"/>
            </w:pPr>
            <w:r>
              <w:t>2) να εξακριβώνεται εάν το πρόσωπο που αναφέρεται στο εδάφιο 1 είναι εξουσιοδοτημένο να έχει πρόσβαση στην αίθουσα τυχερών παιχνιδιών της εγκατάστασης τυχερών παιχνιδιών ή να συμμετέχει σε τυχερά παιχνίδια σύμφωνα με το άρθρο 54 σημεία 1–4.»</w:t>
            </w:r>
          </w:p>
        </w:tc>
      </w:tr>
      <w:tr w:rsidR="0066043F" w14:paraId="145284B1" w14:textId="77777777" w:rsidTr="0066043F">
        <w:tc>
          <w:tcPr>
            <w:tcW w:w="5000" w:type="pct"/>
          </w:tcPr>
          <w:p w14:paraId="4CC3F31D" w14:textId="77777777" w:rsidR="0066043F" w:rsidRDefault="0066043F" w:rsidP="005B3FB9">
            <w:pPr>
              <w:spacing w:before="240"/>
              <w:jc w:val="both"/>
            </w:pPr>
            <w:r>
              <w:t>Όταν υπάρχουν αμφιβολίες ως προς την αλήθεια ή την ακρίβεια της ταυτότητας του προσώπου, ο κάτοχος της άδειας πρέπει να αρνείται την πρόσβαση στην αίθουσα τυχερών παιχνιδιών της εγκατάστασης τυχερών παιχνιδιών ή τη συμμετοχή σε τυχερά παιχνίδια.</w:t>
            </w:r>
          </w:p>
        </w:tc>
      </w:tr>
      <w:tr w:rsidR="0066043F" w14:paraId="285A2EBE" w14:textId="77777777" w:rsidTr="0066043F">
        <w:tc>
          <w:tcPr>
            <w:tcW w:w="5000" w:type="pct"/>
          </w:tcPr>
          <w:p w14:paraId="3CB93605" w14:textId="77777777" w:rsidR="0066043F" w:rsidRDefault="0066043F" w:rsidP="005B3FB9">
            <w:pPr>
              <w:spacing w:before="240"/>
              <w:jc w:val="both"/>
            </w:pPr>
            <w:r>
              <w:t>Παράγραφος 2. Για τους σκοπούς της ταυτοποίησης που αναφέρεται στην παράγραφο 1, τα έγκυρα έγγραφα ταυτότητας και τα έγγραφα διαμονής που γίνονται δεκτά είναι τα ακόλουθα:</w:t>
            </w:r>
          </w:p>
        </w:tc>
      </w:tr>
      <w:tr w:rsidR="0066043F" w14:paraId="2B5E0ECB" w14:textId="77777777" w:rsidTr="0066043F">
        <w:tc>
          <w:tcPr>
            <w:tcW w:w="5000" w:type="pct"/>
          </w:tcPr>
          <w:p w14:paraId="26BFE918" w14:textId="77777777" w:rsidR="0066043F" w:rsidRDefault="0066043F" w:rsidP="005B3FB9">
            <w:pPr>
              <w:spacing w:before="240"/>
              <w:jc w:val="both"/>
            </w:pPr>
            <w:r>
              <w:t>1) το βελγικό ηλεκτρονικό δελτίο ταυτότητας·</w:t>
            </w:r>
          </w:p>
        </w:tc>
      </w:tr>
      <w:tr w:rsidR="0066043F" w14:paraId="529C39F1" w14:textId="77777777" w:rsidTr="0066043F">
        <w:tc>
          <w:tcPr>
            <w:tcW w:w="5000" w:type="pct"/>
          </w:tcPr>
          <w:p w14:paraId="526A49C0" w14:textId="77777777" w:rsidR="0066043F" w:rsidRDefault="0066043F" w:rsidP="005B3FB9">
            <w:pPr>
              <w:spacing w:before="240"/>
              <w:jc w:val="both"/>
            </w:pPr>
            <w:r>
              <w:t>2) ηλεκτρονική άδεια διαμονής ή ηλεκτρονική άδεια καταχώρισης·</w:t>
            </w:r>
          </w:p>
        </w:tc>
      </w:tr>
      <w:tr w:rsidR="0066043F" w14:paraId="7D7DA545" w14:textId="77777777" w:rsidTr="0066043F">
        <w:tc>
          <w:tcPr>
            <w:tcW w:w="5000" w:type="pct"/>
          </w:tcPr>
          <w:p w14:paraId="4E67C1AB" w14:textId="77777777" w:rsidR="0066043F" w:rsidRDefault="0066043F" w:rsidP="005B3FB9">
            <w:pPr>
              <w:spacing w:before="240"/>
              <w:jc w:val="both"/>
            </w:pPr>
            <w:r>
              <w:t>3) αλλοδαπό δελτίο ταυτότητας με τσιπ·</w:t>
            </w:r>
          </w:p>
        </w:tc>
      </w:tr>
      <w:tr w:rsidR="0066043F" w14:paraId="4BF6B337" w14:textId="77777777" w:rsidTr="0066043F">
        <w:tc>
          <w:tcPr>
            <w:tcW w:w="5000" w:type="pct"/>
          </w:tcPr>
          <w:p w14:paraId="583A3456" w14:textId="77777777" w:rsidR="0066043F" w:rsidRDefault="0066043F" w:rsidP="005B3FB9">
            <w:pPr>
              <w:spacing w:before="240"/>
              <w:jc w:val="both"/>
            </w:pPr>
            <w:r>
              <w:t xml:space="preserve">4) ειδικά ηλεκτρονικά δελτία ταυτότητας που χορηγούνται σε κατηγορίες προσωπικού που εργάζεται σε διπλωματικές και προξενικές αποστολές και στα μέλη των οικογενειών τους, σύμφωνα με τη σύμβαση της Βιέννης της 18ης Απριλίου 1961 για τις διπλωματικές σχέσεις και τη </w:t>
            </w:r>
            <w:r>
              <w:lastRenderedPageBreak/>
              <w:t>σύμβαση της Βιέννης της 24ης Απριλίου 1963 για τις προξενικές σχέσεις και το βασιλικό διάταγμα της 30ής Οκτωβρίου 1991 σχετικά με τα έγγραφα διαμονής ορισμένων αλλοδαπών στο Βέλγιο·</w:t>
            </w:r>
          </w:p>
        </w:tc>
      </w:tr>
      <w:tr w:rsidR="0066043F" w14:paraId="65A0A0E7" w14:textId="77777777" w:rsidTr="0066043F">
        <w:tc>
          <w:tcPr>
            <w:tcW w:w="5000" w:type="pct"/>
          </w:tcPr>
          <w:p w14:paraId="52461501" w14:textId="77777777" w:rsidR="0066043F" w:rsidRDefault="0066043F" w:rsidP="005B3FB9">
            <w:pPr>
              <w:spacing w:before="240"/>
              <w:jc w:val="both"/>
            </w:pPr>
            <w:r>
              <w:lastRenderedPageBreak/>
              <w:t>5) κάθε άλλο έγγραφο που καθορίζεται από τον Βασιλιά, υπό την προϋπόθεση ότι το βασιλικό διάταγμα επικυρώνεται από τον νόμο εντός έξι μηνών από τη δημοσίευση του διατάγματος αυτού.</w:t>
            </w:r>
          </w:p>
        </w:tc>
      </w:tr>
      <w:tr w:rsidR="0066043F" w14:paraId="48A8DB24" w14:textId="77777777" w:rsidTr="0066043F">
        <w:tc>
          <w:tcPr>
            <w:tcW w:w="5000" w:type="pct"/>
          </w:tcPr>
          <w:p w14:paraId="5E499A14" w14:textId="77777777" w:rsidR="0066043F" w:rsidRDefault="0066043F" w:rsidP="005B3FB9">
            <w:pPr>
              <w:spacing w:before="240"/>
              <w:jc w:val="both"/>
            </w:pPr>
            <w:r>
              <w:t>Για τους σκοπούς της παραγράφου 1 εδάφιο 2, το πρόσωπο που αναφέρεται στην παράγραφο 1 εδάφιο 1 θα ταυτοποιείται στο EPIS μέσω της ενότητας επαλήθευσης ταυτότητας e-ID για έγγραφα που αναφέρονται στο εδάφιο 1 ή μέσω ταυτοποίησης που πληροί τις απαιτήσεις σημαντικού ή υψηλού επιπέδου εγγύησης, όπως ορίζεται στο σημείο 2.2 του παραρτήματος του εκτελεστικού κανονισμού (ΕΕ) 2015/1502 της Επιτροπής, της 8ης Σεπτεμβρίου 2015, σχετικά με τη θέσπιση ελάχιστων τεχνικών προδιαγραφών και διαδικασιών για τα επίπεδα διασφάλισης των μέσων ηλεκτρονικής ταυτοποίησης σύμφωνα με το άρθρο 8 παράγραφος 3 του κανονισμού (ΕΕ) αριθ. 910/2014 του Ευρωπαϊκού Κοινοβουλίου και του Συμβουλίου σχετικά με την ηλεκτρονική ταυτοποίηση και τις υπηρεσίες εμπιστοσύνης για τις ηλεκτρονικές συναλλαγές στην εσωτερική αγορά.</w:t>
            </w:r>
          </w:p>
        </w:tc>
      </w:tr>
      <w:tr w:rsidR="0066043F" w14:paraId="3F5078AD" w14:textId="77777777" w:rsidTr="0066043F">
        <w:tc>
          <w:tcPr>
            <w:tcW w:w="5000" w:type="pct"/>
          </w:tcPr>
          <w:p w14:paraId="10EBC0CF" w14:textId="77777777" w:rsidR="0066043F" w:rsidRDefault="0066043F" w:rsidP="005B3FB9">
            <w:pPr>
              <w:spacing w:before="240"/>
              <w:jc w:val="both"/>
            </w:pPr>
            <w:r>
              <w:t>Εάν δεν είναι δυνατή η ταυτοποίηση και η εξακρίβωση της γνησιότητας με τα μέσα που αναφέρονται στα εδάφια 1 και 2, είναι δυνατό να γίνουν δεκτά μόνο τα ακόλουθα έγκυρα έγγραφα:</w:t>
            </w:r>
          </w:p>
        </w:tc>
      </w:tr>
      <w:tr w:rsidR="0066043F" w14:paraId="5F2E05B4" w14:textId="77777777" w:rsidTr="0066043F">
        <w:tc>
          <w:tcPr>
            <w:tcW w:w="5000" w:type="pct"/>
          </w:tcPr>
          <w:p w14:paraId="0D325686" w14:textId="77777777" w:rsidR="0066043F" w:rsidRDefault="0066043F" w:rsidP="005B3FB9">
            <w:pPr>
              <w:spacing w:before="240"/>
              <w:jc w:val="both"/>
            </w:pPr>
            <w:r>
              <w:t>1) αναγνωρισμένο διαβατήριο ή ισοδύναμο ταξιδιωτικό έγγραφο·</w:t>
            </w:r>
          </w:p>
        </w:tc>
      </w:tr>
      <w:tr w:rsidR="0066043F" w14:paraId="55B46EEF" w14:textId="77777777" w:rsidTr="0066043F">
        <w:tc>
          <w:tcPr>
            <w:tcW w:w="5000" w:type="pct"/>
          </w:tcPr>
          <w:p w14:paraId="039DBEFC" w14:textId="77777777" w:rsidR="0066043F" w:rsidRDefault="0066043F" w:rsidP="005B3FB9">
            <w:pPr>
              <w:spacing w:before="240"/>
              <w:jc w:val="both"/>
            </w:pPr>
            <w:r>
              <w:t>2) δελτίο ταυτότητας που έχει εκδοθεί από άλλο κράτος μέλος του Ευρωπαϊκού Οικονομικού Χώρου·</w:t>
            </w:r>
          </w:p>
        </w:tc>
      </w:tr>
      <w:tr w:rsidR="0066043F" w14:paraId="4A9C6124" w14:textId="77777777" w:rsidTr="0066043F">
        <w:tc>
          <w:tcPr>
            <w:tcW w:w="5000" w:type="pct"/>
          </w:tcPr>
          <w:p w14:paraId="0610B92B" w14:textId="77777777" w:rsidR="0066043F" w:rsidRDefault="0066043F" w:rsidP="005B3FB9">
            <w:pPr>
              <w:spacing w:before="240"/>
              <w:jc w:val="both"/>
            </w:pPr>
            <w:r>
              <w:t>3) άδεια διαμονής ή πιστοποιητικό εγγραφής χωρίς τσιπ.</w:t>
            </w:r>
          </w:p>
        </w:tc>
      </w:tr>
      <w:tr w:rsidR="0066043F" w14:paraId="0C9DA13B" w14:textId="77777777" w:rsidTr="0066043F">
        <w:tc>
          <w:tcPr>
            <w:tcW w:w="5000" w:type="pct"/>
          </w:tcPr>
          <w:p w14:paraId="6C477698" w14:textId="77777777" w:rsidR="0066043F" w:rsidRDefault="0066043F" w:rsidP="005B3FB9">
            <w:pPr>
              <w:spacing w:before="240"/>
              <w:jc w:val="both"/>
            </w:pPr>
            <w:r>
              <w:t>Ο Βασιλιάς μπορεί να καθορίσει οποιοδήποτε άλλο έγγραφο ταυτότητας ή άδεια διαμονής, υπό την προϋπόθεση ότι το βασιλικό διάταγμα επικυρώνεται από τον νόμο εντός έξι μηνών από τη δημοσίευση του εν λόγω διατάγματος.</w:t>
            </w:r>
          </w:p>
        </w:tc>
      </w:tr>
      <w:tr w:rsidR="0066043F" w14:paraId="08EBE0AB" w14:textId="77777777" w:rsidTr="0066043F">
        <w:tc>
          <w:tcPr>
            <w:tcW w:w="5000" w:type="pct"/>
          </w:tcPr>
          <w:p w14:paraId="163EF93A" w14:textId="37689395" w:rsidR="0066043F" w:rsidRDefault="0066043F" w:rsidP="005B3FB9">
            <w:pPr>
              <w:spacing w:before="240"/>
              <w:jc w:val="both"/>
            </w:pPr>
            <w:r>
              <w:t>Παράγραφος 3. Οι κάτοχοι αδειών F2 που αναφέρονται στο άρθρο 43/4 παράγραφος 5 σημείο 1 επαληθεύουν την ηλικία του παίκτη και την πιστοποιούν στο EPIS σύμφωνα με το άρθρο 54, μέσω κατάλληλου ηλεκτρονικού συστήματος τοποθετημένου στη συσκευή και το οποίο πιστοποιείται από τον διαπιστευμένο οργανισμό που αναφέρεται στο άρθρο 52 παράγραφος 2 δεύτερη περίπτωση.</w:t>
            </w:r>
          </w:p>
        </w:tc>
      </w:tr>
      <w:tr w:rsidR="0066043F" w14:paraId="6E340368" w14:textId="77777777" w:rsidTr="0066043F">
        <w:tc>
          <w:tcPr>
            <w:tcW w:w="5000" w:type="pct"/>
          </w:tcPr>
          <w:p w14:paraId="5C16B53E" w14:textId="77777777" w:rsidR="0066043F" w:rsidRDefault="0066043F" w:rsidP="005B3FB9">
            <w:pPr>
              <w:spacing w:before="240"/>
              <w:jc w:val="both"/>
            </w:pPr>
            <w:r>
              <w:t>Η ηλικία του παίκτη ελέγχεται και επικυρώνεται στο EPIS μέσω έγκυρου εγγράφου ταυτότητας ή διαμονής, όπως αναφέρεται στην παράγραφο 2 εδάφιο 1 σημεία 1–4.</w:t>
            </w:r>
          </w:p>
        </w:tc>
      </w:tr>
      <w:tr w:rsidR="0066043F" w14:paraId="5A982A1F" w14:textId="77777777" w:rsidTr="0066043F">
        <w:tc>
          <w:tcPr>
            <w:tcW w:w="5000" w:type="pct"/>
          </w:tcPr>
          <w:p w14:paraId="5C739E99" w14:textId="77777777" w:rsidR="0066043F" w:rsidRDefault="0066043F" w:rsidP="005B3FB9">
            <w:pPr>
              <w:spacing w:before="240"/>
              <w:jc w:val="both"/>
            </w:pPr>
            <w:r>
              <w:t>Με εξαίρεση την περίπτωση που προβλέπεται στο άρθρο 55/5 παράγραφος 1 εδάφιο 2, η επαλήθευση της ηλικίας του παίκτη γίνεται αυτόματα με ανάγνωση των πληροφοριών αυτών σε ένα από τα έγγραφα που αναφέρονται στην παράγραφο 2 εδάφιο 1 σημεία 1 έως 4.</w:t>
            </w:r>
          </w:p>
        </w:tc>
      </w:tr>
      <w:tr w:rsidR="0066043F" w14:paraId="5C52BF7B" w14:textId="77777777" w:rsidTr="0066043F">
        <w:tc>
          <w:tcPr>
            <w:tcW w:w="5000" w:type="pct"/>
          </w:tcPr>
          <w:p w14:paraId="1A94DF99" w14:textId="77777777" w:rsidR="0066043F" w:rsidRDefault="0066043F" w:rsidP="005B3FB9">
            <w:pPr>
              <w:spacing w:before="240"/>
              <w:jc w:val="both"/>
            </w:pPr>
            <w:r>
              <w:t>Η συσκευή δεν είναι δυνατό να ενεργοποιηθεί εάν η διεξαγωγή του παιχνιδιού απαγορεύεται στον παίκτη σύμφωνα με το άρθρο 54.</w:t>
            </w:r>
          </w:p>
        </w:tc>
      </w:tr>
      <w:tr w:rsidR="0066043F" w14:paraId="30B2D3A3" w14:textId="77777777" w:rsidTr="0066043F">
        <w:tc>
          <w:tcPr>
            <w:tcW w:w="5000" w:type="pct"/>
          </w:tcPr>
          <w:p w14:paraId="6D88B5C9" w14:textId="77777777" w:rsidR="0066043F" w:rsidRDefault="0066043F" w:rsidP="005B3FB9">
            <w:pPr>
              <w:spacing w:before="240"/>
              <w:jc w:val="both"/>
            </w:pPr>
            <w:r>
              <w:t xml:space="preserve">Παράγραφος 4. Κατά τον χρόνο της επιθεώρησης του EPIS, μόνο οι πληροφορίες ότι το πρόσωπο το οποίο αφορά η επαλήθευση απαγορεύεται ή αποκλείεται από τα τυχερά παιχνίδια κοινοποιούνται στο πρόσωπο που έχει εξουσιοδοτηθεί από τον κάτοχο της άδειας που αναφέρεται στην παράγραφο 1, το οποίο είναι υπεύθυνο για την εν λόγω επαλήθευση ή στην ηλεκτρονική </w:t>
            </w:r>
            <w:r>
              <w:lastRenderedPageBreak/>
              <w:t>εφαρμογή που ενεργοποιεί τη συσκευή τυχερών παιχνιδιών, όπως αναφέρεται στην παράγραφο 3.»·</w:t>
            </w:r>
          </w:p>
        </w:tc>
      </w:tr>
      <w:tr w:rsidR="0066043F" w14:paraId="2B2510DE" w14:textId="77777777" w:rsidTr="0066043F">
        <w:tc>
          <w:tcPr>
            <w:tcW w:w="5000" w:type="pct"/>
          </w:tcPr>
          <w:p w14:paraId="576DD22E" w14:textId="77777777" w:rsidR="0066043F" w:rsidRDefault="0066043F" w:rsidP="005B3FB9">
            <w:pPr>
              <w:spacing w:before="240"/>
              <w:jc w:val="both"/>
            </w:pPr>
            <w:r>
              <w:rPr>
                <w:b/>
              </w:rPr>
              <w:lastRenderedPageBreak/>
              <w:t xml:space="preserve">Άρθρο 16. </w:t>
            </w:r>
            <w:r>
              <w:t>Το άρθρο 55 του εν λόγω νόμου, όπως τροποποιήθηκε με το βασιλικό διάταγμα της 4ης Απριλίου 2003 και τους νόμους της 10ης Ιανουαρίου 2010 και της 30ής Ιουλίου 2022, αντικαθίσταται με το ακόλουθο κείμενο:</w:t>
            </w:r>
          </w:p>
        </w:tc>
      </w:tr>
      <w:tr w:rsidR="0066043F" w14:paraId="7FF34671" w14:textId="77777777" w:rsidTr="0066043F">
        <w:tc>
          <w:tcPr>
            <w:tcW w:w="5000" w:type="pct"/>
          </w:tcPr>
          <w:p w14:paraId="4804EC8A" w14:textId="77777777" w:rsidR="0066043F" w:rsidRDefault="0066043F" w:rsidP="005B3FB9">
            <w:pPr>
              <w:spacing w:before="240"/>
              <w:jc w:val="both"/>
            </w:pPr>
            <w:r>
              <w:t>«Άρθρο 55. Παράγραφος 1. Κεντρικό σύστημα για την επεξεργασία πληροφοριών που αφορούν τα πρόσωπα που αναφέρονται στο άρθρο 54, γνωστό ως «</w:t>
            </w:r>
            <w:r>
              <w:rPr>
                <w:rStyle w:val="Italic"/>
              </w:rPr>
              <w:t>Σύστημα Πληροφοριών Εξαιρούμενων Προσώπων</w:t>
            </w:r>
            <w:r>
              <w:t xml:space="preserve"> (EPIS)», δημιουργείται στην Επιτροπή για το οποίο θεωρείται ο υπεύθυνος επεξεργασίας κατά την έννοια του άρθρου 4 παράγραφος 7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tc>
      </w:tr>
      <w:tr w:rsidR="0066043F" w14:paraId="2FDE66D9" w14:textId="77777777" w:rsidTr="0066043F">
        <w:tc>
          <w:tcPr>
            <w:tcW w:w="5000" w:type="pct"/>
          </w:tcPr>
          <w:p w14:paraId="32E254DD" w14:textId="77777777" w:rsidR="0066043F" w:rsidRDefault="0066043F" w:rsidP="005B3FB9">
            <w:pPr>
              <w:spacing w:before="240"/>
              <w:jc w:val="both"/>
            </w:pPr>
            <w:r>
              <w:t>Οι σκοποί του EPIS είναι οι εξής:</w:t>
            </w:r>
          </w:p>
        </w:tc>
      </w:tr>
      <w:tr w:rsidR="0066043F" w14:paraId="12EA290E" w14:textId="77777777" w:rsidTr="0066043F">
        <w:tc>
          <w:tcPr>
            <w:tcW w:w="5000" w:type="pct"/>
          </w:tcPr>
          <w:p w14:paraId="021C4E08" w14:textId="77777777" w:rsidR="0066043F" w:rsidRDefault="0066043F" w:rsidP="005B3FB9">
            <w:pPr>
              <w:spacing w:before="240"/>
              <w:jc w:val="both"/>
            </w:pPr>
            <w:r>
              <w:t>1) να επιτρέπει στους κατόχους αδειών των κατηγοριών A, A +, B, B +, F1 + και F2 να διασφαλίζουν ότι τα πρόσωπα που επιθυμούν να έχουν πρόσβαση στην αίθουσα τυχερών παιχνιδιών του καταστήματος τυχερών παιχνιδιών τους ή να συμμετέχουν σε τυχερά παιχνίδια δεν απαγορεύονται ούτε αποκλείονται από τα τυχερά παιχνίδια σύμφωνα με το άρθρο 54 παράγραφοι 2 – 4·</w:t>
            </w:r>
          </w:p>
        </w:tc>
      </w:tr>
      <w:tr w:rsidR="0066043F" w14:paraId="7279AF07" w14:textId="77777777" w:rsidTr="0066043F">
        <w:tc>
          <w:tcPr>
            <w:tcW w:w="5000" w:type="pct"/>
          </w:tcPr>
          <w:p w14:paraId="3C35AEA4" w14:textId="77777777" w:rsidR="0066043F" w:rsidRDefault="0066043F" w:rsidP="005B3FB9">
            <w:pPr>
              <w:spacing w:before="240"/>
              <w:jc w:val="both"/>
            </w:pPr>
            <w:r>
              <w:t>2) να δοθεί στην Επιτροπή η δυνατότητα να διαχειρίζεται τις αιτήσεις αποκλεισμού από τα τυχερά παιχνίδια ή ανάκλησης του αποκλεισμού από τα τυχερά παιχνίδια και, ενδεχομένως, των σχετικών διαφορών·</w:t>
            </w:r>
          </w:p>
        </w:tc>
      </w:tr>
      <w:tr w:rsidR="0066043F" w14:paraId="4D72F803" w14:textId="77777777" w:rsidTr="0066043F">
        <w:tc>
          <w:tcPr>
            <w:tcW w:w="5000" w:type="pct"/>
          </w:tcPr>
          <w:p w14:paraId="413C9D7F" w14:textId="77777777" w:rsidR="0066043F" w:rsidRDefault="0066043F" w:rsidP="005B3FB9">
            <w:pPr>
              <w:spacing w:before="240"/>
              <w:jc w:val="both"/>
            </w:pPr>
            <w:r>
              <w:t>3) η διερεύνηση και ο εντοπισμός παραβάσεων του παρόντος νόμου και των εκτελεστικών διατάξεών του.</w:t>
            </w:r>
          </w:p>
        </w:tc>
      </w:tr>
      <w:tr w:rsidR="0066043F" w14:paraId="22EB9624" w14:textId="77777777" w:rsidTr="0066043F">
        <w:tc>
          <w:tcPr>
            <w:tcW w:w="5000" w:type="pct"/>
          </w:tcPr>
          <w:p w14:paraId="4EA173FD" w14:textId="77777777" w:rsidR="0066043F" w:rsidRDefault="0066043F" w:rsidP="005B3FB9">
            <w:pPr>
              <w:spacing w:before="240"/>
              <w:jc w:val="both"/>
            </w:pPr>
            <w:r>
              <w:t>Παράγραφος 2. Για κάθε πρόσωπο που αναφέρεται στο άρθρο 54 παράγραφοι 2-4, καταχωρίζονται στο EPIS τα ακόλουθα δεδομένα:</w:t>
            </w:r>
          </w:p>
        </w:tc>
      </w:tr>
      <w:tr w:rsidR="0066043F" w14:paraId="65431D01" w14:textId="77777777" w:rsidTr="0066043F">
        <w:tc>
          <w:tcPr>
            <w:tcW w:w="5000" w:type="pct"/>
          </w:tcPr>
          <w:p w14:paraId="42EBA5C4" w14:textId="77777777" w:rsidR="0066043F" w:rsidRDefault="0066043F" w:rsidP="005B3FB9">
            <w:pPr>
              <w:spacing w:before="240"/>
              <w:jc w:val="both"/>
            </w:pPr>
            <w:r>
              <w:t>1) επώνυμα και ονόματα·</w:t>
            </w:r>
          </w:p>
        </w:tc>
      </w:tr>
      <w:tr w:rsidR="0066043F" w14:paraId="0EF3B58A" w14:textId="77777777" w:rsidTr="0066043F">
        <w:tc>
          <w:tcPr>
            <w:tcW w:w="5000" w:type="pct"/>
          </w:tcPr>
          <w:p w14:paraId="5ABC902B" w14:textId="77777777" w:rsidR="0066043F" w:rsidRDefault="0066043F" w:rsidP="005B3FB9">
            <w:pPr>
              <w:spacing w:before="240"/>
              <w:jc w:val="both"/>
            </w:pPr>
            <w:r>
              <w:t>2) ημερομηνία γέννησης·</w:t>
            </w:r>
          </w:p>
        </w:tc>
      </w:tr>
      <w:tr w:rsidR="0066043F" w14:paraId="1FA1AC7A" w14:textId="77777777" w:rsidTr="0066043F">
        <w:tc>
          <w:tcPr>
            <w:tcW w:w="5000" w:type="pct"/>
          </w:tcPr>
          <w:p w14:paraId="36882289" w14:textId="77777777" w:rsidR="0066043F" w:rsidRDefault="0066043F" w:rsidP="005B3FB9">
            <w:pPr>
              <w:spacing w:before="240"/>
              <w:jc w:val="both"/>
            </w:pPr>
            <w:r>
              <w:t>3) αριθμός μητρώου του Εθνικού Μητρώου Φυσικών Προσώπων ή, εάν δεν είναι διαθέσιμος ο αριθμός του δελτίου ταυτότητας που έχει εκδοθεί από άλλο κράτος μέλος του Ευρωπαϊκού Οικονομικού Χώρου, ο αριθμός διαβατηρίου ή, εναλλακτικά, ο αριθμός αναγνώρισης Banque Carrefour που αναφέρεται στο άρθρο 8 παράγραφος 1 εδάφιο 2 του νόμου της 15ης Ιανουαρίου 1990 για τη σύσταση και την οργάνωση της κοινωνικής ασφάλισης της Banque Carrefour·</w:t>
            </w:r>
          </w:p>
        </w:tc>
      </w:tr>
      <w:tr w:rsidR="0066043F" w14:paraId="15277872" w14:textId="77777777" w:rsidTr="0066043F">
        <w:tc>
          <w:tcPr>
            <w:tcW w:w="5000" w:type="pct"/>
          </w:tcPr>
          <w:p w14:paraId="18627B78" w14:textId="77777777" w:rsidR="0066043F" w:rsidRDefault="0066043F" w:rsidP="005B3FB9">
            <w:pPr>
              <w:spacing w:before="240"/>
              <w:jc w:val="both"/>
            </w:pPr>
            <w:r>
              <w:t>4) ο λόγος, η ημερομηνία έναρξης και η ημερομηνία λήξης της εξαίρεσης.</w:t>
            </w:r>
          </w:p>
        </w:tc>
      </w:tr>
      <w:tr w:rsidR="0066043F" w14:paraId="2C704C86" w14:textId="77777777" w:rsidTr="0066043F">
        <w:tc>
          <w:tcPr>
            <w:tcW w:w="5000" w:type="pct"/>
          </w:tcPr>
          <w:p w14:paraId="26447CB1" w14:textId="77777777" w:rsidR="0066043F" w:rsidRDefault="0066043F" w:rsidP="005B3FB9">
            <w:pPr>
              <w:spacing w:before="240"/>
              <w:jc w:val="both"/>
            </w:pPr>
            <w:r>
              <w:t>Τα δεδομένα που αναφέρονται στο εδάφιο 1 διατηρούνται για περίοδο πέντε ετών από την ημερομηνία λήξης της εξαίρεσης.</w:t>
            </w:r>
          </w:p>
        </w:tc>
      </w:tr>
      <w:tr w:rsidR="0066043F" w14:paraId="54B97B47" w14:textId="77777777" w:rsidTr="0066043F">
        <w:tc>
          <w:tcPr>
            <w:tcW w:w="5000" w:type="pct"/>
          </w:tcPr>
          <w:p w14:paraId="6B346953" w14:textId="77777777" w:rsidR="0066043F" w:rsidRDefault="0066043F" w:rsidP="005B3FB9">
            <w:pPr>
              <w:spacing w:before="240"/>
              <w:jc w:val="both"/>
            </w:pPr>
            <w:r>
              <w:t>Παράγραφος 3. Η πρόσβαση στα δεδομένα EPIS περιορίζεται στα ακόλουθα πρόσωπα:</w:t>
            </w:r>
          </w:p>
        </w:tc>
      </w:tr>
      <w:tr w:rsidR="0066043F" w14:paraId="2CFEEE3F" w14:textId="77777777" w:rsidTr="0066043F">
        <w:tc>
          <w:tcPr>
            <w:tcW w:w="5000" w:type="pct"/>
          </w:tcPr>
          <w:p w14:paraId="6ABB42CF" w14:textId="77777777" w:rsidR="0066043F" w:rsidRDefault="0066043F" w:rsidP="005B3FB9">
            <w:pPr>
              <w:spacing w:before="240"/>
              <w:jc w:val="both"/>
            </w:pPr>
            <w:r>
              <w:t>1) στον Πρόεδρο της Επιτροπής·</w:t>
            </w:r>
          </w:p>
        </w:tc>
      </w:tr>
      <w:tr w:rsidR="0066043F" w14:paraId="587666C8" w14:textId="77777777" w:rsidTr="0066043F">
        <w:tc>
          <w:tcPr>
            <w:tcW w:w="5000" w:type="pct"/>
          </w:tcPr>
          <w:p w14:paraId="4B06A1B5" w14:textId="77777777" w:rsidR="0066043F" w:rsidRDefault="0066043F" w:rsidP="005B3FB9">
            <w:pPr>
              <w:spacing w:before="240"/>
              <w:jc w:val="both"/>
            </w:pPr>
            <w:r>
              <w:lastRenderedPageBreak/>
              <w:t>2) στους αστυνομικούς που αναφέρονται στο άρθρο 15 παράγραφος 3 εδάφιο 1·</w:t>
            </w:r>
          </w:p>
        </w:tc>
      </w:tr>
      <w:tr w:rsidR="0066043F" w14:paraId="4FC49B49" w14:textId="77777777" w:rsidTr="0066043F">
        <w:tc>
          <w:tcPr>
            <w:tcW w:w="5000" w:type="pct"/>
          </w:tcPr>
          <w:p w14:paraId="5151F22D" w14:textId="77777777" w:rsidR="0066043F" w:rsidRDefault="0066043F" w:rsidP="005B3FB9">
            <w:pPr>
              <w:spacing w:before="240"/>
              <w:jc w:val="both"/>
            </w:pPr>
            <w:r>
              <w:t>3) στα μέλη της γραμματείας της Επιτροπής των οποίων τα καθήκοντα το απαιτούν και τα οποία διορίζονται από την Επιτροπή.</w:t>
            </w:r>
          </w:p>
        </w:tc>
      </w:tr>
      <w:tr w:rsidR="0066043F" w14:paraId="6B30C5EE" w14:textId="77777777" w:rsidTr="0066043F">
        <w:tc>
          <w:tcPr>
            <w:tcW w:w="5000" w:type="pct"/>
          </w:tcPr>
          <w:p w14:paraId="448631C9" w14:textId="77777777" w:rsidR="0066043F" w:rsidRDefault="0066043F" w:rsidP="005B3FB9">
            <w:pPr>
              <w:spacing w:before="240"/>
              <w:jc w:val="both"/>
            </w:pPr>
            <w:r>
              <w:t>Παράγραφος 4. Με βασιλικό διάταγμα καθορίζονται οι τεχνικοί και οικονομικοί όροι του EPIS.»·</w:t>
            </w:r>
          </w:p>
        </w:tc>
      </w:tr>
      <w:tr w:rsidR="0066043F" w14:paraId="5A9DBC93" w14:textId="77777777" w:rsidTr="0066043F">
        <w:tc>
          <w:tcPr>
            <w:tcW w:w="5000" w:type="pct"/>
          </w:tcPr>
          <w:p w14:paraId="49263A77" w14:textId="77777777" w:rsidR="0066043F" w:rsidRDefault="0066043F" w:rsidP="005B3FB9">
            <w:pPr>
              <w:spacing w:before="240"/>
              <w:jc w:val="both"/>
            </w:pPr>
            <w:r>
              <w:rPr>
                <w:b/>
              </w:rPr>
              <w:t xml:space="preserve">Άρθρο 17. </w:t>
            </w:r>
            <w:r>
              <w:t>Στον ίδιο νόμο προστίθεται το άρθρο 55/2, το οποίο διατυπώνεται ως εξής:</w:t>
            </w:r>
          </w:p>
        </w:tc>
      </w:tr>
      <w:tr w:rsidR="0066043F" w14:paraId="01289C92" w14:textId="77777777" w:rsidTr="0066043F">
        <w:tc>
          <w:tcPr>
            <w:tcW w:w="5000" w:type="pct"/>
          </w:tcPr>
          <w:p w14:paraId="705828F8" w14:textId="77777777" w:rsidR="0066043F" w:rsidRDefault="0066043F" w:rsidP="005B3FB9">
            <w:pPr>
              <w:spacing w:before="240"/>
              <w:jc w:val="both"/>
            </w:pPr>
            <w:r>
              <w:t>«Άρθρο 55/2. Παράγραφος 1. Όλες οι αναζητήσεις στο EPIS αποθηκεύονται σε αρχείο καταγραφής, γνωστό ως «Log-EPIS», για το οποίο η επιτροπή είναι ο υπεύθυνος επεξεργασίας κατά την έννοια του άρθρου 4 παράγραφος 7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tc>
      </w:tr>
      <w:tr w:rsidR="0066043F" w14:paraId="615D9220" w14:textId="77777777" w:rsidTr="0066043F">
        <w:tc>
          <w:tcPr>
            <w:tcW w:w="5000" w:type="pct"/>
          </w:tcPr>
          <w:p w14:paraId="0E0B44DD" w14:textId="77777777" w:rsidR="0066043F" w:rsidRDefault="0066043F" w:rsidP="005B3FB9">
            <w:pPr>
              <w:spacing w:before="240"/>
              <w:jc w:val="both"/>
            </w:pPr>
            <w:r>
              <w:t>Οι σκοποί του Log-EPIS είναι οι εξής:</w:t>
            </w:r>
          </w:p>
        </w:tc>
      </w:tr>
      <w:tr w:rsidR="0066043F" w14:paraId="049C0621" w14:textId="77777777" w:rsidTr="0066043F">
        <w:tc>
          <w:tcPr>
            <w:tcW w:w="5000" w:type="pct"/>
          </w:tcPr>
          <w:p w14:paraId="5DBBB1AC" w14:textId="77777777" w:rsidR="0066043F" w:rsidRDefault="0066043F" w:rsidP="005B3FB9">
            <w:pPr>
              <w:spacing w:before="240"/>
              <w:jc w:val="both"/>
            </w:pPr>
            <w:r>
              <w:t>1) να εξακριβώνεται κατά πόσον οι κάτοχοι άδειας εκπληρώνουν ορθά τις νομικές υποχρεώσεις τους όσον αφορά τον έλεγχο της πρόσβασης κατά την είσοδο στην αίθουσα τυχερών παιχνιδιών ή τη συμμετοχή τους σε τυχερά παιχνίδια</w:t>
            </w:r>
          </w:p>
        </w:tc>
      </w:tr>
      <w:tr w:rsidR="0066043F" w14:paraId="577013DA" w14:textId="77777777" w:rsidTr="0066043F">
        <w:tc>
          <w:tcPr>
            <w:tcW w:w="5000" w:type="pct"/>
          </w:tcPr>
          <w:p w14:paraId="70A3D004" w14:textId="77777777" w:rsidR="0066043F" w:rsidRDefault="0066043F" w:rsidP="005B3FB9">
            <w:pPr>
              <w:spacing w:before="240"/>
              <w:jc w:val="both"/>
            </w:pPr>
            <w:r>
              <w:t>2) να εντοπίζονται και να παρακολουθούνται τυχόν αμφίβολες διαβουλεύσεις με το EPIS.</w:t>
            </w:r>
          </w:p>
        </w:tc>
      </w:tr>
      <w:tr w:rsidR="0066043F" w14:paraId="4DF3EB99" w14:textId="77777777" w:rsidTr="0066043F">
        <w:tc>
          <w:tcPr>
            <w:tcW w:w="5000" w:type="pct"/>
          </w:tcPr>
          <w:p w14:paraId="01B66957" w14:textId="77777777" w:rsidR="0066043F" w:rsidRDefault="0066043F" w:rsidP="005B3FB9">
            <w:pPr>
              <w:spacing w:before="240"/>
              <w:jc w:val="both"/>
            </w:pPr>
            <w:r>
              <w:t>Παράγραφος 2. Για κάθε αναζήτηση στο EPIS, καταγράφονται τα ακόλουθα δεδομένα στο Log-EPIS:</w:t>
            </w:r>
          </w:p>
        </w:tc>
      </w:tr>
      <w:tr w:rsidR="0066043F" w14:paraId="63D42F7A" w14:textId="77777777" w:rsidTr="0066043F">
        <w:tc>
          <w:tcPr>
            <w:tcW w:w="5000" w:type="pct"/>
          </w:tcPr>
          <w:p w14:paraId="21A220E2" w14:textId="77777777" w:rsidR="0066043F" w:rsidRDefault="0066043F" w:rsidP="005B3FB9">
            <w:pPr>
              <w:spacing w:before="240"/>
              <w:jc w:val="both"/>
            </w:pPr>
            <w:r>
              <w:t>1) ημερομηνία και ώρα αναζήτησης·</w:t>
            </w:r>
          </w:p>
        </w:tc>
      </w:tr>
      <w:tr w:rsidR="0066043F" w14:paraId="31C22924" w14:textId="77777777" w:rsidTr="0066043F">
        <w:tc>
          <w:tcPr>
            <w:tcW w:w="5000" w:type="pct"/>
          </w:tcPr>
          <w:p w14:paraId="5E2E500F" w14:textId="77777777" w:rsidR="0066043F" w:rsidRDefault="0066043F" w:rsidP="005B3FB9">
            <w:pPr>
              <w:spacing w:before="240"/>
              <w:jc w:val="both"/>
            </w:pPr>
            <w:r>
              <w:t>2) τα δεδομένα που αναφέρονται στο άρθρο 55 παράγραφος 2 εδάφια 1–3·</w:t>
            </w:r>
          </w:p>
        </w:tc>
      </w:tr>
      <w:tr w:rsidR="0066043F" w14:paraId="236BC632" w14:textId="77777777" w:rsidTr="0066043F">
        <w:tc>
          <w:tcPr>
            <w:tcW w:w="5000" w:type="pct"/>
          </w:tcPr>
          <w:p w14:paraId="00B10DD1" w14:textId="77777777" w:rsidR="0066043F" w:rsidRDefault="0066043F" w:rsidP="005B3FB9">
            <w:pPr>
              <w:spacing w:before="240"/>
              <w:jc w:val="both"/>
            </w:pPr>
            <w:r>
              <w:t>3) αριθμός άδειας της εγκατάστασης τυχερών παιχνιδιών από την οποία πραγματοποιήθηκε η αναζήτηση στο EPIS·</w:t>
            </w:r>
          </w:p>
        </w:tc>
      </w:tr>
      <w:tr w:rsidR="0066043F" w14:paraId="0F7326E1" w14:textId="77777777" w:rsidTr="0066043F">
        <w:tc>
          <w:tcPr>
            <w:tcW w:w="5000" w:type="pct"/>
          </w:tcPr>
          <w:p w14:paraId="789F39A3" w14:textId="77777777" w:rsidR="0066043F" w:rsidRDefault="0066043F" w:rsidP="005B3FB9">
            <w:pPr>
              <w:spacing w:before="240"/>
              <w:jc w:val="both"/>
            </w:pPr>
            <w:r>
              <w:t>4) αριθμός άδειας D του προσώπου που πραγματοποίησε αναζήτηση στο EPIS ή ταυτότητα του προσώπου που αναφέρεται στο άρθρο 55 παράγραφος 3·</w:t>
            </w:r>
          </w:p>
        </w:tc>
      </w:tr>
      <w:tr w:rsidR="0066043F" w14:paraId="5DDA7E2F" w14:textId="77777777" w:rsidTr="0066043F">
        <w:tc>
          <w:tcPr>
            <w:tcW w:w="5000" w:type="pct"/>
          </w:tcPr>
          <w:p w14:paraId="4FA73CF6" w14:textId="77777777" w:rsidR="0066043F" w:rsidRDefault="0066043F" w:rsidP="005B3FB9">
            <w:pPr>
              <w:spacing w:before="240"/>
              <w:jc w:val="both"/>
            </w:pPr>
            <w:r>
              <w:t>5) αποτέλεσμα ελέγχου του EPIS·</w:t>
            </w:r>
          </w:p>
        </w:tc>
      </w:tr>
      <w:tr w:rsidR="0066043F" w14:paraId="6A60FBCF" w14:textId="77777777" w:rsidTr="0066043F">
        <w:tc>
          <w:tcPr>
            <w:tcW w:w="5000" w:type="pct"/>
          </w:tcPr>
          <w:p w14:paraId="2227C298" w14:textId="77777777" w:rsidR="0066043F" w:rsidRDefault="0066043F" w:rsidP="005B3FB9">
            <w:pPr>
              <w:spacing w:before="240"/>
              <w:jc w:val="both"/>
            </w:pPr>
            <w:r>
              <w:t>6) ο σκοπός της αναζήτησης και, όταν σκοπός της αναζήτησης στο EPIS είναι η άσκηση καθηκόντων δικαστικής αστυνομίας για την παρακολούθηση της τήρησης του παρόντος νόμου και των εκτελεστικών διατάξεών του, ο αριθμός φακέλου για τον οποίο πραγματοποιείται η αναζήτηση·</w:t>
            </w:r>
          </w:p>
        </w:tc>
      </w:tr>
      <w:tr w:rsidR="0066043F" w14:paraId="678B623E" w14:textId="77777777" w:rsidTr="0066043F">
        <w:tc>
          <w:tcPr>
            <w:tcW w:w="5000" w:type="pct"/>
          </w:tcPr>
          <w:p w14:paraId="25A9360D" w14:textId="77777777" w:rsidR="0066043F" w:rsidRDefault="0066043F" w:rsidP="005B3FB9">
            <w:pPr>
              <w:spacing w:before="240"/>
              <w:jc w:val="both"/>
            </w:pPr>
            <w:r>
              <w:t>7) τα μέσα ταυτοποίησης που αναφέρονται στο άρθρο 54/1 παράγραφος 2.</w:t>
            </w:r>
          </w:p>
        </w:tc>
      </w:tr>
      <w:tr w:rsidR="0066043F" w14:paraId="10DF9E13" w14:textId="77777777" w:rsidTr="0066043F">
        <w:tc>
          <w:tcPr>
            <w:tcW w:w="5000" w:type="pct"/>
          </w:tcPr>
          <w:p w14:paraId="6944D656" w14:textId="77777777" w:rsidR="0066043F" w:rsidRDefault="0066043F" w:rsidP="005B3FB9">
            <w:pPr>
              <w:spacing w:before="240"/>
              <w:jc w:val="both"/>
            </w:pPr>
            <w:r>
              <w:t>Οι πληροφορίες που αναφέρονται στο εδάφιο 1 διατηρούνται για περίοδο πέντε ετών από την ημερομηνία της αναζήτησης στο EPIS.</w:t>
            </w:r>
          </w:p>
        </w:tc>
      </w:tr>
      <w:tr w:rsidR="0066043F" w14:paraId="7B48DC4C" w14:textId="77777777" w:rsidTr="0066043F">
        <w:tc>
          <w:tcPr>
            <w:tcW w:w="5000" w:type="pct"/>
          </w:tcPr>
          <w:p w14:paraId="6DC009E7" w14:textId="77777777" w:rsidR="0066043F" w:rsidRDefault="0066043F" w:rsidP="005B3FB9">
            <w:pPr>
              <w:spacing w:before="240"/>
              <w:jc w:val="both"/>
            </w:pPr>
            <w:r>
              <w:t>Παράγραφος 3. Η πρόσβαση στα δεδομένα Log-EPIS περιορίζεται:</w:t>
            </w:r>
          </w:p>
        </w:tc>
      </w:tr>
      <w:tr w:rsidR="0066043F" w14:paraId="4DD61F3D" w14:textId="77777777" w:rsidTr="0066043F">
        <w:tc>
          <w:tcPr>
            <w:tcW w:w="5000" w:type="pct"/>
          </w:tcPr>
          <w:p w14:paraId="353859B4" w14:textId="77777777" w:rsidR="0066043F" w:rsidRDefault="0066043F" w:rsidP="005B3FB9">
            <w:pPr>
              <w:spacing w:before="240"/>
              <w:jc w:val="both"/>
            </w:pPr>
            <w:r>
              <w:t>1) στον Πρόεδρο της Επιτροπής·</w:t>
            </w:r>
          </w:p>
        </w:tc>
      </w:tr>
      <w:tr w:rsidR="0066043F" w14:paraId="08B10F52" w14:textId="77777777" w:rsidTr="0066043F">
        <w:tc>
          <w:tcPr>
            <w:tcW w:w="5000" w:type="pct"/>
          </w:tcPr>
          <w:p w14:paraId="2A7940A0" w14:textId="77777777" w:rsidR="0066043F" w:rsidRDefault="0066043F" w:rsidP="005B3FB9">
            <w:pPr>
              <w:spacing w:before="240"/>
              <w:jc w:val="both"/>
            </w:pPr>
            <w:r>
              <w:t>2) στους αστυνομικούς που αναφέρονται στο άρθρο 15 παράγραφος 3 εδάφιο 1·</w:t>
            </w:r>
          </w:p>
        </w:tc>
      </w:tr>
      <w:tr w:rsidR="0066043F" w14:paraId="67D5EF96" w14:textId="77777777" w:rsidTr="0066043F">
        <w:tc>
          <w:tcPr>
            <w:tcW w:w="5000" w:type="pct"/>
          </w:tcPr>
          <w:p w14:paraId="0BA5846D" w14:textId="77777777" w:rsidR="0066043F" w:rsidRDefault="0066043F" w:rsidP="005B3FB9">
            <w:pPr>
              <w:spacing w:before="240"/>
              <w:jc w:val="both"/>
            </w:pPr>
            <w:r>
              <w:lastRenderedPageBreak/>
              <w:t>3) στα μέλη της γραμματείας της Επιτροπής των οποίων τα καθήκοντα το απαιτούν και τα οποία διορίζονται από την Επιτροπή.».</w:t>
            </w:r>
          </w:p>
        </w:tc>
      </w:tr>
      <w:tr w:rsidR="0066043F" w:rsidRPr="00CD7F70" w14:paraId="7F59D378" w14:textId="77777777" w:rsidTr="0066043F">
        <w:tc>
          <w:tcPr>
            <w:tcW w:w="5000" w:type="pct"/>
          </w:tcPr>
          <w:p w14:paraId="15552ADB" w14:textId="77777777" w:rsidR="0066043F" w:rsidRPr="00010994" w:rsidRDefault="0066043F" w:rsidP="005B3FB9">
            <w:pPr>
              <w:spacing w:before="240"/>
              <w:jc w:val="both"/>
              <w:rPr>
                <w:b/>
                <w:bCs/>
              </w:rPr>
            </w:pPr>
          </w:p>
        </w:tc>
      </w:tr>
      <w:tr w:rsidR="0066043F" w14:paraId="49A321CA" w14:textId="77777777" w:rsidTr="0066043F">
        <w:tc>
          <w:tcPr>
            <w:tcW w:w="5000" w:type="pct"/>
          </w:tcPr>
          <w:p w14:paraId="3412A079" w14:textId="77777777" w:rsidR="0066043F" w:rsidRDefault="0066043F" w:rsidP="005B3FB9">
            <w:pPr>
              <w:spacing w:before="240"/>
              <w:jc w:val="both"/>
            </w:pPr>
            <w:r>
              <w:rPr>
                <w:b/>
              </w:rPr>
              <w:t xml:space="preserve">Άρθρο 18. </w:t>
            </w:r>
            <w:r>
              <w:t>Στον ίδιο νόμο προστίθεται το άρθρο 55/3, το οποίο, διατυπώνεται ως εξής:</w:t>
            </w:r>
          </w:p>
        </w:tc>
      </w:tr>
      <w:tr w:rsidR="0066043F" w14:paraId="41A0134D" w14:textId="77777777" w:rsidTr="0066043F">
        <w:tc>
          <w:tcPr>
            <w:tcW w:w="5000" w:type="pct"/>
          </w:tcPr>
          <w:p w14:paraId="12542870" w14:textId="77777777" w:rsidR="0066043F" w:rsidRDefault="0066043F" w:rsidP="005B3FB9">
            <w:pPr>
              <w:spacing w:before="240"/>
              <w:jc w:val="both"/>
            </w:pPr>
            <w:r>
              <w:t>«Άρθρο 55/3. Παράγραφος 1. Σύμφωνα με το άρθρο 6.4 και το άρθρο 23.1 στοιχεία ε), ζ) και θ)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η Επιτροπή μπορεί συνακόλουθα να επεξεργαστεί τα δεδομένα log-EPIS με σκοπό να:</w:t>
            </w:r>
          </w:p>
        </w:tc>
      </w:tr>
      <w:tr w:rsidR="0066043F" w14:paraId="707061C3" w14:textId="77777777" w:rsidTr="0066043F">
        <w:tc>
          <w:tcPr>
            <w:tcW w:w="5000" w:type="pct"/>
          </w:tcPr>
          <w:p w14:paraId="351136CF" w14:textId="77777777" w:rsidR="0066043F" w:rsidRDefault="0066043F" w:rsidP="005B3FB9">
            <w:pPr>
              <w:spacing w:before="240"/>
              <w:jc w:val="both"/>
            </w:pPr>
            <w:r>
              <w:t>1) μπορεί να ελέγχει αν ο κάτοχος της άδειας πληροί ορθά τις νομικές υποχρεώσεις του βάσει του άρθρου 54·</w:t>
            </w:r>
          </w:p>
        </w:tc>
      </w:tr>
      <w:tr w:rsidR="0066043F" w14:paraId="5ACE8BAC" w14:textId="77777777" w:rsidTr="0066043F">
        <w:tc>
          <w:tcPr>
            <w:tcW w:w="5000" w:type="pct"/>
          </w:tcPr>
          <w:p w14:paraId="22636962" w14:textId="77777777" w:rsidR="0066043F" w:rsidRDefault="0066043F" w:rsidP="005B3FB9">
            <w:pPr>
              <w:spacing w:before="240"/>
              <w:jc w:val="both"/>
            </w:pPr>
            <w:r>
              <w:t>2) μπορεί να φέρει εις πέρας το καθήκον της προστασίας των παικτών που ανατίθεται σε αυτήν δυνάμει του άρθρου 54 παράγραφος 3 εδάφιο 4.</w:t>
            </w:r>
          </w:p>
        </w:tc>
      </w:tr>
      <w:tr w:rsidR="0066043F" w14:paraId="34940354" w14:textId="77777777" w:rsidTr="0066043F">
        <w:tc>
          <w:tcPr>
            <w:tcW w:w="5000" w:type="pct"/>
          </w:tcPr>
          <w:p w14:paraId="40D132BB" w14:textId="77777777" w:rsidR="0066043F" w:rsidRDefault="0066043F" w:rsidP="005B3FB9">
            <w:pPr>
              <w:spacing w:before="240"/>
              <w:jc w:val="both"/>
            </w:pPr>
            <w:r>
              <w:t>Παράγραφος 2. Σύμφωνα με το άρθρο 6.4 και το άρθρο 23.1 στοιχεία ε) και ζ)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η Επιτροπή μπορεί συνακόλουθα να επεξεργαστεί τα δεδομένα log-EPIS με σκοπό:</w:t>
            </w:r>
          </w:p>
        </w:tc>
      </w:tr>
      <w:tr w:rsidR="0066043F" w14:paraId="0659D4BE" w14:textId="77777777" w:rsidTr="0066043F">
        <w:tc>
          <w:tcPr>
            <w:tcW w:w="5000" w:type="pct"/>
          </w:tcPr>
          <w:p w14:paraId="2D508DBA" w14:textId="77777777" w:rsidR="0066043F" w:rsidRDefault="0066043F" w:rsidP="005B3FB9">
            <w:pPr>
              <w:spacing w:before="240"/>
              <w:jc w:val="both"/>
            </w:pPr>
            <w:r>
              <w:t>1) να δοθεί η δυνατότητα στα μέλη των αστυνομικών υπηρεσιών, τα οποία διορίζονται από τον προϊστάμενο του σώματος, τον διευθυντή ή τον γενικό διευθυντή με βάση την ανάγκη γνώσης τους, να εκτελούν τα καθήκοντα που προβλέπονται στο άρθρο 15 του νόμου της 5ης Αυγούστου 1992 σχετικά με τα αστυνομικά καθήκοντα, όταν οι έρευνες αφορούν εγκλήματα ή αδικήματα που αναφέρονται στο άρθρο 90β παράγραφοι 2-4 του Κώδικα Ποινικής Έρευνας. Στο πλαίσιο αυτό, μπορούν να γνωστοποιούνται μόνο τα δεδομένα που αναφέρονται στο άρθρο 55/2 παράγραφος 2 εδάφια 1-3 του παρόντος νόμου·</w:t>
            </w:r>
          </w:p>
        </w:tc>
      </w:tr>
      <w:tr w:rsidR="0066043F" w14:paraId="0ED6999E" w14:textId="77777777" w:rsidTr="0066043F">
        <w:tc>
          <w:tcPr>
            <w:tcW w:w="5000" w:type="pct"/>
          </w:tcPr>
          <w:p w14:paraId="3F432B08" w14:textId="77777777" w:rsidR="0066043F" w:rsidRDefault="0066043F" w:rsidP="005B3FB9">
            <w:pPr>
              <w:spacing w:before="240"/>
              <w:jc w:val="both"/>
            </w:pPr>
            <w:r>
              <w:t>2) να επιτρέπει στα μέλη της υπηρεσίας ερευνών της μόνιμης Επιτροπής P να εκτελούν τα καθήκοντα που αναφέρονται στο άρθρο 16 του οργανικού νόμου της 18ης Ιουλίου 1991 σχετικά με την εποπτεία της αστυνομίας και των υπηρεσιών πληροφοριών και το συντονιστικό όργανο για την ανάλυση απειλών·</w:t>
            </w:r>
          </w:p>
        </w:tc>
      </w:tr>
      <w:tr w:rsidR="0066043F" w14:paraId="191E4F4D" w14:textId="77777777" w:rsidTr="0066043F">
        <w:tc>
          <w:tcPr>
            <w:tcW w:w="5000" w:type="pct"/>
          </w:tcPr>
          <w:p w14:paraId="59CFEF5B" w14:textId="77777777" w:rsidR="0066043F" w:rsidRDefault="0066043F" w:rsidP="005B3FB9">
            <w:pPr>
              <w:spacing w:before="240"/>
              <w:jc w:val="both"/>
            </w:pPr>
            <w:r>
              <w:t>3) να παρέχει στα μέλη της Γενικής Επιθεώρησης της ομοσπονδιακής και τοπικής αστυνομίας τη δυνατότητα να ασκούν τα καθήκοντα που αναφέρονται στο άρθρο 4 παράγραφοι 3 και 4, του νόμου της 15ης Μαΐου 2007 περί της Γενικής Επιθεώρησης και να θεσπίζουν διάφορες διατάξεις σχετικά με την ιδιότητα ορισμένων μελών της αστυνομίας για την άσκηση των εκ του νόμου καθηκόντων της.</w:t>
            </w:r>
          </w:p>
        </w:tc>
      </w:tr>
      <w:tr w:rsidR="0066043F" w14:paraId="1804C756" w14:textId="77777777" w:rsidTr="0066043F">
        <w:tc>
          <w:tcPr>
            <w:tcW w:w="5000" w:type="pct"/>
          </w:tcPr>
          <w:p w14:paraId="3AD4FD43" w14:textId="77777777" w:rsidR="0066043F" w:rsidRDefault="0066043F" w:rsidP="005B3FB9">
            <w:pPr>
              <w:spacing w:before="240"/>
              <w:jc w:val="both"/>
            </w:pPr>
            <w:r>
              <w:rPr>
                <w:b/>
              </w:rPr>
              <w:t xml:space="preserve">Άρθρο 19. </w:t>
            </w:r>
            <w:r>
              <w:t>Στον ίδιο νόμο προστίθεται το άρθρο 55/4, το οποίο διατυπώνεται ως εξής:</w:t>
            </w:r>
          </w:p>
        </w:tc>
      </w:tr>
      <w:tr w:rsidR="0066043F" w14:paraId="1EF25886" w14:textId="77777777" w:rsidTr="0066043F">
        <w:tc>
          <w:tcPr>
            <w:tcW w:w="5000" w:type="pct"/>
          </w:tcPr>
          <w:p w14:paraId="0A5FF979" w14:textId="77777777" w:rsidR="0066043F" w:rsidRDefault="0066043F" w:rsidP="005B3FB9">
            <w:pPr>
              <w:spacing w:before="240"/>
              <w:jc w:val="both"/>
            </w:pPr>
            <w:r>
              <w:t xml:space="preserve">«Άρθρο 55/4. Παράγραφος 1. Ο φορέας εκμετάλλευσης αίθουσας τυχερών παιχνιδιών κατηγορίας Ι ή ΙΙ ή μόνιμης εγκατάστασης τυχερών παιχνιδιών κατηγορίας IV τηρεί μητρώο για την ταυτοποίηση των προσώπων που έχουν πρόσβαση στην αίθουσα τυχερών παιχνιδιών της εγκατάστασής του για επαγγελματικό λόγο, γνωστό ως «μητρώο επαγγελματιών», του οποίου </w:t>
            </w:r>
            <w:r>
              <w:lastRenderedPageBreak/>
              <w:t>είναι υπεύθυνος επεξεργασίας κατά την έννοια του άρθρου 4 παράγραφος 7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tc>
      </w:tr>
      <w:tr w:rsidR="0066043F" w14:paraId="328BB479" w14:textId="77777777" w:rsidTr="0066043F">
        <w:tc>
          <w:tcPr>
            <w:tcW w:w="5000" w:type="pct"/>
          </w:tcPr>
          <w:p w14:paraId="523ABDAF" w14:textId="77777777" w:rsidR="0066043F" w:rsidRDefault="0066043F" w:rsidP="005B3FB9">
            <w:pPr>
              <w:spacing w:before="240"/>
              <w:jc w:val="both"/>
            </w:pPr>
            <w:r>
              <w:lastRenderedPageBreak/>
              <w:t>Σκοπός του μητρώου επαγγελματιών είναι να παράσχει στον επιχειρηματία τη δυνατότητα να αιτιολογήσει γιατί επέτρεψε σε άτομα την πρόσβαση στην αίθουσα τυχερών παιχνιδιών της εγκατάστασής του τυχερών παιχνιδιών χωρίς να τα υποβάλει σε έλεγχο EPIS.</w:t>
            </w:r>
          </w:p>
        </w:tc>
      </w:tr>
      <w:tr w:rsidR="0066043F" w14:paraId="2B93E5B1" w14:textId="77777777" w:rsidTr="0066043F">
        <w:tc>
          <w:tcPr>
            <w:tcW w:w="5000" w:type="pct"/>
          </w:tcPr>
          <w:p w14:paraId="34974DE4" w14:textId="77777777" w:rsidR="0066043F" w:rsidRDefault="0066043F" w:rsidP="005B3FB9">
            <w:pPr>
              <w:spacing w:before="240"/>
              <w:jc w:val="both"/>
            </w:pPr>
            <w:r>
              <w:t>Παράγραφος 2. Για κάθε πρόσωπο που έχει πρόσβαση στην αίθουσα τυχερών παιχνιδιών της εγκατάστασης τυχερών παιχνιδιών για επαγγελματικούς λόγους, καταχωρίζονται στο μητρώο επαγγελματιών τα ακόλουθα δεδομένα:</w:t>
            </w:r>
          </w:p>
        </w:tc>
      </w:tr>
      <w:tr w:rsidR="0066043F" w14:paraId="10DE9A20" w14:textId="77777777" w:rsidTr="0066043F">
        <w:tc>
          <w:tcPr>
            <w:tcW w:w="5000" w:type="pct"/>
          </w:tcPr>
          <w:p w14:paraId="63DF842D" w14:textId="77777777" w:rsidR="0066043F" w:rsidRDefault="0066043F" w:rsidP="005B3FB9">
            <w:pPr>
              <w:spacing w:before="240"/>
              <w:jc w:val="both"/>
            </w:pPr>
            <w:r>
              <w:t>1) επώνυμα και ονόματα·</w:t>
            </w:r>
          </w:p>
        </w:tc>
      </w:tr>
      <w:tr w:rsidR="0066043F" w14:paraId="0908FE3A" w14:textId="77777777" w:rsidTr="0066043F">
        <w:tc>
          <w:tcPr>
            <w:tcW w:w="5000" w:type="pct"/>
          </w:tcPr>
          <w:p w14:paraId="46CB870E" w14:textId="77777777" w:rsidR="0066043F" w:rsidRDefault="0066043F" w:rsidP="005B3FB9">
            <w:pPr>
              <w:spacing w:before="240"/>
              <w:jc w:val="both"/>
            </w:pPr>
            <w:r>
              <w:t>2) ο λόγος, η ημερομηνία και ώρα της επίσκεψης·</w:t>
            </w:r>
          </w:p>
        </w:tc>
      </w:tr>
      <w:tr w:rsidR="0066043F" w14:paraId="5F488C84" w14:textId="77777777" w:rsidTr="0066043F">
        <w:tc>
          <w:tcPr>
            <w:tcW w:w="5000" w:type="pct"/>
          </w:tcPr>
          <w:p w14:paraId="390DBE41" w14:textId="77777777" w:rsidR="0066043F" w:rsidRDefault="0066043F" w:rsidP="005B3FB9">
            <w:pPr>
              <w:spacing w:before="240"/>
              <w:jc w:val="both"/>
            </w:pPr>
            <w:r>
              <w:t>3) υπογραφή, της οποίας προηγούνται τα ακόλουθα: «Η πρόσβαση στην εν λόγω εγκατάσταση τυχερών παιχνιδιών παρέχεται σε εμένα μόνο στο πλαίσιο της επαγγελματικής μου δραστηριότητας και δεσμεύομαι να μη συμμετάσχω σε τυχερά παίγνια που πραγματοποιούνται στο πλαίσιο αυτό».</w:t>
            </w:r>
          </w:p>
        </w:tc>
      </w:tr>
      <w:tr w:rsidR="0066043F" w14:paraId="257955AA" w14:textId="77777777" w:rsidTr="0066043F">
        <w:tc>
          <w:tcPr>
            <w:tcW w:w="5000" w:type="pct"/>
          </w:tcPr>
          <w:p w14:paraId="7D439A09" w14:textId="77777777" w:rsidR="0066043F" w:rsidRDefault="0066043F" w:rsidP="005B3FB9">
            <w:pPr>
              <w:spacing w:before="240"/>
              <w:jc w:val="both"/>
            </w:pPr>
            <w:r>
              <w:t>Οι πληροφορίες που αναφέρονται στο εδάφιο 1 διατηρούνται για περίοδο ενός έτους.</w:t>
            </w:r>
          </w:p>
        </w:tc>
      </w:tr>
      <w:tr w:rsidR="0066043F" w14:paraId="107B44E2" w14:textId="77777777" w:rsidTr="0066043F">
        <w:tc>
          <w:tcPr>
            <w:tcW w:w="5000" w:type="pct"/>
          </w:tcPr>
          <w:p w14:paraId="3AD8211E" w14:textId="77777777" w:rsidR="0066043F" w:rsidRDefault="0066043F" w:rsidP="005B3FB9">
            <w:pPr>
              <w:spacing w:before="240"/>
              <w:jc w:val="both"/>
            </w:pPr>
            <w:r>
              <w:t>Παράγραφος 3. Η πρόσβαση στα δεδομένα του μητρώου επαγγελματιών περιορίζεται στα μέλη της γραμματείας της Επιτροπής που είναι αρμόδια για τη διερεύνηση και τον εντοπισμό παραβάσεων του παρόντος νόμου και των εκτελεστικών διατάξεών του, καθώς και στους αστυνομικούς που αναφέρονται στο άρθρο 15 παράγραφος 3 εδάφιο 1.».</w:t>
            </w:r>
          </w:p>
        </w:tc>
      </w:tr>
      <w:tr w:rsidR="0066043F" w14:paraId="121755DF" w14:textId="77777777" w:rsidTr="0066043F">
        <w:tc>
          <w:tcPr>
            <w:tcW w:w="5000" w:type="pct"/>
          </w:tcPr>
          <w:p w14:paraId="640E426E" w14:textId="77777777" w:rsidR="0066043F" w:rsidRDefault="0066043F" w:rsidP="005B3FB9">
            <w:pPr>
              <w:spacing w:before="240"/>
              <w:jc w:val="both"/>
            </w:pPr>
            <w:r>
              <w:rPr>
                <w:b/>
              </w:rPr>
              <w:t xml:space="preserve">Άρθρο 20. </w:t>
            </w:r>
            <w:r>
              <w:t>Στον ίδιο νόμο προστίθεται το άρθρο 55/5, το οποίο διατυπώνεται ως εξής:</w:t>
            </w:r>
          </w:p>
        </w:tc>
      </w:tr>
      <w:tr w:rsidR="0066043F" w14:paraId="2F470EFA" w14:textId="77777777" w:rsidTr="0066043F">
        <w:tc>
          <w:tcPr>
            <w:tcW w:w="5000" w:type="pct"/>
          </w:tcPr>
          <w:p w14:paraId="244612AC" w14:textId="77777777" w:rsidR="0066043F" w:rsidRDefault="0066043F" w:rsidP="005B3FB9">
            <w:pPr>
              <w:spacing w:before="240"/>
              <w:jc w:val="both"/>
            </w:pPr>
            <w:r>
              <w:t>«Άρθρο 55/5. Παράγραφος 1. Εάν, για οποιονδήποτε λόγο πέραν του ελέγχου του φορέα εκμετάλλευσης, είναι αδύνατη η αναζήτηση στο EPIS, τα δεδομένα των παικτών πρέπει να καταγράφονται σε χωριστό εφεδρικό μητρώο που τηρείται από τον κάτοχο της άδειας που αναφέρεται στο άρθρο 54/1 παράγραφος 1, καλούμενο «εφεδρικό μητρώο», για το οποίο είναι υπεύθυνος επεξεργασίας δεδομένων κατά την έννοια του άρθρου 4 παράγραφος 7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tc>
      </w:tr>
      <w:tr w:rsidR="0066043F" w14:paraId="777C14F2" w14:textId="77777777" w:rsidTr="0066043F">
        <w:tc>
          <w:tcPr>
            <w:tcW w:w="5000" w:type="pct"/>
          </w:tcPr>
          <w:p w14:paraId="54165307" w14:textId="77777777" w:rsidR="0066043F" w:rsidRDefault="0066043F" w:rsidP="005B3FB9">
            <w:pPr>
              <w:spacing w:before="240"/>
              <w:jc w:val="both"/>
            </w:pPr>
            <w:r>
              <w:t>Εάν, για οποιονδήποτε λόγο, πέραν του ελέγχου του φορέα εκμετάλλευσης, είναι αδύνατη η αναζήτηση στο EPIS μέσω του ηλεκτρονικού συστήματος που αναφέρεται στο άρθρο 54/1 παράγραφος 3, ο κάτοχος της άδειας που αναφέρεται στο άρθρο 54/1 παράγραφος 3 μπορεί να ενεργοποιήσει τη συσκευή με κάρτα λειτουργίας μετά την επαλήθευση της ταυτότητας και της ηλικίας του δυνητικού παίκτη.</w:t>
            </w:r>
          </w:p>
        </w:tc>
      </w:tr>
      <w:tr w:rsidR="0066043F" w14:paraId="24022FDA" w14:textId="77777777" w:rsidTr="0066043F">
        <w:tc>
          <w:tcPr>
            <w:tcW w:w="5000" w:type="pct"/>
          </w:tcPr>
          <w:p w14:paraId="6E3C8D36" w14:textId="77777777" w:rsidR="0066043F" w:rsidRDefault="0066043F" w:rsidP="005B3FB9">
            <w:pPr>
              <w:spacing w:before="240"/>
              <w:jc w:val="both"/>
            </w:pPr>
            <w:r>
              <w:t>Ο σκοπός του εφεδρικού μητρώου είναι να επιτρέψει στους επιχειρηματίες εγκαταστάσεων τυχερών παιχνιδιών να υποβάλλουν τους παίκτες σε έλεγχο EPIS μόλις αρθεί η μη διαθεσιμότητα του EPIS και να αποκλείουν την πρόσβαση σε αίθουσες τυχερών παιχνιδιών εγκαταστάσεων τυχερών παιχνιδιών ή σε συσκευές τυχερών παιχνιδιών σε άτομα για τα οποία έχει απαγορευθεί η συμμετοχή σε τυχερά παιχνίδια.</w:t>
            </w:r>
          </w:p>
        </w:tc>
      </w:tr>
      <w:tr w:rsidR="0066043F" w14:paraId="2EFBEBBD" w14:textId="77777777" w:rsidTr="0066043F">
        <w:tc>
          <w:tcPr>
            <w:tcW w:w="5000" w:type="pct"/>
          </w:tcPr>
          <w:p w14:paraId="02F292F1" w14:textId="77777777" w:rsidR="0066043F" w:rsidRDefault="0066043F" w:rsidP="005B3FB9">
            <w:pPr>
              <w:spacing w:before="240"/>
              <w:jc w:val="both"/>
            </w:pPr>
            <w:r>
              <w:lastRenderedPageBreak/>
              <w:t>Παράγραφος 2. Για κάθε παίκτη, τα δεδομένα που καταγράφονται στο εφεδρικό μητρώο είναι τα εξής:</w:t>
            </w:r>
          </w:p>
        </w:tc>
      </w:tr>
      <w:tr w:rsidR="0066043F" w14:paraId="46D704FE" w14:textId="77777777" w:rsidTr="0066043F">
        <w:tc>
          <w:tcPr>
            <w:tcW w:w="5000" w:type="pct"/>
          </w:tcPr>
          <w:p w14:paraId="118F7061" w14:textId="77777777" w:rsidR="0066043F" w:rsidRDefault="0066043F" w:rsidP="005B3FB9">
            <w:pPr>
              <w:spacing w:before="240"/>
              <w:jc w:val="both"/>
            </w:pPr>
            <w:r>
              <w:t>1) επώνυμα και ονόματα·</w:t>
            </w:r>
          </w:p>
        </w:tc>
      </w:tr>
      <w:tr w:rsidR="0066043F" w14:paraId="61FE8821" w14:textId="77777777" w:rsidTr="0066043F">
        <w:tc>
          <w:tcPr>
            <w:tcW w:w="5000" w:type="pct"/>
          </w:tcPr>
          <w:p w14:paraId="41E75040" w14:textId="77777777" w:rsidR="0066043F" w:rsidRDefault="0066043F" w:rsidP="005B3FB9">
            <w:pPr>
              <w:spacing w:before="240"/>
              <w:jc w:val="both"/>
            </w:pPr>
            <w:r>
              <w:t>2) ημερομηνία γέννησης·</w:t>
            </w:r>
          </w:p>
        </w:tc>
      </w:tr>
      <w:tr w:rsidR="0066043F" w14:paraId="6CF9C4A7" w14:textId="77777777" w:rsidTr="0066043F">
        <w:tc>
          <w:tcPr>
            <w:tcW w:w="5000" w:type="pct"/>
          </w:tcPr>
          <w:p w14:paraId="7CB954DE" w14:textId="77777777" w:rsidR="0066043F" w:rsidRDefault="0066043F" w:rsidP="005B3FB9">
            <w:pPr>
              <w:spacing w:before="240"/>
              <w:jc w:val="both"/>
            </w:pPr>
            <w:r>
              <w:t>3) ο αριθμός μητρώου του Εθνικού Μητρώου Φυσικών Προσώπων ή, εάν δεν είναι διαθέσιμος ο αριθμός του δελτίου ταυτότητας που έχει εκδοθεί από άλλο κράτος μέλος του Ευρωπαϊκού Οικονομικού Χώρου, ο αριθμός διαβατηρίου ή, εναλλακτικά, ο αριθμός αναγνώρισης Banque Carrefour που αναφέρεται στο άρθρο 8 παράγραφος 1 εδάφιο 2 του νόμου της 15ης Ιανουαρίου 1990 για τη σύσταση και την οργάνωση της κοινωνικής ασφάλισης της Banque Carrefour.</w:t>
            </w:r>
          </w:p>
        </w:tc>
      </w:tr>
      <w:tr w:rsidR="0066043F" w14:paraId="4C7DE81B" w14:textId="77777777" w:rsidTr="0066043F">
        <w:tc>
          <w:tcPr>
            <w:tcW w:w="5000" w:type="pct"/>
          </w:tcPr>
          <w:p w14:paraId="44FA2C2F" w14:textId="77777777" w:rsidR="0066043F" w:rsidRDefault="0066043F" w:rsidP="005B3FB9">
            <w:pPr>
              <w:spacing w:before="240"/>
              <w:jc w:val="both"/>
            </w:pPr>
            <w:r>
              <w:t>Παράγραφος 3. Η πρόσβαση στα δεδομένα του εφεδρικού μητρώου περιορίζεται στα μέλη της γραμματείας της Επιτροπής που είναι αρμόδια για τη διερεύνηση και τον εντοπισμό παραβάσεων του παρόντος νόμου και των εκτελεστικών διατάξεών του, καθώς και στους αστυνομικούς που αναφέρονται στο άρθρο 15 παράγραφος 3 εδάφιο 1.</w:t>
            </w:r>
          </w:p>
        </w:tc>
      </w:tr>
      <w:tr w:rsidR="0066043F" w14:paraId="0EB49C1B" w14:textId="77777777" w:rsidTr="0066043F">
        <w:tc>
          <w:tcPr>
            <w:tcW w:w="5000" w:type="pct"/>
          </w:tcPr>
          <w:p w14:paraId="153E3644" w14:textId="77777777" w:rsidR="0066043F" w:rsidRDefault="0066043F" w:rsidP="005B3FB9">
            <w:pPr>
              <w:spacing w:before="240"/>
              <w:jc w:val="both"/>
            </w:pPr>
            <w:r>
              <w:t>Παράγραφος 4. Ο κάτοχος της άδειας ενημερώνει αμέσως την Επιτροπή Τυχερών Παιχνιδιών και τον υπεργολάβο που έχει επιλέξει η Επιτροπή για να φιλοξενήσει το σύστημα EPIS και να διαχειριστεί την πρόσβαση στο EPIS, για την αδυναμία πραγματοποίησης αναζήτησης στο EPIS.</w:t>
            </w:r>
          </w:p>
        </w:tc>
      </w:tr>
      <w:tr w:rsidR="0066043F" w14:paraId="3727D729" w14:textId="77777777" w:rsidTr="0066043F">
        <w:tc>
          <w:tcPr>
            <w:tcW w:w="5000" w:type="pct"/>
          </w:tcPr>
          <w:p w14:paraId="41D583A3" w14:textId="77777777" w:rsidR="0066043F" w:rsidRDefault="0066043F" w:rsidP="005B3FB9">
            <w:pPr>
              <w:spacing w:before="240"/>
              <w:jc w:val="both"/>
            </w:pPr>
            <w:r>
              <w:t>Όταν είναι εκ νέου δυνατή η πραγματοποίηση αναζήτησης στο EPIS, όλοι οι παίκτες στο εφεδρικό μητρώο πρέπει να ελέγχονται από τον κάτοχο της άδειας με την ημερομηνία και την ώρα της επίσκεψης. Εάν αποκλειστούν αυτοί οι παίκτες, θα πρέπει να τους απαγορεύεται αμέσως να έχουν πρόσβαση ή να συμμετέχουν σε τυχερά παιχνίδια και η Επιτροπή πρέπει να ενημερώνεται αμέσως.</w:t>
            </w:r>
          </w:p>
        </w:tc>
      </w:tr>
      <w:tr w:rsidR="0066043F" w14:paraId="64362DEC" w14:textId="77777777" w:rsidTr="0066043F">
        <w:tc>
          <w:tcPr>
            <w:tcW w:w="5000" w:type="pct"/>
          </w:tcPr>
          <w:p w14:paraId="0E761CA9" w14:textId="77777777" w:rsidR="0066043F" w:rsidRDefault="0066043F" w:rsidP="005B3FB9">
            <w:pPr>
              <w:spacing w:before="240"/>
              <w:jc w:val="both"/>
            </w:pPr>
            <w:r>
              <w:t>Μετά από αυτόν τον έλεγχο, ο κατάλογος καταστρέφεται αμέσως από τον κάτοχο της άδειας».</w:t>
            </w:r>
          </w:p>
        </w:tc>
      </w:tr>
      <w:tr w:rsidR="0066043F" w14:paraId="692AD42D" w14:textId="77777777" w:rsidTr="0066043F">
        <w:tc>
          <w:tcPr>
            <w:tcW w:w="5000" w:type="pct"/>
          </w:tcPr>
          <w:p w14:paraId="0D8CAF39" w14:textId="77777777" w:rsidR="0066043F" w:rsidRDefault="0066043F" w:rsidP="005B3FB9">
            <w:pPr>
              <w:spacing w:before="240"/>
              <w:jc w:val="both"/>
            </w:pPr>
            <w:r>
              <w:rPr>
                <w:b/>
              </w:rPr>
              <w:t>Άρθρο 21.</w:t>
            </w:r>
            <w:r>
              <w:t xml:space="preserve"> Στο άρθρο 61 παράγραφος 3 του νόμου αυτού, το οποίο προστέθηκε με τον νόμο της 10ης Ιανουαρίου 2010, παρεμβάλλεται το κείμενο «και οι κάτοχοι άδειας του άρθρου 43/5 παράγραφος 5 εδάφιο 1» μεταξύ του κειμένου «των κατηγοριών I, II, III και IV» και του κειμένου «φυλλάδια».</w:t>
            </w:r>
          </w:p>
        </w:tc>
      </w:tr>
      <w:tr w:rsidR="0066043F" w14:paraId="3CF40967" w14:textId="77777777" w:rsidTr="0066043F">
        <w:tc>
          <w:tcPr>
            <w:tcW w:w="5000" w:type="pct"/>
          </w:tcPr>
          <w:p w14:paraId="2B1AC493" w14:textId="77777777" w:rsidR="0066043F" w:rsidRDefault="0066043F" w:rsidP="005B3FB9">
            <w:pPr>
              <w:spacing w:before="240"/>
              <w:jc w:val="both"/>
            </w:pPr>
            <w:r>
              <w:rPr>
                <w:b/>
              </w:rPr>
              <w:t>Άρθρο 22.</w:t>
            </w:r>
            <w:r>
              <w:t xml:space="preserve"> Στο άρθρο 63 του ίδιου νόμου, όπως τροποποιήθηκε τελευταία με τον νόμο της 10ης Ιανουαρίου 2010, το κείμενο «φυλάκιση μεταξύ ενός μήνα και τριών ετών και πρόστιμο μεταξύ 26 και 25 000 φράγκων ή μία από τις ποινές αυτές.» αντικαθίσταται με το κείμενο «επιβληθέν πρόστιμο μεταξύ 26 EUR και 120 000 EUR».</w:t>
            </w:r>
          </w:p>
        </w:tc>
      </w:tr>
      <w:tr w:rsidR="0066043F" w14:paraId="64F4A5D4" w14:textId="77777777" w:rsidTr="0066043F">
        <w:tc>
          <w:tcPr>
            <w:tcW w:w="5000" w:type="pct"/>
          </w:tcPr>
          <w:p w14:paraId="791991A0" w14:textId="77777777" w:rsidR="0066043F" w:rsidRDefault="0066043F" w:rsidP="005B3FB9">
            <w:pPr>
              <w:spacing w:before="240"/>
              <w:jc w:val="both"/>
            </w:pPr>
            <w:r>
              <w:rPr>
                <w:b/>
              </w:rPr>
              <w:t>Άρθρο 23.</w:t>
            </w:r>
            <w:r>
              <w:t xml:space="preserve"> Το άρθρο 64 του ίδιου νόμου, όπως τροποποιήθηκε τελευταία με τον νόμο της 18ης Ιανουαρίου 2024, αντικαθίσταται με το ακόλουθο κείμενο:</w:t>
            </w:r>
          </w:p>
        </w:tc>
      </w:tr>
      <w:tr w:rsidR="0066043F" w14:paraId="17A38BE3" w14:textId="77777777" w:rsidTr="0066043F">
        <w:tc>
          <w:tcPr>
            <w:tcW w:w="5000" w:type="pct"/>
          </w:tcPr>
          <w:p w14:paraId="188A95DA" w14:textId="41F27EDD" w:rsidR="0066043F" w:rsidRDefault="0066043F" w:rsidP="005B3FB9">
            <w:pPr>
              <w:spacing w:before="240"/>
              <w:jc w:val="both"/>
            </w:pPr>
            <w:r>
              <w:t>«Άρθρο 64. Οι δράστες των παραβάσεων του άρθρου 4 παράγραφος 2, εδάφια 4 και 5 και των άρθρων 43/1, 43/2, 43/2/1 43/3, 43/4, 60 και 61 παράγραφοι 2 και 3, καθώς και των εκτελεστικών διαταγμάτων των άρθρων αυτών, τιμωρούνται με πρόστιμο 26 EUR έως 72 000 EUR».</w:t>
            </w:r>
          </w:p>
        </w:tc>
      </w:tr>
      <w:tr w:rsidR="0066043F" w14:paraId="6E9F3319" w14:textId="77777777" w:rsidTr="0066043F">
        <w:tc>
          <w:tcPr>
            <w:tcW w:w="5000" w:type="pct"/>
          </w:tcPr>
          <w:p w14:paraId="783A4613" w14:textId="77777777" w:rsidR="0066043F" w:rsidRDefault="0066043F" w:rsidP="005B3FB9">
            <w:pPr>
              <w:spacing w:before="240"/>
              <w:jc w:val="both"/>
            </w:pPr>
            <w:r>
              <w:rPr>
                <w:b/>
              </w:rPr>
              <w:t>Άρθρο 24.</w:t>
            </w:r>
            <w:r>
              <w:t xml:space="preserve"> Στο άρθρο 65 παράγραφος 2 του ίδιου νόμου, το κείμενο «πρόσωπο ηλικίας κάτω των 18 ετών» αντικαθίσταται από το κείμενο «πρόσωπο ηλικίας κάτω των 21 ετών».</w:t>
            </w:r>
          </w:p>
        </w:tc>
      </w:tr>
      <w:tr w:rsidR="0066043F" w:rsidRPr="00CD7F70" w14:paraId="5916DF57" w14:textId="77777777" w:rsidTr="0066043F">
        <w:tc>
          <w:tcPr>
            <w:tcW w:w="5000" w:type="pct"/>
          </w:tcPr>
          <w:p w14:paraId="6C782B02" w14:textId="77777777" w:rsidR="0066043F" w:rsidRPr="00CD7F70" w:rsidRDefault="0066043F" w:rsidP="005B3FB9">
            <w:pPr>
              <w:spacing w:before="240"/>
              <w:jc w:val="both"/>
            </w:pPr>
            <w:r>
              <w:t xml:space="preserve">ΚΕΦΑΛΑΙΟ 3.  – </w:t>
            </w:r>
            <w:r>
              <w:rPr>
                <w:i/>
              </w:rPr>
              <w:t xml:space="preserve">Επιβεβαίωση του βασιλικού διατάγματος της 31ης Ιανουαρίου 2024 σχετικά με τη συνεισφορά στις δαπάνες λειτουργίας, προσωπικού και εγκατάστασης της Επιτροπής τυχερών </w:t>
            </w:r>
            <w:r>
              <w:rPr>
                <w:i/>
              </w:rPr>
              <w:lastRenderedPageBreak/>
              <w:t>παιχνιδιών που οφείλουν οι κάτοχοι αδειών κατηγορίας A, A +, B, B +, C, E, F1, F1 + και F2 για το ημερολογιακό έτος 2024</w:t>
            </w:r>
          </w:p>
        </w:tc>
      </w:tr>
      <w:tr w:rsidR="0066043F" w14:paraId="0361E2FC" w14:textId="77777777" w:rsidTr="0066043F">
        <w:tc>
          <w:tcPr>
            <w:tcW w:w="5000" w:type="pct"/>
          </w:tcPr>
          <w:p w14:paraId="5D82F0EF" w14:textId="77777777" w:rsidR="0066043F" w:rsidRDefault="0066043F" w:rsidP="005B3FB9">
            <w:pPr>
              <w:spacing w:before="240"/>
              <w:jc w:val="both"/>
            </w:pPr>
            <w:r>
              <w:rPr>
                <w:b/>
              </w:rPr>
              <w:lastRenderedPageBreak/>
              <w:t>Άρθρο 25.</w:t>
            </w:r>
            <w:r>
              <w:t xml:space="preserve"> Το βασιλικό διάταγμα της 31ης Ιανουαρίου 2024 σχετικά με τη συνεισφορά στις δαπάνες λειτουργίας, προσωπικού και εγκατάστασης της Επιτροπής τυχερών παιχνιδιών που οφείλουν οι κάτοχοι αδειών κατηγορίας A, A +, B, B +, C, E, F1, F1 + και F2 για το ημερολογιακό έτος 2024 επιβεβαιώνεται με ισχύ από την ημερομηνία έναρξης ισχύος του.</w:t>
            </w:r>
          </w:p>
        </w:tc>
      </w:tr>
      <w:tr w:rsidR="0066043F" w:rsidRPr="00CD7F70" w14:paraId="0376A838" w14:textId="77777777" w:rsidTr="0066043F">
        <w:tc>
          <w:tcPr>
            <w:tcW w:w="5000" w:type="pct"/>
          </w:tcPr>
          <w:p w14:paraId="5D4D8F13" w14:textId="77777777" w:rsidR="0066043F" w:rsidRPr="00CD7F70" w:rsidRDefault="0066043F" w:rsidP="005B3FB9">
            <w:pPr>
              <w:spacing w:before="240"/>
              <w:jc w:val="both"/>
            </w:pPr>
            <w:r>
              <w:t xml:space="preserve">Κεφάλαιο 4. – </w:t>
            </w:r>
            <w:r>
              <w:rPr>
                <w:i/>
              </w:rPr>
              <w:t>Καταργητικές διατάξεις</w:t>
            </w:r>
          </w:p>
        </w:tc>
      </w:tr>
      <w:tr w:rsidR="0066043F" w14:paraId="3C2F9B72" w14:textId="77777777" w:rsidTr="0066043F">
        <w:tc>
          <w:tcPr>
            <w:tcW w:w="5000" w:type="pct"/>
          </w:tcPr>
          <w:p w14:paraId="7A20176D" w14:textId="77777777" w:rsidR="0066043F" w:rsidRDefault="0066043F" w:rsidP="005B3FB9">
            <w:pPr>
              <w:spacing w:before="240"/>
              <w:jc w:val="both"/>
            </w:pPr>
            <w:r>
              <w:rPr>
                <w:b/>
              </w:rPr>
              <w:t>Άρθρο 26.</w:t>
            </w:r>
            <w:r>
              <w:t xml:space="preserve"> Το άρθρο 62 του ίδιου νόμου, όπως τροποποιήθηκε με τους νόμους της 10ης Ιανουαρίου 2010, της 7ης Μαΐου 2019 και της 30ής Ιουλίου 2022, καταργείται.</w:t>
            </w:r>
          </w:p>
        </w:tc>
      </w:tr>
      <w:tr w:rsidR="0066043F" w14:paraId="726293BB" w14:textId="77777777" w:rsidTr="0066043F">
        <w:tc>
          <w:tcPr>
            <w:tcW w:w="5000" w:type="pct"/>
          </w:tcPr>
          <w:p w14:paraId="096B3F28" w14:textId="77777777" w:rsidR="0066043F" w:rsidRDefault="0066043F" w:rsidP="005B3FB9">
            <w:pPr>
              <w:spacing w:before="240"/>
              <w:jc w:val="both"/>
            </w:pPr>
            <w:r>
              <w:rPr>
                <w:b/>
              </w:rPr>
              <w:t>Άρθρο 27.</w:t>
            </w:r>
            <w:r>
              <w:t xml:space="preserve"> Καταργείται το βασιλικό διάταγμα της 26ης Ιουνίου 2002 για τον καθορισμό των διαδικασιών παραλαβής των καταγγελιών και των αξιώσεων από την Επιτροπή τυχερών παιχνιδιών.</w:t>
            </w:r>
          </w:p>
        </w:tc>
      </w:tr>
      <w:tr w:rsidR="0066043F" w14:paraId="510EFD61" w14:textId="77777777" w:rsidTr="0066043F">
        <w:tc>
          <w:tcPr>
            <w:tcW w:w="5000" w:type="pct"/>
          </w:tcPr>
          <w:p w14:paraId="4ACA6199" w14:textId="77777777" w:rsidR="0066043F" w:rsidRDefault="0066043F" w:rsidP="005B3FB9">
            <w:pPr>
              <w:spacing w:before="240"/>
              <w:jc w:val="both"/>
            </w:pPr>
            <w:r>
              <w:rPr>
                <w:b/>
              </w:rPr>
              <w:t>Άρθρο 28.</w:t>
            </w:r>
            <w:r>
              <w:t xml:space="preserve"> Καταργείται το βασιλικό διάταγμα της 15ης Δεκεμβρίου 2004 σχετικά με το μητρώο πρόσβασης στις αίθουσες τυχερών παιχνιδιών των εγκαταστάσεων τυχερών παιγνίων των κατηγοριών Ι και ΙΙ και των μόνιμων εγκαταστάσεων τυχερών παιχνιδιών της κατηγορίας IV, όπως τροποποιήθηκε με τα βασιλικά διατάγματα της 20ής Μαρτίου 2022 και της 6ης Σεπτεμβρίου 2022.</w:t>
            </w:r>
          </w:p>
        </w:tc>
      </w:tr>
      <w:tr w:rsidR="0066043F" w14:paraId="7B9BDFF2" w14:textId="77777777" w:rsidTr="0066043F">
        <w:tc>
          <w:tcPr>
            <w:tcW w:w="5000" w:type="pct"/>
          </w:tcPr>
          <w:p w14:paraId="471B4110" w14:textId="77777777" w:rsidR="0066043F" w:rsidRDefault="0066043F" w:rsidP="005B3FB9">
            <w:pPr>
              <w:spacing w:before="240"/>
              <w:jc w:val="both"/>
            </w:pPr>
            <w:r>
              <w:rPr>
                <w:b/>
              </w:rPr>
              <w:t>Άρθρο 29.</w:t>
            </w:r>
            <w:r>
              <w:t xml:space="preserve"> Τα άρθρα 1–5, το άρθρο 6 παράγραφοι 1 και 5 και τα άρθρα 7 και 8 του βασιλικού διατάγματος της 15ης Δεκεμβρίου 2004 σχετικά με τη δημιουργία συστήματος επεξεργασίας πληροφοριών σχετικά με παίκτες που αποκλείονται από τα τυχερά παιχνίδια των κατηγοριών Ι, ΙΙ και IV, όπως τροποποιήθηκε με τα βασιλικά διατάγματα της 20ής Μαρτίου 2022 και της 6ης Σεπτεμβρίου 2022, καταργούνται.</w:t>
            </w:r>
          </w:p>
        </w:tc>
      </w:tr>
      <w:tr w:rsidR="0066043F" w:rsidRPr="00CD7F70" w14:paraId="4CCF4A55" w14:textId="77777777" w:rsidTr="0066043F">
        <w:tc>
          <w:tcPr>
            <w:tcW w:w="5000" w:type="pct"/>
          </w:tcPr>
          <w:p w14:paraId="25EB3EA7" w14:textId="77777777" w:rsidR="0066043F" w:rsidRPr="00CD7F70" w:rsidRDefault="0066043F" w:rsidP="005B3FB9">
            <w:pPr>
              <w:spacing w:before="240"/>
              <w:jc w:val="both"/>
            </w:pPr>
            <w:r>
              <w:t xml:space="preserve">ΚΕΦΑΛΑΙΟ 5. – </w:t>
            </w:r>
            <w:r>
              <w:rPr>
                <w:i/>
              </w:rPr>
              <w:t>Μεταβατικές διατάξεις</w:t>
            </w:r>
          </w:p>
        </w:tc>
      </w:tr>
      <w:tr w:rsidR="0066043F" w14:paraId="50EC7C0E" w14:textId="77777777" w:rsidTr="0066043F">
        <w:tc>
          <w:tcPr>
            <w:tcW w:w="5000" w:type="pct"/>
          </w:tcPr>
          <w:p w14:paraId="47638B86" w14:textId="77777777" w:rsidR="0066043F" w:rsidRDefault="0066043F" w:rsidP="005B3FB9">
            <w:pPr>
              <w:spacing w:before="240"/>
              <w:jc w:val="both"/>
            </w:pPr>
            <w:r>
              <w:rPr>
                <w:b/>
              </w:rPr>
              <w:t>Άρθρο 30.</w:t>
            </w:r>
            <w:r>
              <w:t xml:space="preserve"> Το άρθρο 9 εφαρμόζεται σε όλες τις αιτήσεις ανανέωσης της άδειας Γ που υποβάλλονται μετά την έναρξη ισχύος του παρόντος νόμου.</w:t>
            </w:r>
          </w:p>
        </w:tc>
      </w:tr>
      <w:tr w:rsidR="0066043F" w:rsidRPr="00CD7F70" w14:paraId="4CE8FA16" w14:textId="77777777" w:rsidTr="0066043F">
        <w:tc>
          <w:tcPr>
            <w:tcW w:w="5000" w:type="pct"/>
          </w:tcPr>
          <w:p w14:paraId="1B5FFFE7" w14:textId="77777777" w:rsidR="0066043F" w:rsidRPr="00CD7F70" w:rsidRDefault="0066043F" w:rsidP="005B3FB9">
            <w:pPr>
              <w:spacing w:before="240"/>
              <w:jc w:val="both"/>
            </w:pPr>
            <w:r>
              <w:t xml:space="preserve">ΚΕΦΑΛΑΙΟ 6. – </w:t>
            </w:r>
            <w:r>
              <w:rPr>
                <w:i/>
              </w:rPr>
              <w:t>Έναρξη ισχύος</w:t>
            </w:r>
          </w:p>
        </w:tc>
      </w:tr>
      <w:tr w:rsidR="0066043F" w:rsidRPr="00B37C9A" w14:paraId="426D70DD" w14:textId="77777777" w:rsidTr="0066043F">
        <w:tc>
          <w:tcPr>
            <w:tcW w:w="5000" w:type="pct"/>
          </w:tcPr>
          <w:p w14:paraId="20CF0E89" w14:textId="77777777" w:rsidR="0066043F" w:rsidRPr="00B37C9A" w:rsidRDefault="0066043F" w:rsidP="005B3FB9">
            <w:pPr>
              <w:spacing w:before="240"/>
              <w:jc w:val="both"/>
            </w:pPr>
            <w:r>
              <w:rPr>
                <w:b/>
              </w:rPr>
              <w:t>Άρθρο 31.</w:t>
            </w:r>
            <w:r>
              <w:t xml:space="preserve"> Για τους κατόχους άδειας A, A+, B, B+, F1+ και τους κατόχους άδειας F2 που επιτρέπει την τοποθέτηση στοιχημάτων για λογαριασμό κατόχων αδειών της κατηγορίας F1 σε μόνιμη εγκατάσταση τυχερών παιχνιδιών κατηγορίας IV, τα άρθρα 2, 14, 15, 16, 17, 18 και 20 αρχίζουν να ισχύουν την πρώτη ημέρα του δωδέκατου μήνα από την ημερομηνία δημοσίευσης του παρόντος νόμου στην </w:t>
            </w:r>
            <w:r>
              <w:rPr>
                <w:i/>
              </w:rPr>
              <w:t>Moniteur belge</w:t>
            </w:r>
            <w:r>
              <w:t>.</w:t>
            </w:r>
          </w:p>
        </w:tc>
      </w:tr>
      <w:tr w:rsidR="0066043F" w:rsidRPr="00B37C9A" w14:paraId="53B86833" w14:textId="77777777" w:rsidTr="0066043F">
        <w:tc>
          <w:tcPr>
            <w:tcW w:w="5000" w:type="pct"/>
          </w:tcPr>
          <w:p w14:paraId="7B8FB8FB" w14:textId="77777777" w:rsidR="0066043F" w:rsidRPr="00B37C9A" w:rsidRDefault="0066043F" w:rsidP="005B3FB9">
            <w:pPr>
              <w:spacing w:before="240"/>
              <w:jc w:val="both"/>
            </w:pPr>
            <w:r>
              <w:t xml:space="preserve">Για τους κατόχους άδειας F2 που επιτρέπει την τοποθέτηση στοιχημάτων για λογαριασμό κατόχων αδειών της κατηγορίας F1 σε ίδρυμα τυχερών παιχνιδιών κατηγορίας IV και για κατόχους άδειας F2 που επιτρέπει την τοποθέτηση στοιχημάτων εκτός των εγκαταστάσεων τυχερών παιχνιδιών της κατηγορίας IV, τα άρθρα 2, 14, 15, 16, 17, 18 και 20 αρχίζουν να ισχύουν την πρώτη ημέρα του εικοστού τετάρτου μήνα από την ημερομηνία δημοσίευσης του παρόντος νόμου στη </w:t>
            </w:r>
            <w:r>
              <w:rPr>
                <w:i/>
              </w:rPr>
              <w:t>Moniteur belge</w:t>
            </w:r>
            <w:r>
              <w:t>.</w:t>
            </w:r>
          </w:p>
        </w:tc>
      </w:tr>
      <w:tr w:rsidR="0066043F" w14:paraId="73C9E1B7" w14:textId="77777777" w:rsidTr="0066043F">
        <w:tc>
          <w:tcPr>
            <w:tcW w:w="5000" w:type="pct"/>
          </w:tcPr>
          <w:p w14:paraId="64823F79" w14:textId="77777777" w:rsidR="0066043F" w:rsidRDefault="0066043F" w:rsidP="005B3FB9">
            <w:pPr>
              <w:spacing w:before="240"/>
              <w:jc w:val="both"/>
            </w:pPr>
            <w:r>
              <w:rPr>
                <w:b/>
              </w:rPr>
              <w:t>Άρθρο 32.</w:t>
            </w:r>
            <w:r>
              <w:t xml:space="preserve"> Τα άρθρα 5, 10 και 24 αρχίζουν να ισχύουν την 1η Σεπτεμβρίου 2024.</w:t>
            </w:r>
          </w:p>
        </w:tc>
      </w:tr>
      <w:tr w:rsidR="0066043F" w14:paraId="4BBF38DB" w14:textId="77777777" w:rsidTr="0066043F">
        <w:tc>
          <w:tcPr>
            <w:tcW w:w="5000" w:type="pct"/>
          </w:tcPr>
          <w:p w14:paraId="22E524BD" w14:textId="77777777" w:rsidR="0066043F" w:rsidRDefault="0066043F" w:rsidP="005B3FB9">
            <w:pPr>
              <w:spacing w:before="240"/>
              <w:jc w:val="both"/>
            </w:pPr>
            <w:r>
              <w:rPr>
                <w:b/>
              </w:rPr>
              <w:t>Άρθρο 33.</w:t>
            </w:r>
            <w:r>
              <w:t xml:space="preserve"> Τα άρθρα 26, 28 και 29 αρχίζουν να ισχύουν την πρώτη ημέρα του δωδέκατου μήνα από την ημερομηνία δημοσίευσης του παρόντος νόμου στη </w:t>
            </w:r>
            <w:r>
              <w:rPr>
                <w:i/>
              </w:rPr>
              <w:t>Moniteur belge</w:t>
            </w:r>
            <w:r>
              <w:t>.</w:t>
            </w:r>
          </w:p>
        </w:tc>
      </w:tr>
      <w:tr w:rsidR="0066043F" w14:paraId="310E8087" w14:textId="77777777" w:rsidTr="0066043F">
        <w:tc>
          <w:tcPr>
            <w:tcW w:w="5000" w:type="pct"/>
          </w:tcPr>
          <w:p w14:paraId="01F50D5E" w14:textId="77777777" w:rsidR="0066043F" w:rsidRDefault="0066043F" w:rsidP="005B3FB9">
            <w:pPr>
              <w:spacing w:before="240"/>
              <w:jc w:val="both"/>
            </w:pPr>
            <w:r>
              <w:lastRenderedPageBreak/>
              <w:t xml:space="preserve">Ο παρών νόμος εκδίδεται, φέρει τη σφραγίδα του κράτους και δημοσιεύεται στη </w:t>
            </w:r>
            <w:r>
              <w:rPr>
                <w:i/>
              </w:rPr>
              <w:t>Moniteur belge</w:t>
            </w:r>
            <w:r>
              <w:t>.</w:t>
            </w:r>
          </w:p>
        </w:tc>
      </w:tr>
      <w:tr w:rsidR="0066043F" w:rsidRPr="00CF6D43" w14:paraId="1655BE91" w14:textId="77777777" w:rsidTr="0066043F">
        <w:tc>
          <w:tcPr>
            <w:tcW w:w="5000" w:type="pct"/>
          </w:tcPr>
          <w:p w14:paraId="1465896C" w14:textId="76401A1E" w:rsidR="0066043F" w:rsidRPr="00CF6D43" w:rsidRDefault="0066043F" w:rsidP="005B3FB9">
            <w:pPr>
              <w:spacing w:before="240"/>
              <w:jc w:val="both"/>
            </w:pPr>
            <w:r>
              <w:t>Εκδόθηκε στις Βρυξέλλες, 7 Μαΐου 2024</w:t>
            </w:r>
          </w:p>
        </w:tc>
      </w:tr>
      <w:tr w:rsidR="0066043F" w:rsidRPr="00CF6D43" w14:paraId="2C94C16D" w14:textId="77777777" w:rsidTr="0066043F">
        <w:tc>
          <w:tcPr>
            <w:tcW w:w="5000" w:type="pct"/>
          </w:tcPr>
          <w:p w14:paraId="727C7B58" w14:textId="77777777" w:rsidR="0066043F" w:rsidRPr="00CF6D43" w:rsidRDefault="0066043F" w:rsidP="005B3FB9">
            <w:pPr>
              <w:spacing w:before="240"/>
              <w:jc w:val="both"/>
              <w:rPr>
                <w:lang w:val="fr-FR"/>
              </w:rPr>
            </w:pPr>
          </w:p>
        </w:tc>
      </w:tr>
      <w:tr w:rsidR="0066043F" w:rsidRPr="00F11721" w14:paraId="43E86ABE" w14:textId="77777777" w:rsidTr="0066043F">
        <w:tc>
          <w:tcPr>
            <w:tcW w:w="5000" w:type="pct"/>
            <w:shd w:val="clear" w:color="auto" w:fill="auto"/>
          </w:tcPr>
          <w:p w14:paraId="61CD4026" w14:textId="77777777" w:rsidR="0066043F" w:rsidRDefault="0066043F" w:rsidP="005B3FB9">
            <w:pPr>
              <w:spacing w:before="240" w:after="160" w:line="259" w:lineRule="auto"/>
              <w:jc w:val="center"/>
              <w:rPr>
                <w:rFonts w:cstheme="minorHAnsi"/>
              </w:rPr>
            </w:pPr>
            <w:r>
              <w:t>ΦΙΛΙΠΠΟΣ</w:t>
            </w:r>
          </w:p>
          <w:p w14:paraId="1A22CB92" w14:textId="77777777" w:rsidR="0066043F" w:rsidRPr="00F11721" w:rsidRDefault="0066043F" w:rsidP="005B3FB9">
            <w:pPr>
              <w:spacing w:before="240"/>
              <w:jc w:val="center"/>
            </w:pPr>
            <w:r>
              <w:t>Εξ ονόματος του Βασιλιά και κατ’ εντολήν του:</w:t>
            </w:r>
          </w:p>
        </w:tc>
      </w:tr>
      <w:tr w:rsidR="0066043F" w:rsidRPr="00F11721" w14:paraId="7B29FED6" w14:textId="77777777" w:rsidTr="0066043F">
        <w:tc>
          <w:tcPr>
            <w:tcW w:w="5000" w:type="pct"/>
            <w:shd w:val="clear" w:color="auto" w:fill="auto"/>
          </w:tcPr>
          <w:p w14:paraId="28C19FE2" w14:textId="77777777" w:rsidR="0066043F" w:rsidRDefault="0066043F" w:rsidP="005B3FB9">
            <w:pPr>
              <w:spacing w:before="240" w:after="160" w:line="259" w:lineRule="auto"/>
              <w:jc w:val="center"/>
              <w:rPr>
                <w:rFonts w:cstheme="minorHAnsi"/>
              </w:rPr>
            </w:pPr>
            <w:r>
              <w:t>Ο Υπουργός Δικαιοσύνης,</w:t>
            </w:r>
          </w:p>
          <w:p w14:paraId="271F69C9" w14:textId="77777777" w:rsidR="0066043F" w:rsidRPr="00F11721" w:rsidRDefault="0066043F" w:rsidP="005B3FB9">
            <w:pPr>
              <w:spacing w:before="240"/>
              <w:jc w:val="center"/>
            </w:pPr>
            <w:r>
              <w:t>P. VAN TIGCHELT</w:t>
            </w:r>
          </w:p>
        </w:tc>
      </w:tr>
      <w:tr w:rsidR="0066043F" w:rsidRPr="00F11721" w14:paraId="3A41DE4A" w14:textId="77777777" w:rsidTr="0066043F">
        <w:tc>
          <w:tcPr>
            <w:tcW w:w="5000" w:type="pct"/>
          </w:tcPr>
          <w:p w14:paraId="311DE88B" w14:textId="77777777" w:rsidR="0066043F" w:rsidRPr="00A35F0D" w:rsidRDefault="0066043F" w:rsidP="005B3FB9">
            <w:pPr>
              <w:spacing w:before="240"/>
              <w:jc w:val="center"/>
            </w:pPr>
            <w:r>
              <w:t>Σφραγίδα του κράτους:</w:t>
            </w:r>
          </w:p>
          <w:p w14:paraId="636EF669" w14:textId="77777777" w:rsidR="0066043F" w:rsidRDefault="0066043F" w:rsidP="005B3FB9">
            <w:pPr>
              <w:spacing w:before="240"/>
              <w:jc w:val="center"/>
            </w:pPr>
            <w:r>
              <w:t>Ο Υπουργός Δικαιοσύνης,</w:t>
            </w:r>
          </w:p>
          <w:p w14:paraId="32EFF2C9" w14:textId="77777777" w:rsidR="0066043F" w:rsidRPr="00F11721" w:rsidRDefault="0066043F" w:rsidP="005B3FB9">
            <w:pPr>
              <w:spacing w:before="240"/>
              <w:jc w:val="center"/>
            </w:pPr>
            <w:r>
              <w:t>P. VAN TIGCHELT</w:t>
            </w:r>
          </w:p>
        </w:tc>
      </w:tr>
      <w:tr w:rsidR="0066043F" w:rsidRPr="00A35F0D" w14:paraId="7F68DC46" w14:textId="77777777" w:rsidTr="0066043F">
        <w:tc>
          <w:tcPr>
            <w:tcW w:w="5000" w:type="pct"/>
          </w:tcPr>
          <w:p w14:paraId="0BF98B7C" w14:textId="77777777" w:rsidR="0066043F" w:rsidRPr="00A35F0D" w:rsidRDefault="0066043F" w:rsidP="005B3FB9">
            <w:pPr>
              <w:spacing w:before="240"/>
              <w:jc w:val="both"/>
              <w:rPr>
                <w:lang w:val="fr-FR"/>
              </w:rPr>
            </w:pPr>
          </w:p>
        </w:tc>
      </w:tr>
      <w:tr w:rsidR="0066043F" w:rsidRPr="00A35F0D" w14:paraId="0791B6E1" w14:textId="77777777" w:rsidTr="0066043F">
        <w:tc>
          <w:tcPr>
            <w:tcW w:w="5000" w:type="pct"/>
          </w:tcPr>
          <w:p w14:paraId="74D76D86" w14:textId="77777777" w:rsidR="0066043F" w:rsidRPr="00A35F0D" w:rsidRDefault="0066043F" w:rsidP="005B3FB9">
            <w:pPr>
              <w:spacing w:before="240"/>
              <w:jc w:val="center"/>
            </w:pPr>
            <w:r>
              <w:t>ΣΗΜΕΙΩΣΗ</w:t>
            </w:r>
          </w:p>
        </w:tc>
      </w:tr>
      <w:tr w:rsidR="0066043F" w:rsidRPr="00FE07E8" w14:paraId="6730366D" w14:textId="77777777" w:rsidTr="0066043F">
        <w:tc>
          <w:tcPr>
            <w:tcW w:w="5000" w:type="pct"/>
          </w:tcPr>
          <w:p w14:paraId="7C217953" w14:textId="77777777" w:rsidR="0066043F" w:rsidRPr="00010994" w:rsidRDefault="0066043F" w:rsidP="005B3FB9">
            <w:pPr>
              <w:jc w:val="both"/>
              <w:rPr>
                <w:lang w:eastAsia="en-GB"/>
              </w:rPr>
            </w:pPr>
          </w:p>
          <w:p w14:paraId="2B387012" w14:textId="77777777" w:rsidR="0066043F" w:rsidRPr="00502D71" w:rsidRDefault="0066043F" w:rsidP="005B3FB9">
            <w:pPr>
              <w:jc w:val="both"/>
            </w:pPr>
            <w:r>
              <w:t>(1) Βουλή των Αντιπροσώπων</w:t>
            </w:r>
          </w:p>
          <w:p w14:paraId="2F303363" w14:textId="77777777" w:rsidR="0066043F" w:rsidRPr="00FE07E8" w:rsidRDefault="0066043F" w:rsidP="005B3FB9">
            <w:pPr>
              <w:spacing w:before="240"/>
              <w:jc w:val="both"/>
            </w:pPr>
            <w:r>
              <w:t>(</w:t>
            </w:r>
            <w:hyperlink r:id="rId4" w:history="1">
              <w:r>
                <w:rPr>
                  <w:rStyle w:val="Hyperlink"/>
                </w:rPr>
                <w:t>www.lachambre.be</w:t>
              </w:r>
            </w:hyperlink>
            <w:r>
              <w:t>):</w:t>
            </w:r>
          </w:p>
        </w:tc>
      </w:tr>
      <w:tr w:rsidR="0066043F" w:rsidRPr="004454BC" w14:paraId="483BAC9C" w14:textId="77777777" w:rsidTr="0066043F">
        <w:tc>
          <w:tcPr>
            <w:tcW w:w="5000" w:type="pct"/>
          </w:tcPr>
          <w:p w14:paraId="3FA4EF28" w14:textId="77777777" w:rsidR="0066043F" w:rsidRPr="004454BC" w:rsidRDefault="0066043F" w:rsidP="005B3FB9">
            <w:pPr>
              <w:jc w:val="both"/>
            </w:pPr>
            <w:r>
              <w:t>Έγγραφα: 55-3956</w:t>
            </w:r>
          </w:p>
          <w:p w14:paraId="3577992A" w14:textId="77777777" w:rsidR="0066043F" w:rsidRPr="004454BC" w:rsidRDefault="0066043F" w:rsidP="005B3FB9">
            <w:pPr>
              <w:spacing w:before="240"/>
              <w:jc w:val="both"/>
            </w:pPr>
            <w:r>
              <w:t>Πλήρης έκθεση: 02 Μάιος 2024</w:t>
            </w:r>
          </w:p>
        </w:tc>
      </w:tr>
      <w:tr w:rsidR="0066043F" w:rsidRPr="00A35F0D" w14:paraId="7142AB2E" w14:textId="77777777" w:rsidTr="0066043F">
        <w:tc>
          <w:tcPr>
            <w:tcW w:w="5000" w:type="pct"/>
          </w:tcPr>
          <w:p w14:paraId="3459BA09" w14:textId="77777777" w:rsidR="0066043F" w:rsidRPr="00A35F0D" w:rsidRDefault="0066043F" w:rsidP="005B3FB9">
            <w:pPr>
              <w:spacing w:before="240"/>
              <w:jc w:val="both"/>
              <w:rPr>
                <w:lang w:val="fr-FR"/>
              </w:rPr>
            </w:pPr>
          </w:p>
        </w:tc>
      </w:tr>
    </w:tbl>
    <w:p w14:paraId="26C9C8ED" w14:textId="77777777" w:rsidR="00A36095" w:rsidRPr="0066043F" w:rsidRDefault="00A36095">
      <w:pPr>
        <w:rPr>
          <w:lang w:val="fr-FR"/>
        </w:rPr>
      </w:pPr>
    </w:p>
    <w:sectPr w:rsidR="00A36095" w:rsidRPr="00660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3F"/>
    <w:rsid w:val="00010994"/>
    <w:rsid w:val="000F018E"/>
    <w:rsid w:val="0066043F"/>
    <w:rsid w:val="006B0BBF"/>
    <w:rsid w:val="00A36095"/>
    <w:rsid w:val="00CF682C"/>
    <w:rsid w:val="00DD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09B6"/>
  <w15:chartTrackingRefBased/>
  <w15:docId w15:val="{16EE4D2E-2227-422F-88B6-A4BC4DE3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4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
    <w:name w:val="_Sup"/>
    <w:uiPriority w:val="99"/>
    <w:rsid w:val="0066043F"/>
    <w:rPr>
      <w:vertAlign w:val="superscript"/>
    </w:rPr>
  </w:style>
  <w:style w:type="character" w:styleId="Hyperlink">
    <w:name w:val="Hyperlink"/>
    <w:rsid w:val="0066043F"/>
    <w:rPr>
      <w:color w:val="0000FF"/>
      <w:u w:val="single"/>
    </w:rPr>
  </w:style>
  <w:style w:type="character" w:customStyle="1" w:styleId="Italic">
    <w:name w:val="_Italic"/>
    <w:uiPriority w:val="99"/>
    <w:rsid w:val="006604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chambr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4746</Words>
  <Characters>26124</Characters>
  <Application>Microsoft Office Word</Application>
  <DocSecurity>0</DocSecurity>
  <Lines>436</Lines>
  <Paragraphs>169</Paragraphs>
  <ScaleCrop>false</ScaleCrop>
  <Company>Federal Justice Belgium</Company>
  <LinksUpToDate>false</LinksUpToDate>
  <CharactersWithSpaces>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Failla Jessica</dc:creator>
  <cp:keywords>class='Internal'</cp:keywords>
  <dc:description/>
  <cp:lastModifiedBy>Ragnhild Efraimsson</cp:lastModifiedBy>
  <cp:revision>2</cp:revision>
  <dcterms:created xsi:type="dcterms:W3CDTF">2024-06-20T13:22:00Z</dcterms:created>
  <dcterms:modified xsi:type="dcterms:W3CDTF">2024-06-20T13:22:00Z</dcterms:modified>
</cp:coreProperties>
</file>