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6043F" w:rsidRPr="002217AD" w14:paraId="4B918421" w14:textId="77777777" w:rsidTr="0066043F">
        <w:tc>
          <w:tcPr>
            <w:tcW w:w="5000" w:type="pct"/>
          </w:tcPr>
          <w:p w14:paraId="35850805" w14:textId="77777777" w:rsidR="0066043F" w:rsidRPr="00DD5BDD" w:rsidRDefault="0066043F" w:rsidP="005B3FB9">
            <w:pPr>
              <w:spacing w:before="240"/>
              <w:jc w:val="center"/>
              <w:rPr>
                <w:b/>
                <w:bCs/>
                <w:caps/>
              </w:rPr>
            </w:pPr>
            <w:r>
              <w:rPr>
                <w:b/>
                <w:caps/>
              </w:rPr>
              <w:t>Królestwo Belgii</w:t>
            </w:r>
          </w:p>
        </w:tc>
      </w:tr>
      <w:tr w:rsidR="0066043F" w:rsidRPr="002217AD" w14:paraId="5338082C" w14:textId="77777777" w:rsidTr="0066043F">
        <w:tc>
          <w:tcPr>
            <w:tcW w:w="5000" w:type="pct"/>
          </w:tcPr>
          <w:p w14:paraId="2886B770" w14:textId="77777777" w:rsidR="0066043F" w:rsidRPr="002217AD" w:rsidRDefault="0066043F" w:rsidP="005B3FB9">
            <w:pPr>
              <w:spacing w:before="240"/>
              <w:jc w:val="center"/>
              <w:rPr>
                <w:b/>
                <w:bCs/>
              </w:rPr>
            </w:pPr>
            <w:r>
              <w:rPr>
                <w:b/>
              </w:rPr>
              <w:t>_________</w:t>
            </w:r>
          </w:p>
        </w:tc>
      </w:tr>
      <w:tr w:rsidR="0066043F" w:rsidRPr="002217AD" w14:paraId="01058409" w14:textId="77777777" w:rsidTr="0066043F">
        <w:tc>
          <w:tcPr>
            <w:tcW w:w="5000" w:type="pct"/>
          </w:tcPr>
          <w:p w14:paraId="279E5A93" w14:textId="77777777" w:rsidR="0066043F" w:rsidRPr="002217AD" w:rsidRDefault="0066043F" w:rsidP="005B3FB9">
            <w:pPr>
              <w:spacing w:before="240"/>
              <w:jc w:val="center"/>
              <w:rPr>
                <w:b/>
                <w:bCs/>
              </w:rPr>
            </w:pPr>
          </w:p>
        </w:tc>
      </w:tr>
      <w:tr w:rsidR="0066043F" w:rsidRPr="002217AD" w14:paraId="6055F6C0" w14:textId="77777777" w:rsidTr="0066043F">
        <w:tc>
          <w:tcPr>
            <w:tcW w:w="5000" w:type="pct"/>
          </w:tcPr>
          <w:p w14:paraId="4BA6FD73" w14:textId="77777777" w:rsidR="0066043F" w:rsidRPr="00DD5BDD" w:rsidRDefault="0066043F" w:rsidP="005B3FB9">
            <w:pPr>
              <w:spacing w:before="240"/>
              <w:jc w:val="center"/>
              <w:rPr>
                <w:b/>
                <w:bCs/>
                <w:caps/>
              </w:rPr>
            </w:pPr>
            <w:r>
              <w:rPr>
                <w:b/>
                <w:caps/>
              </w:rPr>
              <w:t>Federalna Służba Publiczna ds. Sprawiedliwości</w:t>
            </w:r>
          </w:p>
        </w:tc>
      </w:tr>
      <w:tr w:rsidR="0066043F" w:rsidRPr="002217AD" w14:paraId="4B0C7A9F" w14:textId="77777777" w:rsidTr="0066043F">
        <w:tc>
          <w:tcPr>
            <w:tcW w:w="5000" w:type="pct"/>
          </w:tcPr>
          <w:p w14:paraId="5CE7FE1D" w14:textId="77777777" w:rsidR="0066043F" w:rsidRPr="002217AD" w:rsidRDefault="0066043F" w:rsidP="005B3FB9">
            <w:pPr>
              <w:spacing w:before="240"/>
              <w:jc w:val="both"/>
              <w:rPr>
                <w:b/>
                <w:bCs/>
              </w:rPr>
            </w:pPr>
          </w:p>
        </w:tc>
      </w:tr>
      <w:tr w:rsidR="0066043F" w:rsidRPr="001262B1" w14:paraId="135E58F9" w14:textId="77777777" w:rsidTr="0066043F">
        <w:tc>
          <w:tcPr>
            <w:tcW w:w="5000" w:type="pct"/>
          </w:tcPr>
          <w:p w14:paraId="38C908AB" w14:textId="514268E2" w:rsidR="0066043F" w:rsidRPr="001262B1" w:rsidRDefault="0066043F" w:rsidP="005B3FB9">
            <w:pPr>
              <w:spacing w:before="240"/>
              <w:jc w:val="both"/>
              <w:rPr>
                <w:b/>
                <w:bCs/>
              </w:rPr>
            </w:pPr>
            <w:r>
              <w:rPr>
                <w:b/>
              </w:rPr>
              <w:t>7 MAJ 2024 r. – Ustawa z dnia 7 maja 1999 r. o zmianie ustawy o grach losowych, zakładach bukmacherskich, placówkach hazardowych i ochronie graczy oraz o zmianie niektórych przepisów dotyczących gier hazardowych (1)</w:t>
            </w:r>
          </w:p>
        </w:tc>
      </w:tr>
      <w:tr w:rsidR="0066043F" w:rsidRPr="002217AD" w14:paraId="6CCA7224" w14:textId="77777777" w:rsidTr="0066043F">
        <w:tc>
          <w:tcPr>
            <w:tcW w:w="5000" w:type="pct"/>
          </w:tcPr>
          <w:p w14:paraId="2587FB8F" w14:textId="77777777" w:rsidR="0066043F" w:rsidRPr="00567F89" w:rsidRDefault="0066043F" w:rsidP="005B3FB9">
            <w:pPr>
              <w:spacing w:before="240"/>
              <w:jc w:val="both"/>
            </w:pPr>
          </w:p>
        </w:tc>
      </w:tr>
      <w:tr w:rsidR="0066043F" w14:paraId="18274E42" w14:textId="77777777" w:rsidTr="0066043F">
        <w:tc>
          <w:tcPr>
            <w:tcW w:w="5000" w:type="pct"/>
          </w:tcPr>
          <w:p w14:paraId="2D89BD13" w14:textId="77777777" w:rsidR="0066043F" w:rsidRDefault="0066043F" w:rsidP="005B3FB9">
            <w:pPr>
              <w:spacing w:before="240"/>
              <w:jc w:val="both"/>
            </w:pPr>
            <w:r>
              <w:t>FILIP, Król Belgów,</w:t>
            </w:r>
          </w:p>
        </w:tc>
      </w:tr>
      <w:tr w:rsidR="0066043F" w:rsidRPr="002217AD" w14:paraId="7AB666BB" w14:textId="77777777" w:rsidTr="0066043F">
        <w:tc>
          <w:tcPr>
            <w:tcW w:w="5000" w:type="pct"/>
          </w:tcPr>
          <w:p w14:paraId="36F1F0FA" w14:textId="77777777" w:rsidR="0066043F" w:rsidRPr="002217AD" w:rsidRDefault="0066043F" w:rsidP="005B3FB9">
            <w:pPr>
              <w:spacing w:before="240"/>
              <w:jc w:val="both"/>
            </w:pPr>
            <w:r>
              <w:t>Pozdrawiamy wszystkich naszych obecnych i przyszłych poddanych.</w:t>
            </w:r>
          </w:p>
        </w:tc>
      </w:tr>
      <w:tr w:rsidR="0066043F" w:rsidRPr="002217AD" w14:paraId="2C083866" w14:textId="77777777" w:rsidTr="0066043F">
        <w:tc>
          <w:tcPr>
            <w:tcW w:w="5000" w:type="pct"/>
          </w:tcPr>
          <w:p w14:paraId="429011D0" w14:textId="77777777" w:rsidR="0066043F" w:rsidRPr="002217AD" w:rsidRDefault="0066043F" w:rsidP="005B3FB9">
            <w:pPr>
              <w:spacing w:before="240"/>
              <w:jc w:val="both"/>
            </w:pPr>
            <w:r>
              <w:t>Izba Reprezentantów przyjęła a My wyrażamy zgodę na poniższe:</w:t>
            </w:r>
          </w:p>
        </w:tc>
      </w:tr>
      <w:tr w:rsidR="0066043F" w:rsidRPr="0082140B" w14:paraId="09544200" w14:textId="77777777" w:rsidTr="0066043F">
        <w:tc>
          <w:tcPr>
            <w:tcW w:w="5000" w:type="pct"/>
          </w:tcPr>
          <w:p w14:paraId="526860BE" w14:textId="77777777" w:rsidR="0066043F" w:rsidRPr="0082140B" w:rsidRDefault="0066043F" w:rsidP="005B3FB9">
            <w:pPr>
              <w:spacing w:before="240"/>
              <w:jc w:val="center"/>
            </w:pPr>
            <w:r>
              <w:t xml:space="preserve">ROZDZIAŁ 1. – </w:t>
            </w:r>
            <w:r>
              <w:rPr>
                <w:i/>
              </w:rPr>
              <w:t>Przepisy ogólne</w:t>
            </w:r>
          </w:p>
        </w:tc>
      </w:tr>
      <w:tr w:rsidR="0066043F" w:rsidRPr="002217AD" w14:paraId="19F0334F" w14:textId="77777777" w:rsidTr="0066043F">
        <w:tc>
          <w:tcPr>
            <w:tcW w:w="5000" w:type="pct"/>
          </w:tcPr>
          <w:p w14:paraId="0074BFD6" w14:textId="77777777" w:rsidR="0066043F" w:rsidRPr="002217AD" w:rsidRDefault="0066043F" w:rsidP="005B3FB9">
            <w:pPr>
              <w:spacing w:before="240"/>
              <w:jc w:val="both"/>
            </w:pPr>
            <w:r>
              <w:rPr>
                <w:b/>
              </w:rPr>
              <w:t xml:space="preserve">Artykuł 1. </w:t>
            </w:r>
            <w:r>
              <w:t>Niniejsza ustawa reguluje dziedzinę, o której mowa w art. 74 Konstytucji.</w:t>
            </w:r>
          </w:p>
        </w:tc>
      </w:tr>
      <w:tr w:rsidR="0066043F" w:rsidRPr="0082140B" w14:paraId="5B92BC29" w14:textId="77777777" w:rsidTr="0066043F">
        <w:tc>
          <w:tcPr>
            <w:tcW w:w="5000" w:type="pct"/>
          </w:tcPr>
          <w:p w14:paraId="2EED2AE1" w14:textId="77777777" w:rsidR="0066043F" w:rsidRPr="0082140B" w:rsidRDefault="0066043F" w:rsidP="005B3FB9">
            <w:pPr>
              <w:spacing w:before="240"/>
              <w:jc w:val="center"/>
            </w:pPr>
            <w:r>
              <w:t xml:space="preserve">Rozdział 2 – </w:t>
            </w:r>
            <w:r>
              <w:rPr>
                <w:i/>
              </w:rPr>
              <w:t>Zmiany ustawy z dnia 7 maja 1999 r. o grach losowych, zakładach bukmacherskich, zakładach gier hazardowych i ochronie graczy</w:t>
            </w:r>
          </w:p>
        </w:tc>
      </w:tr>
      <w:tr w:rsidR="0066043F" w:rsidRPr="002217AD" w14:paraId="44C8AD35" w14:textId="77777777" w:rsidTr="0066043F">
        <w:tc>
          <w:tcPr>
            <w:tcW w:w="5000" w:type="pct"/>
          </w:tcPr>
          <w:p w14:paraId="27495EDB" w14:textId="77777777" w:rsidR="0066043F" w:rsidRPr="002217AD" w:rsidRDefault="0066043F" w:rsidP="005B3FB9">
            <w:pPr>
              <w:spacing w:before="240"/>
              <w:jc w:val="both"/>
            </w:pPr>
            <w:r>
              <w:rPr>
                <w:b/>
              </w:rPr>
              <w:t>Artykuł 2.</w:t>
            </w:r>
            <w:r>
              <w:t xml:space="preserve"> Artykuł 4 ustawy z dnia 7 maja 1999 r. o grach losowych, zakładach bukmacherskich, zakładach gier hazardowych i ochronie graczy, zastąpionej ustawą z dnia 10 stycznia 2010 r., uzupełnia się o ust. 4 i 5 w następującym brzmieniu:</w:t>
            </w:r>
          </w:p>
        </w:tc>
      </w:tr>
      <w:tr w:rsidR="0066043F" w:rsidRPr="002217AD" w14:paraId="44597AC5" w14:textId="77777777" w:rsidTr="0066043F">
        <w:tc>
          <w:tcPr>
            <w:tcW w:w="5000" w:type="pct"/>
          </w:tcPr>
          <w:p w14:paraId="61A9A630" w14:textId="77777777" w:rsidR="0066043F" w:rsidRPr="002217AD" w:rsidRDefault="0066043F" w:rsidP="005B3FB9">
            <w:pPr>
              <w:spacing w:before="240"/>
              <w:jc w:val="both"/>
            </w:pPr>
            <w:r>
              <w:t>„§ 4. Zabrania się każdej osobie wykorzystywania, w jakiejkolwiek formie, danych osobowych nienależących do niej w celu uzyskania dostępu do zakładu gier hazardowych lub korzystania z gier hazardowych.</w:t>
            </w:r>
          </w:p>
        </w:tc>
      </w:tr>
      <w:tr w:rsidR="0066043F" w:rsidRPr="002217AD" w14:paraId="02D0F5C0" w14:textId="77777777" w:rsidTr="0066043F">
        <w:tc>
          <w:tcPr>
            <w:tcW w:w="5000" w:type="pct"/>
          </w:tcPr>
          <w:p w14:paraId="37C7B0A8" w14:textId="77777777" w:rsidR="0066043F" w:rsidRPr="002217AD" w:rsidRDefault="0066043F" w:rsidP="005B3FB9">
            <w:pPr>
              <w:spacing w:before="240"/>
              <w:jc w:val="both"/>
            </w:pPr>
            <w:r>
              <w:t>Zabrania się każdej osobie udostępniania danych osobowych innej osobie w jakiejkolwiek formie, wiedząc, że dane te będą wykorzystywane w celu uzyskania dostępu do zakładu gier hazardowych lub korzystania z gier hazardowych.</w:t>
            </w:r>
          </w:p>
        </w:tc>
      </w:tr>
      <w:tr w:rsidR="0066043F" w:rsidRPr="002217AD" w14:paraId="6769D09B" w14:textId="77777777" w:rsidTr="0066043F">
        <w:tc>
          <w:tcPr>
            <w:tcW w:w="5000" w:type="pct"/>
          </w:tcPr>
          <w:p w14:paraId="25707CA0" w14:textId="77777777" w:rsidR="0066043F" w:rsidRPr="002217AD" w:rsidRDefault="0066043F" w:rsidP="005B3FB9">
            <w:pPr>
              <w:spacing w:before="240"/>
              <w:jc w:val="both"/>
            </w:pPr>
            <w:r>
              <w:t>Do celów niniejszego ustępu „dane osobowe” oznaczają dane osobowe zdefiniowane w art. 4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tr w:rsidR="0066043F" w:rsidRPr="002217AD" w14:paraId="53A76D84" w14:textId="77777777" w:rsidTr="0066043F">
        <w:tc>
          <w:tcPr>
            <w:tcW w:w="5000" w:type="pct"/>
          </w:tcPr>
          <w:p w14:paraId="6174A9EA" w14:textId="77777777" w:rsidR="0066043F" w:rsidRPr="002217AD" w:rsidRDefault="0066043F" w:rsidP="005B3FB9">
            <w:pPr>
              <w:spacing w:before="240"/>
              <w:jc w:val="both"/>
            </w:pPr>
            <w:r>
              <w:t>§ 5. Zabrania się każdej osobie udzielania dostępu do zakładu gier hazardowych lub uprawiania gier hazardowych osobom, dla których taki dostęp lub praktyka nie są dozwolone zgodnie z art. 54.”.</w:t>
            </w:r>
          </w:p>
        </w:tc>
      </w:tr>
      <w:tr w:rsidR="0066043F" w:rsidRPr="002217AD" w14:paraId="6EF83FF4" w14:textId="77777777" w:rsidTr="0066043F">
        <w:tc>
          <w:tcPr>
            <w:tcW w:w="5000" w:type="pct"/>
          </w:tcPr>
          <w:p w14:paraId="5921564A" w14:textId="77777777" w:rsidR="0066043F" w:rsidRPr="002217AD" w:rsidRDefault="0066043F" w:rsidP="005B3FB9">
            <w:pPr>
              <w:spacing w:before="240"/>
              <w:jc w:val="both"/>
            </w:pPr>
            <w:r>
              <w:rPr>
                <w:b/>
              </w:rPr>
              <w:t>Artykuł 3.</w:t>
            </w:r>
            <w:r>
              <w:t xml:space="preserve"> Do tej samej ustawy dodaje się art. 8/1 w brzmieniu:</w:t>
            </w:r>
          </w:p>
        </w:tc>
      </w:tr>
      <w:tr w:rsidR="0066043F" w:rsidRPr="002217AD" w14:paraId="3D79F3FB" w14:textId="77777777" w:rsidTr="0066043F">
        <w:tc>
          <w:tcPr>
            <w:tcW w:w="5000" w:type="pct"/>
          </w:tcPr>
          <w:p w14:paraId="44BA6322" w14:textId="77777777" w:rsidR="0066043F" w:rsidRPr="002217AD" w:rsidRDefault="0066043F" w:rsidP="005B3FB9">
            <w:pPr>
              <w:spacing w:before="240"/>
              <w:jc w:val="both"/>
            </w:pPr>
            <w:r>
              <w:lastRenderedPageBreak/>
              <w:t>„Artykuł 8/1 Służba Mediacji Konsumenckiej, o której mowa w art. XVI.5 kodeksu prawa gospodarczego, przyjmuje i rozpatruje wnioski o pozasądowe rozstrzygnięcie sporu konsumenckiego dotyczącego gier hazardowych zgodnie z przepisami określonymi w sekcji 2 rozdziału 3 tytułu 3 księgi XVI tego kodeksu.</w:t>
            </w:r>
          </w:p>
        </w:tc>
      </w:tr>
      <w:tr w:rsidR="0066043F" w:rsidRPr="002217AD" w14:paraId="13E0619B" w14:textId="77777777" w:rsidTr="0066043F">
        <w:tc>
          <w:tcPr>
            <w:tcW w:w="5000" w:type="pct"/>
          </w:tcPr>
          <w:p w14:paraId="0A91BBDA" w14:textId="77777777" w:rsidR="0066043F" w:rsidRPr="002217AD" w:rsidRDefault="0066043F" w:rsidP="005B3FB9">
            <w:pPr>
              <w:spacing w:before="240"/>
              <w:jc w:val="both"/>
            </w:pPr>
            <w:r>
              <w:t>Jeżeli wniosek dotyczy naruszenia niniejszej ustawy lub jej dekretów wykonawczych, Służba Mediacji Konsumenckiej przekazuje go Komisji.”.</w:t>
            </w:r>
          </w:p>
        </w:tc>
      </w:tr>
      <w:tr w:rsidR="0066043F" w:rsidRPr="002217AD" w14:paraId="6EC78BD6" w14:textId="77777777" w:rsidTr="0066043F">
        <w:tc>
          <w:tcPr>
            <w:tcW w:w="5000" w:type="pct"/>
          </w:tcPr>
          <w:p w14:paraId="220D2EC2" w14:textId="77777777" w:rsidR="0066043F" w:rsidRPr="002217AD" w:rsidRDefault="0066043F" w:rsidP="005B3FB9">
            <w:pPr>
              <w:spacing w:before="240"/>
              <w:jc w:val="both"/>
            </w:pPr>
            <w:r>
              <w:rPr>
                <w:b/>
              </w:rPr>
              <w:t>Artykuł 4.</w:t>
            </w:r>
            <w:r>
              <w:t xml:space="preserve"> W art. 15 ust. 1 pkt 4 ppkt 2 tej ustawy między słowami „wymagać przekazania wszystkich dokumentów” a słowami „które mogą być przydatne do ich dochodzenia;” dodaje się słowa „a w szczególności rejestru podmiotów zawodowych, o których mowa w art. 55/4, oraz obrazów z kamer monitorujących zainstalowanych przez operatorów zgodnie z ustawą z dnia 21 marca 2007 r. regulującą instalację i użytkowanie kamer monitorujących;”.</w:t>
            </w:r>
          </w:p>
        </w:tc>
      </w:tr>
      <w:tr w:rsidR="0066043F" w:rsidRPr="002217AD" w14:paraId="2853B46D" w14:textId="77777777" w:rsidTr="0066043F">
        <w:tc>
          <w:tcPr>
            <w:tcW w:w="5000" w:type="pct"/>
          </w:tcPr>
          <w:p w14:paraId="784C75E4" w14:textId="77777777" w:rsidR="0066043F" w:rsidRPr="002217AD" w:rsidRDefault="0066043F" w:rsidP="005B3FB9">
            <w:pPr>
              <w:spacing w:before="240"/>
              <w:jc w:val="both"/>
            </w:pPr>
            <w:r>
              <w:rPr>
                <w:b/>
              </w:rPr>
              <w:t>Artykuł 5.</w:t>
            </w:r>
            <w:r>
              <w:t xml:space="preserve"> W art. 15/2 tej samej ustawy, dodanym ustawą z dnia 10 stycznia 2010 r. i zastąpionym ustawą z dnia 7 maja 2019 r., wprowadza się następujące zmiany:</w:t>
            </w:r>
          </w:p>
        </w:tc>
      </w:tr>
      <w:tr w:rsidR="0066043F" w:rsidRPr="002217AD" w14:paraId="0651BAC9" w14:textId="77777777" w:rsidTr="0066043F">
        <w:tc>
          <w:tcPr>
            <w:tcW w:w="5000" w:type="pct"/>
          </w:tcPr>
          <w:p w14:paraId="2E3D722C" w14:textId="77777777" w:rsidR="0066043F" w:rsidRPr="002217AD" w:rsidRDefault="0066043F" w:rsidP="005B3FB9">
            <w:pPr>
              <w:spacing w:before="240"/>
              <w:jc w:val="both"/>
            </w:pPr>
            <w:r>
              <w:t>1) w ust. 2 pkt 1 ppkt 3 słowa „osoby poniżej 18 roku życia” zastępuje się słowami „osoby poniżej 21 roku życia”;</w:t>
            </w:r>
          </w:p>
        </w:tc>
      </w:tr>
      <w:tr w:rsidR="0066043F" w:rsidRPr="002217AD" w14:paraId="658582C2" w14:textId="77777777" w:rsidTr="0066043F">
        <w:tc>
          <w:tcPr>
            <w:tcW w:w="5000" w:type="pct"/>
          </w:tcPr>
          <w:p w14:paraId="0877585C" w14:textId="77777777" w:rsidR="0066043F" w:rsidRPr="002217AD" w:rsidRDefault="0066043F" w:rsidP="005B3FB9">
            <w:pPr>
              <w:spacing w:before="240"/>
              <w:jc w:val="both"/>
            </w:pPr>
            <w:r>
              <w:t>2) w ust. 3 pkt 1 ppkt 2 słowa „osoba poniżej 18 roku życia; ” zastępuje się słowami „osoby poniżej 21 roku życia; ”.</w:t>
            </w:r>
          </w:p>
        </w:tc>
      </w:tr>
      <w:tr w:rsidR="0066043F" w:rsidRPr="002217AD" w14:paraId="7967A93B" w14:textId="77777777" w:rsidTr="0066043F">
        <w:tc>
          <w:tcPr>
            <w:tcW w:w="5000" w:type="pct"/>
          </w:tcPr>
          <w:p w14:paraId="4DF6354D" w14:textId="77777777" w:rsidR="0066043F" w:rsidRPr="002217AD" w:rsidRDefault="0066043F" w:rsidP="005B3FB9">
            <w:pPr>
              <w:spacing w:before="240"/>
              <w:jc w:val="both"/>
            </w:pPr>
            <w:r>
              <w:rPr>
                <w:b/>
              </w:rPr>
              <w:t>Artykuł 6.</w:t>
            </w:r>
            <w:r>
              <w:t xml:space="preserve"> W art. 15/3 ust. 1 tej samej ustawy, wprowadzonym ustawą z dnia 10 stycznia 2010 r., zastąpionym ustawą z dnia 7 maja 2019 r. i ostatnio zmienionym ustawą z dnia 18 stycznia 2024 r., wyrazy „46, 54, 58, 60, 62 oraz przepisy przyjęte w wykonaniu tych artykułów i art. 61 ust. 2” zastępuje się wyrazami „46, 58, 60, 61 ust. 2 i 3 oraz przepisy przyjęte w wykonaniu tych artykułów”.</w:t>
            </w:r>
          </w:p>
        </w:tc>
      </w:tr>
      <w:tr w:rsidR="0066043F" w:rsidRPr="002217AD" w14:paraId="1E4CEBD0" w14:textId="77777777" w:rsidTr="0066043F">
        <w:tc>
          <w:tcPr>
            <w:tcW w:w="5000" w:type="pct"/>
          </w:tcPr>
          <w:p w14:paraId="18D4299B" w14:textId="77777777" w:rsidR="0066043F" w:rsidRPr="002217AD" w:rsidRDefault="0066043F" w:rsidP="005B3FB9">
            <w:pPr>
              <w:spacing w:before="240"/>
              <w:jc w:val="both"/>
            </w:pPr>
            <w:r>
              <w:rPr>
                <w:b/>
              </w:rPr>
              <w:t>Artykuł 7.</w:t>
            </w:r>
            <w:r>
              <w:t xml:space="preserve"> W art. 20 tej samej ustawy, zmienionym ustawami z dnia 10 stycznia 2010 r. i 18 września 2017 r., pkt 3 otrzymuje brzmienie:</w:t>
            </w:r>
          </w:p>
        </w:tc>
      </w:tr>
      <w:tr w:rsidR="0066043F" w:rsidRPr="002217AD" w14:paraId="6899992B" w14:textId="77777777" w:rsidTr="0066043F">
        <w:tc>
          <w:tcPr>
            <w:tcW w:w="5000" w:type="pct"/>
          </w:tcPr>
          <w:p w14:paraId="07FF4F80" w14:textId="77777777" w:rsidR="0066043F" w:rsidRPr="002217AD" w:rsidRDefault="0066043F" w:rsidP="005B3FB9">
            <w:pPr>
              <w:spacing w:before="240"/>
              <w:jc w:val="both"/>
            </w:pPr>
            <w:r>
              <w:t>„Komisja przyjmuje skargi dotyczące stosowania i egzekwowania niniejszej ustawy i jej dekretów wykonawczych w sposób przez nią określony”.</w:t>
            </w:r>
          </w:p>
        </w:tc>
      </w:tr>
      <w:tr w:rsidR="0066043F" w:rsidRPr="002217AD" w14:paraId="0154410B" w14:textId="77777777" w:rsidTr="0066043F">
        <w:tc>
          <w:tcPr>
            <w:tcW w:w="5000" w:type="pct"/>
          </w:tcPr>
          <w:p w14:paraId="6796053F" w14:textId="77777777" w:rsidR="0066043F" w:rsidRPr="002217AD" w:rsidRDefault="0066043F" w:rsidP="005B3FB9">
            <w:pPr>
              <w:spacing w:before="240"/>
              <w:jc w:val="both"/>
            </w:pPr>
            <w:r>
              <w:rPr>
                <w:b/>
              </w:rPr>
              <w:t xml:space="preserve">Artykuł 8 </w:t>
            </w:r>
            <w:r>
              <w:t>Art. 24 tej samej ustawy otrzymuje brzmienie:</w:t>
            </w:r>
          </w:p>
        </w:tc>
      </w:tr>
      <w:tr w:rsidR="0066043F" w:rsidRPr="0071317A" w14:paraId="5016A177" w14:textId="77777777" w:rsidTr="0066043F">
        <w:tc>
          <w:tcPr>
            <w:tcW w:w="5000" w:type="pct"/>
          </w:tcPr>
          <w:p w14:paraId="184FFFD7" w14:textId="77777777" w:rsidR="0066043F" w:rsidRPr="0071317A" w:rsidRDefault="0066043F" w:rsidP="005B3FB9">
            <w:pPr>
              <w:spacing w:before="240"/>
              <w:jc w:val="both"/>
            </w:pPr>
            <w:r>
              <w:t>„Artykuł 24. § 1. W celu wzmocnienia ochrony graczy Komisja spotyka się co najmniej raz w roku z przedstawicielami licencjobiorców w celu zapoznania się z perspektywami i inicjatywami podmiotów w odniesieniu do uzależnień behawioralnych oraz na temat zadłużenia i zasobów, które przeznaczają na ten cel.</w:t>
            </w:r>
          </w:p>
        </w:tc>
      </w:tr>
      <w:tr w:rsidR="0066043F" w:rsidRPr="002217AD" w14:paraId="3802F96C" w14:textId="77777777" w:rsidTr="0066043F">
        <w:tc>
          <w:tcPr>
            <w:tcW w:w="5000" w:type="pct"/>
          </w:tcPr>
          <w:p w14:paraId="0F3D26B7" w14:textId="77777777" w:rsidR="0066043F" w:rsidRPr="002217AD" w:rsidRDefault="0066043F" w:rsidP="005B3FB9">
            <w:pPr>
              <w:spacing w:before="240"/>
              <w:jc w:val="both"/>
            </w:pPr>
            <w:r>
              <w:t>Informacje te przekazuje się w sprawozdaniu, o którym mowa w art. 16.</w:t>
            </w:r>
          </w:p>
        </w:tc>
      </w:tr>
      <w:tr w:rsidR="0066043F" w:rsidRPr="002217AD" w14:paraId="34AF8C82" w14:textId="77777777" w:rsidTr="0066043F">
        <w:tc>
          <w:tcPr>
            <w:tcW w:w="5000" w:type="pct"/>
          </w:tcPr>
          <w:p w14:paraId="65276DE3" w14:textId="77777777" w:rsidR="0066043F" w:rsidRPr="002217AD" w:rsidRDefault="0066043F" w:rsidP="005B3FB9">
            <w:pPr>
              <w:spacing w:before="240"/>
              <w:jc w:val="both"/>
            </w:pPr>
            <w:r>
              <w:t>§ 2. W sprawach wchodzących w zakres jej kompetencji Komisja może, po konsultacji z Federalną Służbą Publiczną ds. Zdrowia Publicznego, sporządzić wspólne protokoły w celu technicznego i praktycznego wdrożenia przepisów ustawowych i wykonawczych.</w:t>
            </w:r>
          </w:p>
        </w:tc>
      </w:tr>
      <w:tr w:rsidR="0066043F" w:rsidRPr="002217AD" w14:paraId="2FB6DE2D" w14:textId="77777777" w:rsidTr="0066043F">
        <w:tc>
          <w:tcPr>
            <w:tcW w:w="5000" w:type="pct"/>
          </w:tcPr>
          <w:p w14:paraId="4DAE3868" w14:textId="77777777" w:rsidR="0066043F" w:rsidRPr="002217AD" w:rsidRDefault="0066043F" w:rsidP="005B3FB9">
            <w:pPr>
              <w:spacing w:before="240"/>
              <w:jc w:val="both"/>
            </w:pPr>
            <w:r>
              <w:t>Jeżeli w terminie 30 dni Federalna Służba Publiczna ds. Zdrowia Publicznego nie przekaże Komisji żadnego zawiadomienia lub wniosku o przedłużenie terminu do 60 dni, postępowanie będzie kontynuowane bez powiadomienia.</w:t>
            </w:r>
          </w:p>
        </w:tc>
      </w:tr>
      <w:tr w:rsidR="0066043F" w:rsidRPr="002217AD" w14:paraId="71232CCD" w14:textId="77777777" w:rsidTr="0066043F">
        <w:tc>
          <w:tcPr>
            <w:tcW w:w="5000" w:type="pct"/>
          </w:tcPr>
          <w:p w14:paraId="15762982" w14:textId="77777777" w:rsidR="0066043F" w:rsidRPr="002217AD" w:rsidRDefault="0066043F" w:rsidP="005B3FB9">
            <w:pPr>
              <w:spacing w:before="240"/>
              <w:jc w:val="both"/>
            </w:pPr>
            <w:r>
              <w:t>Komisja publikuje te protokoły w belgijskim dzienniku urzędowym”.</w:t>
            </w:r>
          </w:p>
        </w:tc>
      </w:tr>
      <w:tr w:rsidR="0066043F" w:rsidRPr="002217AD" w14:paraId="155B7AA7" w14:textId="77777777" w:rsidTr="0066043F">
        <w:tc>
          <w:tcPr>
            <w:tcW w:w="5000" w:type="pct"/>
          </w:tcPr>
          <w:p w14:paraId="6D7AA6BC" w14:textId="77777777" w:rsidR="0066043F" w:rsidRPr="002217AD" w:rsidRDefault="0066043F" w:rsidP="005B3FB9">
            <w:pPr>
              <w:spacing w:before="240"/>
              <w:jc w:val="both"/>
            </w:pPr>
            <w:r>
              <w:rPr>
                <w:b/>
              </w:rPr>
              <w:lastRenderedPageBreak/>
              <w:t>Artykuł 9.</w:t>
            </w:r>
            <w:r>
              <w:t xml:space="preserve"> Do tej samej ustawy dodaje się art. 42/1 w brzmieniu:</w:t>
            </w:r>
          </w:p>
        </w:tc>
      </w:tr>
      <w:tr w:rsidR="0066043F" w:rsidRPr="002217AD" w14:paraId="6627EF06" w14:textId="77777777" w:rsidTr="0066043F">
        <w:tc>
          <w:tcPr>
            <w:tcW w:w="5000" w:type="pct"/>
          </w:tcPr>
          <w:p w14:paraId="717D11FC" w14:textId="77777777" w:rsidR="0066043F" w:rsidRPr="002217AD" w:rsidRDefault="0066043F" w:rsidP="005B3FB9">
            <w:pPr>
              <w:spacing w:before="240"/>
              <w:jc w:val="both"/>
            </w:pPr>
            <w:r>
              <w:t>„Artykuł 42/1. Aby pozostać posiadaczem licencji klasy C, wnioskodawca musi nadal spełniać warunki określone w art. 41 i 42”.</w:t>
            </w:r>
          </w:p>
        </w:tc>
      </w:tr>
      <w:tr w:rsidR="0066043F" w:rsidRPr="002217AD" w14:paraId="7EDAD023" w14:textId="77777777" w:rsidTr="0066043F">
        <w:tc>
          <w:tcPr>
            <w:tcW w:w="5000" w:type="pct"/>
          </w:tcPr>
          <w:p w14:paraId="2509AA66" w14:textId="77777777" w:rsidR="0066043F" w:rsidRPr="002217AD" w:rsidRDefault="0066043F" w:rsidP="005B3FB9">
            <w:pPr>
              <w:spacing w:before="240"/>
              <w:jc w:val="both"/>
            </w:pPr>
            <w:r>
              <w:rPr>
                <w:b/>
              </w:rPr>
              <w:t>Artykuł 10.</w:t>
            </w:r>
            <w:r>
              <w:t xml:space="preserve"> W art. 43/1 ust. 1 tej samej ustawy, wprowadzonym ustawą z dnia 10 stycznia 2010 r. i zmienionym ustawą z dnia 7 maja 2019 r., wyraz „małoletni” zastępuje się wyrazami „osoby w wieku poniżej 21 lat”.</w:t>
            </w:r>
          </w:p>
        </w:tc>
      </w:tr>
      <w:tr w:rsidR="0066043F" w:rsidRPr="00CF6D43" w14:paraId="7859C208" w14:textId="77777777" w:rsidTr="0066043F">
        <w:tc>
          <w:tcPr>
            <w:tcW w:w="5000" w:type="pct"/>
          </w:tcPr>
          <w:p w14:paraId="2B6FBAB0" w14:textId="77777777" w:rsidR="0066043F" w:rsidRPr="00CF6D43" w:rsidRDefault="0066043F" w:rsidP="005B3FB9">
            <w:pPr>
              <w:spacing w:before="240"/>
              <w:jc w:val="both"/>
            </w:pPr>
            <w:r>
              <w:rPr>
                <w:b/>
              </w:rPr>
              <w:t xml:space="preserve">Artykuł 11. </w:t>
            </w:r>
            <w:r>
              <w:t>W art. 43/8 tej ustawy, wprowadzonej ustawą z dnia 10 stycznia 2010 r. i zmienionej ustawami z dnia 7 maja 2019 r. i z dnia 28 listopada 2021 r., wprowadza się następujące zmiany:</w:t>
            </w:r>
          </w:p>
        </w:tc>
      </w:tr>
      <w:tr w:rsidR="0066043F" w:rsidRPr="006D2041" w14:paraId="0C7EB156" w14:textId="77777777" w:rsidTr="0066043F">
        <w:tc>
          <w:tcPr>
            <w:tcW w:w="5000" w:type="pct"/>
          </w:tcPr>
          <w:p w14:paraId="2675B3C7" w14:textId="77777777" w:rsidR="0066043F" w:rsidRPr="006D2041" w:rsidRDefault="0066043F" w:rsidP="005B3FB9">
            <w:pPr>
              <w:spacing w:before="240"/>
              <w:jc w:val="both"/>
              <w:rPr>
                <w:b/>
                <w:bCs/>
              </w:rPr>
            </w:pPr>
            <w:r>
              <w:t>1) w par. 2 ust. 1 lit. e) traci moc;</w:t>
            </w:r>
          </w:p>
        </w:tc>
      </w:tr>
      <w:tr w:rsidR="0066043F" w:rsidRPr="00F11721" w14:paraId="29535F32" w14:textId="77777777" w:rsidTr="0066043F">
        <w:tc>
          <w:tcPr>
            <w:tcW w:w="5000" w:type="pct"/>
          </w:tcPr>
          <w:p w14:paraId="7365F420" w14:textId="77777777" w:rsidR="0066043F" w:rsidRPr="00F11721" w:rsidRDefault="0066043F" w:rsidP="005B3FB9">
            <w:pPr>
              <w:spacing w:before="240"/>
              <w:jc w:val="both"/>
            </w:pPr>
            <w:r>
              <w:t>2) par. 4 został uzupełniony o trzy akapity o następującej treści:</w:t>
            </w:r>
          </w:p>
        </w:tc>
      </w:tr>
      <w:tr w:rsidR="0066043F" w:rsidRPr="00F11721" w14:paraId="5405EA78" w14:textId="77777777" w:rsidTr="0066043F">
        <w:tc>
          <w:tcPr>
            <w:tcW w:w="5000" w:type="pct"/>
          </w:tcPr>
          <w:p w14:paraId="7E77C678" w14:textId="77777777" w:rsidR="0066043F" w:rsidRPr="00F11721" w:rsidRDefault="0066043F" w:rsidP="005B3FB9">
            <w:pPr>
              <w:spacing w:before="240"/>
              <w:jc w:val="both"/>
              <w:rPr>
                <w:b/>
                <w:bCs/>
              </w:rPr>
            </w:pPr>
            <w:r>
              <w:t>„Komisja prowadzi również aktualny wykaz adresów URL stron internetowych operatorów gier hazardowych, które jej zdaniem oferują, za pośrednictwem narzędzi społeczeństwa informacyjnego, gry hazardowe w Belgii bez posiadania udzielonej przez nią w tym celu licencji. Aktualizacje tego wykazu są publikowane w belgijskim dzienniku urzędowym.</w:t>
            </w:r>
          </w:p>
        </w:tc>
      </w:tr>
      <w:tr w:rsidR="0066043F" w:rsidRPr="00F11721" w14:paraId="77C2730F" w14:textId="77777777" w:rsidTr="0066043F">
        <w:tc>
          <w:tcPr>
            <w:tcW w:w="5000" w:type="pct"/>
          </w:tcPr>
          <w:p w14:paraId="0200E79F" w14:textId="77777777" w:rsidR="0066043F" w:rsidRPr="00F11721" w:rsidRDefault="0066043F" w:rsidP="005B3FB9">
            <w:pPr>
              <w:spacing w:before="240"/>
              <w:jc w:val="both"/>
            </w:pPr>
            <w:r>
              <w:t>Adresy URL zawarte w wykazie, o którym mowa w akapicie 2, są przekazywane dostawcom usług internetowych zgodnie z ustawą z dnia 13 czerwca 2005 r. o łączności elektronicznej, tak aby mogli oni jak najszybciej zablokować dostęp do nich.</w:t>
            </w:r>
          </w:p>
        </w:tc>
      </w:tr>
      <w:tr w:rsidR="0066043F" w:rsidRPr="00F11721" w14:paraId="1560EB92" w14:textId="77777777" w:rsidTr="0066043F">
        <w:tc>
          <w:tcPr>
            <w:tcW w:w="5000" w:type="pct"/>
          </w:tcPr>
          <w:p w14:paraId="79C4FE69" w14:textId="77777777" w:rsidR="0066043F" w:rsidRPr="00F11721" w:rsidRDefault="0066043F" w:rsidP="005B3FB9">
            <w:pPr>
              <w:spacing w:before="240"/>
              <w:jc w:val="both"/>
            </w:pPr>
            <w:r>
              <w:t>Król może ustanowić inne ustalenia dotyczące wykazu, o którym mowa w akapicie 2”.</w:t>
            </w:r>
          </w:p>
        </w:tc>
      </w:tr>
      <w:tr w:rsidR="0066043F" w14:paraId="47873ADD" w14:textId="77777777" w:rsidTr="0066043F">
        <w:tc>
          <w:tcPr>
            <w:tcW w:w="5000" w:type="pct"/>
          </w:tcPr>
          <w:p w14:paraId="423A0965" w14:textId="77777777" w:rsidR="0066043F" w:rsidRDefault="0066043F" w:rsidP="005B3FB9">
            <w:pPr>
              <w:spacing w:before="240"/>
              <w:jc w:val="both"/>
            </w:pPr>
            <w:r>
              <w:rPr>
                <w:b/>
              </w:rPr>
              <w:t xml:space="preserve">Artykuł 12. </w:t>
            </w:r>
            <w:r>
              <w:t>W art. 44 tej samej ustawy, zmienionej ustawą z dnia 10 stycznia 2010 r., wprowadza się następujące zmiany:</w:t>
            </w:r>
          </w:p>
        </w:tc>
      </w:tr>
      <w:tr w:rsidR="0066043F" w14:paraId="10659864" w14:textId="77777777" w:rsidTr="0066043F">
        <w:tc>
          <w:tcPr>
            <w:tcW w:w="5000" w:type="pct"/>
          </w:tcPr>
          <w:p w14:paraId="29E9FB97" w14:textId="77777777" w:rsidR="0066043F" w:rsidRDefault="0066043F" w:rsidP="005B3FB9">
            <w:pPr>
              <w:spacing w:before="240"/>
              <w:jc w:val="both"/>
            </w:pPr>
            <w:r>
              <w:t>1) słowa „i zawsze mieć przy sobie kartę identyfikacyjną potwierdzającą posiadanie licencji” zastępuje się słowami „i zawsze mieć przy sobie dowód posiadania licencji”;</w:t>
            </w:r>
          </w:p>
        </w:tc>
      </w:tr>
      <w:tr w:rsidR="0066043F" w14:paraId="5833A6E3" w14:textId="77777777" w:rsidTr="0066043F">
        <w:tc>
          <w:tcPr>
            <w:tcW w:w="5000" w:type="pct"/>
          </w:tcPr>
          <w:p w14:paraId="2493E136" w14:textId="77777777" w:rsidR="0066043F" w:rsidRDefault="0066043F" w:rsidP="005B3FB9">
            <w:pPr>
              <w:spacing w:before="240"/>
              <w:jc w:val="both"/>
            </w:pPr>
            <w:r>
              <w:t>2) w tekście niderlandzkim skreśla się wyrazy „</w:t>
            </w:r>
            <w:r>
              <w:rPr>
                <w:rStyle w:val="Italic"/>
              </w:rPr>
              <w:t>in de vorm van een identificatiekaart</w:t>
            </w:r>
            <w:r>
              <w:t>”.</w:t>
            </w:r>
          </w:p>
        </w:tc>
      </w:tr>
      <w:tr w:rsidR="0066043F" w14:paraId="2EB820C8" w14:textId="77777777" w:rsidTr="0066043F">
        <w:tc>
          <w:tcPr>
            <w:tcW w:w="5000" w:type="pct"/>
          </w:tcPr>
          <w:p w14:paraId="50963D3D" w14:textId="77777777" w:rsidR="0066043F" w:rsidRDefault="0066043F" w:rsidP="005B3FB9">
            <w:pPr>
              <w:spacing w:before="240"/>
              <w:jc w:val="both"/>
            </w:pPr>
            <w:r>
              <w:rPr>
                <w:b/>
              </w:rPr>
              <w:t>Artykuł 13.</w:t>
            </w:r>
            <w:r>
              <w:t xml:space="preserve"> W art. 47 tej ustawy w ust. 1 skreśla się wyrazy „oraz załączoną kartę identyfikacyjną”.</w:t>
            </w:r>
          </w:p>
        </w:tc>
      </w:tr>
      <w:tr w:rsidR="0066043F" w14:paraId="5161D6F3" w14:textId="77777777" w:rsidTr="0066043F">
        <w:tc>
          <w:tcPr>
            <w:tcW w:w="5000" w:type="pct"/>
          </w:tcPr>
          <w:p w14:paraId="68CE6767" w14:textId="77777777" w:rsidR="0066043F" w:rsidRDefault="0066043F" w:rsidP="005B3FB9">
            <w:pPr>
              <w:spacing w:before="240"/>
              <w:jc w:val="both"/>
            </w:pPr>
            <w:r>
              <w:rPr>
                <w:b/>
              </w:rPr>
              <w:t xml:space="preserve">Artykuł 14. </w:t>
            </w:r>
            <w:r>
              <w:t>W art. 54 par. 3 tej ustawy, zmienionym ustawami z dnia 10 stycznia 2010 r. i z dnia 17 marca 2013 r., wprowadza się następujące zmiany:</w:t>
            </w:r>
          </w:p>
        </w:tc>
      </w:tr>
      <w:tr w:rsidR="0066043F" w14:paraId="16375213" w14:textId="77777777" w:rsidTr="0066043F">
        <w:tc>
          <w:tcPr>
            <w:tcW w:w="5000" w:type="pct"/>
          </w:tcPr>
          <w:p w14:paraId="317FFDC6" w14:textId="77777777" w:rsidR="0066043F" w:rsidRDefault="0066043F" w:rsidP="005B3FB9">
            <w:pPr>
              <w:spacing w:before="240"/>
              <w:jc w:val="both"/>
            </w:pPr>
            <w:r>
              <w:t xml:space="preserve">1) zdanie wprowadzające otrzymuje brzmienie: </w:t>
            </w:r>
          </w:p>
        </w:tc>
      </w:tr>
      <w:tr w:rsidR="0066043F" w14:paraId="36C48A6D" w14:textId="77777777" w:rsidTr="0066043F">
        <w:tc>
          <w:tcPr>
            <w:tcW w:w="5000" w:type="pct"/>
          </w:tcPr>
          <w:p w14:paraId="63545EC5" w14:textId="77777777" w:rsidR="0066043F" w:rsidRDefault="0066043F" w:rsidP="005B3FB9">
            <w:pPr>
              <w:spacing w:before="240"/>
              <w:jc w:val="both"/>
            </w:pPr>
            <w:r>
              <w:t>„Posiadaczom licencji klasy A, A+, B, B+, F1+ i F2 zabrania się wstępu do salonów gier w zakładach gier hazardowych klasy I i II lub do zakładów gier hazardowych klasy IV, prowadzenia zakładów bukmacherskich poza zakładami bukmacherskimi klasy IV i gier hazardowych za pośrednictwem instrumentów społeczeństwa informacyjnego następującym osobom, które wchodzą do salonu gier w zakładzie gier hazardowych lub które chcą korzystać z gier hazardowych, z wyjątkiem osób, które wchodzą tam w celach zawodowych i którym Komisja zakazała dostępu:”;</w:t>
            </w:r>
          </w:p>
        </w:tc>
      </w:tr>
      <w:tr w:rsidR="0066043F" w14:paraId="59A4CA34" w14:textId="77777777" w:rsidTr="0066043F">
        <w:tc>
          <w:tcPr>
            <w:tcW w:w="5000" w:type="pct"/>
          </w:tcPr>
          <w:p w14:paraId="2CFF4FCA" w14:textId="77777777" w:rsidR="0066043F" w:rsidRDefault="0066043F" w:rsidP="005B3FB9">
            <w:pPr>
              <w:spacing w:before="240"/>
              <w:jc w:val="both"/>
            </w:pPr>
            <w:r>
              <w:t>2) Ust. 4 otrzymuje brzmienie:</w:t>
            </w:r>
          </w:p>
        </w:tc>
      </w:tr>
      <w:tr w:rsidR="0066043F" w14:paraId="458A6E54" w14:textId="77777777" w:rsidTr="0066043F">
        <w:tc>
          <w:tcPr>
            <w:tcW w:w="5000" w:type="pct"/>
          </w:tcPr>
          <w:p w14:paraId="21EE1438" w14:textId="77777777" w:rsidR="0066043F" w:rsidRDefault="0066043F" w:rsidP="005B3FB9">
            <w:pPr>
              <w:spacing w:before="240"/>
              <w:jc w:val="both"/>
            </w:pPr>
            <w:r>
              <w:lastRenderedPageBreak/>
              <w:t>„4. osoby, które mają problem z uzależnieniem od hazardu i dla których komisja, na wniosek zainteresowanej strony trzeciej, dokonała wykluczenia;”.</w:t>
            </w:r>
          </w:p>
        </w:tc>
      </w:tr>
      <w:tr w:rsidR="0066043F" w14:paraId="16DED9C1" w14:textId="77777777" w:rsidTr="0066043F">
        <w:tc>
          <w:tcPr>
            <w:tcW w:w="5000" w:type="pct"/>
          </w:tcPr>
          <w:p w14:paraId="6AB75904" w14:textId="77777777" w:rsidR="0066043F" w:rsidRDefault="0066043F" w:rsidP="005B3FB9">
            <w:pPr>
              <w:spacing w:before="240"/>
              <w:jc w:val="both"/>
            </w:pPr>
            <w:r>
              <w:rPr>
                <w:b/>
              </w:rPr>
              <w:t xml:space="preserve">Artykuł 15. </w:t>
            </w:r>
            <w:r>
              <w:t>Do wspomnianej ustawy dodaje się artykuł 54/1 w brzmieniu:</w:t>
            </w:r>
          </w:p>
        </w:tc>
      </w:tr>
      <w:tr w:rsidR="0066043F" w14:paraId="09AA8F4A" w14:textId="77777777" w:rsidTr="0066043F">
        <w:tc>
          <w:tcPr>
            <w:tcW w:w="5000" w:type="pct"/>
          </w:tcPr>
          <w:p w14:paraId="7E5478C8" w14:textId="77777777" w:rsidR="0066043F" w:rsidRDefault="0066043F" w:rsidP="005B3FB9">
            <w:pPr>
              <w:spacing w:before="240"/>
              <w:jc w:val="both"/>
            </w:pPr>
            <w:r>
              <w:t>„Artykuł 54/1. § 1. Posiadacze licencji klasy A, A+, B, B+, F1+ i F2, z wyjątkiem posiadaczy licencji F2, o których mowa w art. 43/4 ust. 5 pkt 1°, są zobowiązani do identyfikacji każdej osoby, która wchodzi do salonu gier w zakładzie gier hazardowych lub która chce korzystać z gier hazardowych, z wyjątkiem osób wchodzących w celach zawodowych.</w:t>
            </w:r>
          </w:p>
        </w:tc>
      </w:tr>
      <w:tr w:rsidR="0066043F" w14:paraId="2E15C5A6" w14:textId="77777777" w:rsidTr="0066043F">
        <w:tc>
          <w:tcPr>
            <w:tcW w:w="5000" w:type="pct"/>
          </w:tcPr>
          <w:p w14:paraId="6F47BC75" w14:textId="77777777" w:rsidR="0066043F" w:rsidRDefault="0066043F" w:rsidP="005B3FB9">
            <w:pPr>
              <w:spacing w:before="240"/>
              <w:jc w:val="both"/>
            </w:pPr>
            <w:r>
              <w:t>Celem tej identyfikacji jest:</w:t>
            </w:r>
          </w:p>
        </w:tc>
      </w:tr>
      <w:tr w:rsidR="0066043F" w14:paraId="49C9CBB4" w14:textId="77777777" w:rsidTr="0066043F">
        <w:tc>
          <w:tcPr>
            <w:tcW w:w="5000" w:type="pct"/>
          </w:tcPr>
          <w:p w14:paraId="144C2F93" w14:textId="77777777" w:rsidR="0066043F" w:rsidRDefault="0066043F" w:rsidP="005B3FB9">
            <w:pPr>
              <w:spacing w:before="240"/>
              <w:jc w:val="both"/>
            </w:pPr>
            <w:r>
              <w:t>1) sprawdzenie, czy przedstawiony dokument tożsamości rzeczywiście należy do osoby, która go przedstawiła, o której mowa w pkt 1</w:t>
            </w:r>
          </w:p>
        </w:tc>
      </w:tr>
      <w:tr w:rsidR="0066043F" w14:paraId="442B50B4" w14:textId="77777777" w:rsidTr="0066043F">
        <w:tc>
          <w:tcPr>
            <w:tcW w:w="5000" w:type="pct"/>
          </w:tcPr>
          <w:p w14:paraId="5D98A629" w14:textId="77777777" w:rsidR="0066043F" w:rsidRDefault="0066043F" w:rsidP="005B3FB9">
            <w:pPr>
              <w:spacing w:before="240"/>
              <w:jc w:val="both"/>
            </w:pPr>
            <w:r>
              <w:t>2) sprawdzenie, czy osoba, o której mowa w pkt 1, jest uprawniona do wstępu do salonu gier w zakładzie gier hazardowych lub do korzystania z gier hazardowych zgodnie z art. 54 ust. 1-4.</w:t>
            </w:r>
          </w:p>
        </w:tc>
      </w:tr>
      <w:tr w:rsidR="0066043F" w14:paraId="145284B1" w14:textId="77777777" w:rsidTr="0066043F">
        <w:tc>
          <w:tcPr>
            <w:tcW w:w="5000" w:type="pct"/>
          </w:tcPr>
          <w:p w14:paraId="4CC3F31D" w14:textId="77777777" w:rsidR="0066043F" w:rsidRDefault="0066043F" w:rsidP="005B3FB9">
            <w:pPr>
              <w:spacing w:before="240"/>
              <w:jc w:val="both"/>
            </w:pPr>
            <w:r>
              <w:t>W przypadku wątpliwości co do prawdziwości lub dokładności identyfikacji osoby, posiadacz koncesji odmawia jej wstępu do salonu gier w zakładzie gier lub korzystania z gier hazardowych.</w:t>
            </w:r>
          </w:p>
        </w:tc>
      </w:tr>
      <w:tr w:rsidR="0066043F" w14:paraId="285A2EBE" w14:textId="77777777" w:rsidTr="0066043F">
        <w:tc>
          <w:tcPr>
            <w:tcW w:w="5000" w:type="pct"/>
          </w:tcPr>
          <w:p w14:paraId="3CB93605" w14:textId="77777777" w:rsidR="0066043F" w:rsidRDefault="0066043F" w:rsidP="005B3FB9">
            <w:pPr>
              <w:spacing w:before="240"/>
              <w:jc w:val="both"/>
            </w:pPr>
            <w:r>
              <w:t>§ 2. Do celów identyfikacji, o której mowa w par. 1, dopuszcza się następujące ważne dokumenty tożsamości i dokumenty pobytu:</w:t>
            </w:r>
          </w:p>
        </w:tc>
      </w:tr>
      <w:tr w:rsidR="0066043F" w14:paraId="2B5E0ECB" w14:textId="77777777" w:rsidTr="0066043F">
        <w:tc>
          <w:tcPr>
            <w:tcW w:w="5000" w:type="pct"/>
          </w:tcPr>
          <w:p w14:paraId="26BFE918" w14:textId="77777777" w:rsidR="0066043F" w:rsidRDefault="0066043F" w:rsidP="005B3FB9">
            <w:pPr>
              <w:spacing w:before="240"/>
              <w:jc w:val="both"/>
            </w:pPr>
            <w:r>
              <w:t>1) belgijski elektroniczny dowód tożsamości;</w:t>
            </w:r>
          </w:p>
        </w:tc>
      </w:tr>
      <w:tr w:rsidR="0066043F" w14:paraId="529C39F1" w14:textId="77777777" w:rsidTr="0066043F">
        <w:tc>
          <w:tcPr>
            <w:tcW w:w="5000" w:type="pct"/>
          </w:tcPr>
          <w:p w14:paraId="526A49C0" w14:textId="77777777" w:rsidR="0066043F" w:rsidRDefault="0066043F" w:rsidP="005B3FB9">
            <w:pPr>
              <w:spacing w:before="240"/>
              <w:jc w:val="both"/>
            </w:pPr>
            <w:r>
              <w:t>2) elektroniczny dokument pobytowy lub elektroniczne zaświadczenie o zameldowaniu;</w:t>
            </w:r>
          </w:p>
        </w:tc>
      </w:tr>
      <w:tr w:rsidR="0066043F" w14:paraId="7D7DA545" w14:textId="77777777" w:rsidTr="0066043F">
        <w:tc>
          <w:tcPr>
            <w:tcW w:w="5000" w:type="pct"/>
          </w:tcPr>
          <w:p w14:paraId="4E67C1AB" w14:textId="77777777" w:rsidR="0066043F" w:rsidRDefault="0066043F" w:rsidP="005B3FB9">
            <w:pPr>
              <w:spacing w:before="240"/>
              <w:jc w:val="both"/>
            </w:pPr>
            <w:r>
              <w:t>3) zagraniczny dowód tożsamości z chipem;</w:t>
            </w:r>
          </w:p>
        </w:tc>
      </w:tr>
      <w:tr w:rsidR="0066043F" w14:paraId="4BF6B337" w14:textId="77777777" w:rsidTr="0066043F">
        <w:tc>
          <w:tcPr>
            <w:tcW w:w="5000" w:type="pct"/>
          </w:tcPr>
          <w:p w14:paraId="583A3456" w14:textId="77777777" w:rsidR="0066043F" w:rsidRDefault="0066043F" w:rsidP="005B3FB9">
            <w:pPr>
              <w:spacing w:before="240"/>
              <w:jc w:val="both"/>
            </w:pPr>
            <w:r>
              <w:t>4) specjalne elektroniczne dowody tożsamości wydawane kategoriom personelu pracującego w misjach dyplomatycznych i konsularnych oraz członkom ich rodzin, zgodnie z Konwencją wiedeńską z dnia 18 kwietnia 1961 r. o stosunkach dyplomatycznych i Konwencją wiedeńską z dnia 24 kwietnia 1963 r. o stosunkach konsularnych oraz dekretem królewskim z dnia 30 października 1991 r. w sprawie dokumentów pobytowych w Belgii dla niektórych cudzoziemców;</w:t>
            </w:r>
          </w:p>
        </w:tc>
      </w:tr>
      <w:tr w:rsidR="0066043F" w14:paraId="65A0A0E7" w14:textId="77777777" w:rsidTr="0066043F">
        <w:tc>
          <w:tcPr>
            <w:tcW w:w="5000" w:type="pct"/>
          </w:tcPr>
          <w:p w14:paraId="52461501" w14:textId="77777777" w:rsidR="0066043F" w:rsidRDefault="0066043F" w:rsidP="005B3FB9">
            <w:pPr>
              <w:spacing w:before="240"/>
              <w:jc w:val="both"/>
            </w:pPr>
            <w:r>
              <w:t>5) każdy inny dokument określony przez króla, pod warunkiem że dekret królewski zostanie potwierdzony ustawą w ciągu sześciu miesięcy od opublikowania tego dekretu.</w:t>
            </w:r>
          </w:p>
        </w:tc>
      </w:tr>
      <w:tr w:rsidR="0066043F" w14:paraId="48A8DB24" w14:textId="77777777" w:rsidTr="0066043F">
        <w:tc>
          <w:tcPr>
            <w:tcW w:w="5000" w:type="pct"/>
          </w:tcPr>
          <w:p w14:paraId="5E499A14" w14:textId="77777777" w:rsidR="0066043F" w:rsidRDefault="0066043F" w:rsidP="005B3FB9">
            <w:pPr>
              <w:spacing w:before="240"/>
              <w:jc w:val="both"/>
            </w:pPr>
            <w:r>
              <w:t>W celu zastosowania ust. 1 pkt 2 osoba, o której mowa w ust. 1 pkt 1, jest uwierzytelniana w EPIS za pomocą modułu uwierzytelniania dokumentów, o którym mowa w pkt 1, lub za pomocą środka identyfikacji, który spełnia wymogi dotyczące znacznego lub wysokiego poziomu gwarancji określone w pkt 2.2 załącznika do rozporządzenia wykonawczego Komisji (UE) 2015/1502 z dnia 8 września 2015 r. w sprawie ustanowienia minimalnych specyfikacji technicznych i procedur dotyczących poziomów zaufania w zakresie środków identyfikacji elektronicznej na podstawie art. 8 ust. 3 rozporządzenia Parlamentu Europejskiego i Rady (UE) nr 910/2014 w sprawie identyfikacji elektronicznej i usług zaufania w odniesieniu do transakcji elektronicznych na rynku wewnętrznym.</w:t>
            </w:r>
          </w:p>
        </w:tc>
      </w:tr>
      <w:tr w:rsidR="0066043F" w14:paraId="3F5078AD" w14:textId="77777777" w:rsidTr="0066043F">
        <w:tc>
          <w:tcPr>
            <w:tcW w:w="5000" w:type="pct"/>
          </w:tcPr>
          <w:p w14:paraId="10EBC0CF" w14:textId="77777777" w:rsidR="0066043F" w:rsidRDefault="0066043F" w:rsidP="005B3FB9">
            <w:pPr>
              <w:spacing w:before="240"/>
              <w:jc w:val="both"/>
            </w:pPr>
            <w:r>
              <w:t>Jeżeli identyfikacja i uwierzytelnienie za pomocą środków, o których mowa w pkt 1 i 2, nie są technicznie możliwe, akceptowane mogą być wyłącznie następujące ważne dokumenty:</w:t>
            </w:r>
          </w:p>
        </w:tc>
      </w:tr>
      <w:tr w:rsidR="0066043F" w14:paraId="5F2E05B4" w14:textId="77777777" w:rsidTr="0066043F">
        <w:tc>
          <w:tcPr>
            <w:tcW w:w="5000" w:type="pct"/>
          </w:tcPr>
          <w:p w14:paraId="0D325686" w14:textId="77777777" w:rsidR="0066043F" w:rsidRDefault="0066043F" w:rsidP="005B3FB9">
            <w:pPr>
              <w:spacing w:before="240"/>
              <w:jc w:val="both"/>
            </w:pPr>
            <w:r>
              <w:t>1) uznany paszport lub równoważny dokument podróży;</w:t>
            </w:r>
          </w:p>
        </w:tc>
      </w:tr>
      <w:tr w:rsidR="0066043F" w14:paraId="55B46EEF" w14:textId="77777777" w:rsidTr="0066043F">
        <w:tc>
          <w:tcPr>
            <w:tcW w:w="5000" w:type="pct"/>
          </w:tcPr>
          <w:p w14:paraId="039DBEFC" w14:textId="77777777" w:rsidR="0066043F" w:rsidRDefault="0066043F" w:rsidP="005B3FB9">
            <w:pPr>
              <w:spacing w:before="240"/>
              <w:jc w:val="both"/>
            </w:pPr>
            <w:r>
              <w:lastRenderedPageBreak/>
              <w:t>2) dowód tożsamości wydany przez inne państwo członkowskie Europejskiego Obszaru Gospodarczego;</w:t>
            </w:r>
          </w:p>
        </w:tc>
      </w:tr>
      <w:tr w:rsidR="0066043F" w14:paraId="4A9C6124" w14:textId="77777777" w:rsidTr="0066043F">
        <w:tc>
          <w:tcPr>
            <w:tcW w:w="5000" w:type="pct"/>
          </w:tcPr>
          <w:p w14:paraId="0610B92B" w14:textId="77777777" w:rsidR="0066043F" w:rsidRDefault="0066043F" w:rsidP="005B3FB9">
            <w:pPr>
              <w:spacing w:before="240"/>
              <w:jc w:val="both"/>
            </w:pPr>
            <w:r>
              <w:t>3) dokument pobytowy lub zaświadczenie o zameldowaniu bez chipa.</w:t>
            </w:r>
          </w:p>
        </w:tc>
      </w:tr>
      <w:tr w:rsidR="0066043F" w14:paraId="0C9DA13B" w14:textId="77777777" w:rsidTr="0066043F">
        <w:tc>
          <w:tcPr>
            <w:tcW w:w="5000" w:type="pct"/>
          </w:tcPr>
          <w:p w14:paraId="6C477698" w14:textId="77777777" w:rsidR="0066043F" w:rsidRDefault="0066043F" w:rsidP="005B3FB9">
            <w:pPr>
              <w:spacing w:before="240"/>
              <w:jc w:val="both"/>
            </w:pPr>
            <w:r>
              <w:t>Król może określić każdy inny dokument tożsamości lub dokument pobytowy, pod warunkiem że dekret królewski zostanie potwierdzony ustawą w ciągu sześciu miesięcy od opublikowania takiego dekretu.</w:t>
            </w:r>
          </w:p>
        </w:tc>
      </w:tr>
      <w:tr w:rsidR="0066043F" w14:paraId="08EBE0AB" w14:textId="77777777" w:rsidTr="0066043F">
        <w:tc>
          <w:tcPr>
            <w:tcW w:w="5000" w:type="pct"/>
          </w:tcPr>
          <w:p w14:paraId="163EF93A" w14:textId="37689395" w:rsidR="0066043F" w:rsidRDefault="0066043F" w:rsidP="005B3FB9">
            <w:pPr>
              <w:spacing w:before="240"/>
              <w:jc w:val="both"/>
            </w:pPr>
            <w:r>
              <w:t>§ 3. Posiadacze licencji F2, o których mowa w art. 43/4 ust. 5 pkt 1, weryfikują wiek gracza i uwierzytelniają go w EPIS zgodnie z art. 54, za pomocą odpowiedniego systemu komputerowego umieszczonego na urządzeniu i certyfikowanego przez akredytowaną jednostkę, o której mowa w art. 52 ust. 2 tiret drugie.</w:t>
            </w:r>
          </w:p>
        </w:tc>
      </w:tr>
      <w:tr w:rsidR="0066043F" w14:paraId="6E340368" w14:textId="77777777" w:rsidTr="0066043F">
        <w:tc>
          <w:tcPr>
            <w:tcW w:w="5000" w:type="pct"/>
          </w:tcPr>
          <w:p w14:paraId="5C16B53E" w14:textId="77777777" w:rsidR="0066043F" w:rsidRDefault="0066043F" w:rsidP="005B3FB9">
            <w:pPr>
              <w:spacing w:before="240"/>
              <w:jc w:val="both"/>
            </w:pPr>
            <w:r>
              <w:t>Wiek gracza jest sprawdzany i uwierzytelniany w systemie EPIS za pomocą ważnego dokumentu tożsamości lub dokumentu pobytowego, o którym mowa w ust. 2 pkt 1 ppkt 1-4.</w:t>
            </w:r>
          </w:p>
        </w:tc>
      </w:tr>
      <w:tr w:rsidR="0066043F" w14:paraId="5A982A1F" w14:textId="77777777" w:rsidTr="0066043F">
        <w:tc>
          <w:tcPr>
            <w:tcW w:w="5000" w:type="pct"/>
          </w:tcPr>
          <w:p w14:paraId="5C739E99" w14:textId="77777777" w:rsidR="0066043F" w:rsidRDefault="0066043F" w:rsidP="005B3FB9">
            <w:pPr>
              <w:spacing w:before="240"/>
              <w:jc w:val="both"/>
            </w:pPr>
            <w:r>
              <w:t>Za wyjątkiem przypadku przewidzianego w art. 55/5 ust. 1 pkt 2, wiek zawodnika jest sprawdzany automatycznie poprzez odczytanie tej informacji na jednym z dokumentów, o których mowa w ust. 2 pkt 1 ppkt 1-4.</w:t>
            </w:r>
          </w:p>
        </w:tc>
      </w:tr>
      <w:tr w:rsidR="0066043F" w14:paraId="5C52BF7B" w14:textId="77777777" w:rsidTr="0066043F">
        <w:tc>
          <w:tcPr>
            <w:tcW w:w="5000" w:type="pct"/>
          </w:tcPr>
          <w:p w14:paraId="1A94DF99" w14:textId="77777777" w:rsidR="0066043F" w:rsidRDefault="0066043F" w:rsidP="005B3FB9">
            <w:pPr>
              <w:spacing w:before="240"/>
              <w:jc w:val="both"/>
            </w:pPr>
            <w:r>
              <w:t>Urządzenie nie może być włączone, jeżeli uprawianie hazardu jest zabronione dla gracza zgodnie z art. 54.</w:t>
            </w:r>
          </w:p>
        </w:tc>
      </w:tr>
      <w:tr w:rsidR="0066043F" w14:paraId="30B2D3A3" w14:textId="77777777" w:rsidTr="0066043F">
        <w:tc>
          <w:tcPr>
            <w:tcW w:w="5000" w:type="pct"/>
          </w:tcPr>
          <w:p w14:paraId="6D88B5C9" w14:textId="77777777" w:rsidR="0066043F" w:rsidRDefault="0066043F" w:rsidP="005B3FB9">
            <w:pPr>
              <w:spacing w:before="240"/>
              <w:jc w:val="both"/>
            </w:pPr>
            <w:r>
              <w:t>§ 4. W czasie kontroli EPIS informacja o tym, że osoba, w odniesieniu do której przeprowadzana jest kontrola, jest objęta zakazem gier hazardowych lub jest wykluczona, jest przekazywana wyłącznie osobie upoważnionej przez posiadacza licencji, o której mowa w ust. 1, odpowiedzialnej za tę kontrolę lub aplikacji komputerowej, która uruchamia urządzenie do gier hazardowych, o którym mowa w ust. 3.”;</w:t>
            </w:r>
          </w:p>
        </w:tc>
      </w:tr>
      <w:tr w:rsidR="0066043F" w14:paraId="2B2510DE" w14:textId="77777777" w:rsidTr="0066043F">
        <w:tc>
          <w:tcPr>
            <w:tcW w:w="5000" w:type="pct"/>
          </w:tcPr>
          <w:p w14:paraId="576DD22E" w14:textId="77777777" w:rsidR="0066043F" w:rsidRDefault="0066043F" w:rsidP="005B3FB9">
            <w:pPr>
              <w:spacing w:before="240"/>
              <w:jc w:val="both"/>
            </w:pPr>
            <w:r>
              <w:rPr>
                <w:b/>
              </w:rPr>
              <w:t xml:space="preserve">Artykuł 16. </w:t>
            </w:r>
            <w:r>
              <w:t>Artykuł 55 tej ustawy, zmieniony dekretem królewskim z dnia 4 kwietnia 2003 r. Oraz ustawami z dnia 10 stycznia 2010 r. i z dnia 30 lipca 2022 r., otrzymuje brzmienie:</w:t>
            </w:r>
          </w:p>
        </w:tc>
      </w:tr>
      <w:tr w:rsidR="0066043F" w14:paraId="7FF34671" w14:textId="77777777" w:rsidTr="0066043F">
        <w:tc>
          <w:tcPr>
            <w:tcW w:w="5000" w:type="pct"/>
          </w:tcPr>
          <w:p w14:paraId="4804EC8A" w14:textId="77777777" w:rsidR="0066043F" w:rsidRDefault="0066043F" w:rsidP="005B3FB9">
            <w:pPr>
              <w:spacing w:before="240"/>
              <w:jc w:val="both"/>
            </w:pPr>
            <w:r>
              <w:t>„Artykuł 55. § 1. W Komisji ustanawia się centralny system przetwarzania informacji dotyczących osób, o których mowa w art. 54, zwany „</w:t>
            </w:r>
            <w:r>
              <w:rPr>
                <w:rStyle w:val="Italic"/>
              </w:rPr>
              <w:t>Systemem Informacji o Osobach Wykluczonych</w:t>
            </w:r>
            <w:r>
              <w:t xml:space="preserve"> (EPIS)”, w odniesieniu do którego jest administratorem danych w rozumieniu art. 4 ust.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tr w:rsidR="0066043F" w14:paraId="2FDE66D9" w14:textId="77777777" w:rsidTr="0066043F">
        <w:tc>
          <w:tcPr>
            <w:tcW w:w="5000" w:type="pct"/>
          </w:tcPr>
          <w:p w14:paraId="32E254DD" w14:textId="77777777" w:rsidR="0066043F" w:rsidRDefault="0066043F" w:rsidP="005B3FB9">
            <w:pPr>
              <w:spacing w:before="240"/>
              <w:jc w:val="both"/>
            </w:pPr>
            <w:r>
              <w:t>Cele EPIS są następujące:</w:t>
            </w:r>
          </w:p>
        </w:tc>
      </w:tr>
      <w:tr w:rsidR="0066043F" w14:paraId="12EA290E" w14:textId="77777777" w:rsidTr="0066043F">
        <w:tc>
          <w:tcPr>
            <w:tcW w:w="5000" w:type="pct"/>
          </w:tcPr>
          <w:p w14:paraId="021C4E08" w14:textId="77777777" w:rsidR="0066043F" w:rsidRDefault="0066043F" w:rsidP="005B3FB9">
            <w:pPr>
              <w:spacing w:before="240"/>
              <w:jc w:val="both"/>
            </w:pPr>
            <w:r>
              <w:t>1) umożliwienie posiadaczom licencji klasy A, A+, B, B+, F1+ i F2 zapewnienia, aby osoby, które chcą uzyskać dostęp do sali gier w ich zakładzie gier hazardowych lub korzystać z gier hazardowych, nie były objęte zakazem lub wykluczeniem z gier hazardowych zgodnie z art. 54 ust. 2-4;</w:t>
            </w:r>
          </w:p>
        </w:tc>
      </w:tr>
      <w:tr w:rsidR="0066043F" w14:paraId="7279AF07" w14:textId="77777777" w:rsidTr="0066043F">
        <w:tc>
          <w:tcPr>
            <w:tcW w:w="5000" w:type="pct"/>
          </w:tcPr>
          <w:p w14:paraId="3C35AEA4" w14:textId="77777777" w:rsidR="0066043F" w:rsidRDefault="0066043F" w:rsidP="005B3FB9">
            <w:pPr>
              <w:spacing w:before="240"/>
              <w:jc w:val="both"/>
            </w:pPr>
            <w:r>
              <w:t>2) umożliwienie Komisji zarządzania wnioskami o wykluczenie lub cofnięcie wykluczenia z gier hazardowych oraz, w stosownych przypadkach, związanymi z nimi sporami;</w:t>
            </w:r>
          </w:p>
        </w:tc>
      </w:tr>
      <w:tr w:rsidR="0066043F" w14:paraId="4D72F803" w14:textId="77777777" w:rsidTr="0066043F">
        <w:tc>
          <w:tcPr>
            <w:tcW w:w="5000" w:type="pct"/>
          </w:tcPr>
          <w:p w14:paraId="413C9D7F" w14:textId="77777777" w:rsidR="0066043F" w:rsidRDefault="0066043F" w:rsidP="005B3FB9">
            <w:pPr>
              <w:spacing w:before="240"/>
              <w:jc w:val="both"/>
            </w:pPr>
            <w:r>
              <w:t>3) dochodzenia i wykrywania naruszeń niniejszej ustawy i jej dekretów wykonawczych.</w:t>
            </w:r>
          </w:p>
        </w:tc>
      </w:tr>
      <w:tr w:rsidR="0066043F" w14:paraId="22EB9624" w14:textId="77777777" w:rsidTr="0066043F">
        <w:tc>
          <w:tcPr>
            <w:tcW w:w="5000" w:type="pct"/>
          </w:tcPr>
          <w:p w14:paraId="4EA173FD" w14:textId="77777777" w:rsidR="0066043F" w:rsidRDefault="0066043F" w:rsidP="005B3FB9">
            <w:pPr>
              <w:spacing w:before="240"/>
              <w:jc w:val="both"/>
            </w:pPr>
            <w:r>
              <w:lastRenderedPageBreak/>
              <w:t>§ 2. W odniesieniu do każdej osoby, o której mowa w art. 54 ust. 2-4, w systemie EPIS zapisuje się następujące dane:</w:t>
            </w:r>
          </w:p>
        </w:tc>
      </w:tr>
      <w:tr w:rsidR="0066043F" w14:paraId="65431D01" w14:textId="77777777" w:rsidTr="0066043F">
        <w:tc>
          <w:tcPr>
            <w:tcW w:w="5000" w:type="pct"/>
          </w:tcPr>
          <w:p w14:paraId="42EBA5C4" w14:textId="77777777" w:rsidR="0066043F" w:rsidRDefault="0066043F" w:rsidP="005B3FB9">
            <w:pPr>
              <w:spacing w:before="240"/>
              <w:jc w:val="both"/>
            </w:pPr>
            <w:r>
              <w:t>1) nazwiska i imiona;</w:t>
            </w:r>
          </w:p>
        </w:tc>
      </w:tr>
      <w:tr w:rsidR="0066043F" w14:paraId="0EF3B58A" w14:textId="77777777" w:rsidTr="0066043F">
        <w:tc>
          <w:tcPr>
            <w:tcW w:w="5000" w:type="pct"/>
          </w:tcPr>
          <w:p w14:paraId="5ABC902B" w14:textId="77777777" w:rsidR="0066043F" w:rsidRDefault="0066043F" w:rsidP="005B3FB9">
            <w:pPr>
              <w:spacing w:before="240"/>
              <w:jc w:val="both"/>
            </w:pPr>
            <w:r>
              <w:t>2) data urodzenia;</w:t>
            </w:r>
          </w:p>
        </w:tc>
      </w:tr>
      <w:tr w:rsidR="0066043F" w14:paraId="1FA1AC7A" w14:textId="77777777" w:rsidTr="0066043F">
        <w:tc>
          <w:tcPr>
            <w:tcW w:w="5000" w:type="pct"/>
          </w:tcPr>
          <w:p w14:paraId="36882289" w14:textId="77777777" w:rsidR="0066043F" w:rsidRDefault="0066043F" w:rsidP="005B3FB9">
            <w:pPr>
              <w:spacing w:before="240"/>
              <w:jc w:val="both"/>
            </w:pPr>
            <w:r>
              <w:t>3) numer identyfikacyjny Krajowego Rejestru Osób Fizycznych lub, jeśli nie jest on dostępny, numer dowodu tożsamości wydanego przez inne państwo członkowskie Europejskiego Obszaru Gospodarczego, numer paszportu lub, ewentualnie, numer identyfikacyjny Kasy Ubezpieczeń Społecznych, o którym mowa w art. 8 ust. 1 pkt 2 ustawy z dnia 15 stycznia 1990 r. o utworzeniu i organizacji Kasy Ubezpieczeń Społecznych;</w:t>
            </w:r>
          </w:p>
        </w:tc>
      </w:tr>
      <w:tr w:rsidR="0066043F" w14:paraId="15277872" w14:textId="77777777" w:rsidTr="0066043F">
        <w:tc>
          <w:tcPr>
            <w:tcW w:w="5000" w:type="pct"/>
          </w:tcPr>
          <w:p w14:paraId="18627B78" w14:textId="77777777" w:rsidR="0066043F" w:rsidRDefault="0066043F" w:rsidP="005B3FB9">
            <w:pPr>
              <w:spacing w:before="240"/>
              <w:jc w:val="both"/>
            </w:pPr>
            <w:r>
              <w:t>4) powód, data rozpoczęcia i data zakończenia wykluczenia.</w:t>
            </w:r>
          </w:p>
        </w:tc>
      </w:tr>
      <w:tr w:rsidR="0066043F" w14:paraId="2C704C86" w14:textId="77777777" w:rsidTr="0066043F">
        <w:tc>
          <w:tcPr>
            <w:tcW w:w="5000" w:type="pct"/>
          </w:tcPr>
          <w:p w14:paraId="26447CB1" w14:textId="77777777" w:rsidR="0066043F" w:rsidRDefault="0066043F" w:rsidP="005B3FB9">
            <w:pPr>
              <w:spacing w:before="240"/>
              <w:jc w:val="both"/>
            </w:pPr>
            <w:r>
              <w:t>Dane, o których mowa w pkt 1, przechowuje się przez okres pięciu lat od daty zakończenia wykluczenia.</w:t>
            </w:r>
          </w:p>
        </w:tc>
      </w:tr>
      <w:tr w:rsidR="0066043F" w14:paraId="54B97B47" w14:textId="77777777" w:rsidTr="0066043F">
        <w:tc>
          <w:tcPr>
            <w:tcW w:w="5000" w:type="pct"/>
          </w:tcPr>
          <w:p w14:paraId="6B346953" w14:textId="77777777" w:rsidR="0066043F" w:rsidRDefault="0066043F" w:rsidP="005B3FB9">
            <w:pPr>
              <w:spacing w:before="240"/>
              <w:jc w:val="both"/>
            </w:pPr>
            <w:r>
              <w:t>§ 3. Dostęp do danych EPIS jest ograniczony do następujących osób:</w:t>
            </w:r>
          </w:p>
        </w:tc>
      </w:tr>
      <w:tr w:rsidR="0066043F" w14:paraId="2CFEEE3F" w14:textId="77777777" w:rsidTr="0066043F">
        <w:tc>
          <w:tcPr>
            <w:tcW w:w="5000" w:type="pct"/>
          </w:tcPr>
          <w:p w14:paraId="6ABB42CF" w14:textId="77777777" w:rsidR="0066043F" w:rsidRDefault="0066043F" w:rsidP="005B3FB9">
            <w:pPr>
              <w:spacing w:before="240"/>
              <w:jc w:val="both"/>
            </w:pPr>
            <w:r>
              <w:t>1) przewodniczący Komisji;</w:t>
            </w:r>
          </w:p>
        </w:tc>
      </w:tr>
      <w:tr w:rsidR="0066043F" w14:paraId="587666C8" w14:textId="77777777" w:rsidTr="0066043F">
        <w:tc>
          <w:tcPr>
            <w:tcW w:w="5000" w:type="pct"/>
          </w:tcPr>
          <w:p w14:paraId="4B06A1B5" w14:textId="77777777" w:rsidR="0066043F" w:rsidRDefault="0066043F" w:rsidP="005B3FB9">
            <w:pPr>
              <w:spacing w:before="240"/>
              <w:jc w:val="both"/>
            </w:pPr>
            <w:r>
              <w:t>2) funkcjonariusze policji, o których mowa w art. 15 ust. 3 pkt 1;</w:t>
            </w:r>
          </w:p>
        </w:tc>
      </w:tr>
      <w:tr w:rsidR="0066043F" w14:paraId="4FC49B49" w14:textId="77777777" w:rsidTr="0066043F">
        <w:tc>
          <w:tcPr>
            <w:tcW w:w="5000" w:type="pct"/>
          </w:tcPr>
          <w:p w14:paraId="5151F22D" w14:textId="77777777" w:rsidR="0066043F" w:rsidRDefault="0066043F" w:rsidP="005B3FB9">
            <w:pPr>
              <w:spacing w:before="240"/>
              <w:jc w:val="both"/>
            </w:pPr>
            <w:r>
              <w:t>3) członkowie sekretariatu Komisji, których obowiązki tego wymagają i którzy są powoływani przez Komisję.</w:t>
            </w:r>
          </w:p>
        </w:tc>
      </w:tr>
      <w:tr w:rsidR="0066043F" w14:paraId="6B30C5EE" w14:textId="77777777" w:rsidTr="0066043F">
        <w:tc>
          <w:tcPr>
            <w:tcW w:w="5000" w:type="pct"/>
          </w:tcPr>
          <w:p w14:paraId="448631C9" w14:textId="77777777" w:rsidR="0066043F" w:rsidRDefault="0066043F" w:rsidP="005B3FB9">
            <w:pPr>
              <w:spacing w:before="240"/>
              <w:jc w:val="both"/>
            </w:pPr>
            <w:r>
              <w:t>§ 4. Król określa warunki techniczne i finansowe EPIS.”;</w:t>
            </w:r>
          </w:p>
        </w:tc>
      </w:tr>
      <w:tr w:rsidR="0066043F" w14:paraId="5A9DBC93" w14:textId="77777777" w:rsidTr="0066043F">
        <w:tc>
          <w:tcPr>
            <w:tcW w:w="5000" w:type="pct"/>
          </w:tcPr>
          <w:p w14:paraId="49263A77" w14:textId="77777777" w:rsidR="0066043F" w:rsidRDefault="0066043F" w:rsidP="005B3FB9">
            <w:pPr>
              <w:spacing w:before="240"/>
              <w:jc w:val="both"/>
            </w:pPr>
            <w:r>
              <w:rPr>
                <w:b/>
              </w:rPr>
              <w:t xml:space="preserve">Artykuł 17. </w:t>
            </w:r>
            <w:r>
              <w:t>Do wspomnianej ustawy dodaje się artykuł 55/2 w brzmieniu:</w:t>
            </w:r>
          </w:p>
        </w:tc>
      </w:tr>
      <w:tr w:rsidR="0066043F" w14:paraId="01289C92" w14:textId="77777777" w:rsidTr="0066043F">
        <w:tc>
          <w:tcPr>
            <w:tcW w:w="5000" w:type="pct"/>
          </w:tcPr>
          <w:p w14:paraId="705828F8" w14:textId="77777777" w:rsidR="0066043F" w:rsidRDefault="0066043F" w:rsidP="005B3FB9">
            <w:pPr>
              <w:spacing w:before="240"/>
              <w:jc w:val="both"/>
            </w:pPr>
            <w:r>
              <w:t>„Artykuł 55/2. § 1. Wszystkie konsultacje EPIS są przechowywane w pliku dziennika, znanym jako „Log-EPIS”, w przypadku którego komisja jest administratorem w rozumieniu art. 4 ust.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tr w:rsidR="0066043F" w14:paraId="615D9220" w14:textId="77777777" w:rsidTr="0066043F">
        <w:tc>
          <w:tcPr>
            <w:tcW w:w="5000" w:type="pct"/>
          </w:tcPr>
          <w:p w14:paraId="0E0B44DD" w14:textId="77777777" w:rsidR="0066043F" w:rsidRDefault="0066043F" w:rsidP="005B3FB9">
            <w:pPr>
              <w:spacing w:before="240"/>
              <w:jc w:val="both"/>
            </w:pPr>
            <w:r>
              <w:t>Cele Log-EPIS są następujące:</w:t>
            </w:r>
          </w:p>
        </w:tc>
      </w:tr>
      <w:tr w:rsidR="0066043F" w14:paraId="049C0621" w14:textId="77777777" w:rsidTr="0066043F">
        <w:tc>
          <w:tcPr>
            <w:tcW w:w="5000" w:type="pct"/>
          </w:tcPr>
          <w:p w14:paraId="5DBBB1AC" w14:textId="77777777" w:rsidR="0066043F" w:rsidRDefault="0066043F" w:rsidP="005B3FB9">
            <w:pPr>
              <w:spacing w:before="240"/>
              <w:jc w:val="both"/>
            </w:pPr>
            <w:r>
              <w:t>1) sprawdzenie, czy posiadacze licencji należycie wywiązują się ze swoich zobowiązań prawnych w zakresie kontroli dostępu przy wejściu do salonu gier w ich zakładzie gier hazardowych lub w celu uprawiania gier hazardowych;</w:t>
            </w:r>
          </w:p>
        </w:tc>
      </w:tr>
      <w:tr w:rsidR="0066043F" w14:paraId="577013DA" w14:textId="77777777" w:rsidTr="0066043F">
        <w:tc>
          <w:tcPr>
            <w:tcW w:w="5000" w:type="pct"/>
          </w:tcPr>
          <w:p w14:paraId="70A3D004" w14:textId="77777777" w:rsidR="0066043F" w:rsidRDefault="0066043F" w:rsidP="005B3FB9">
            <w:pPr>
              <w:spacing w:before="240"/>
              <w:jc w:val="both"/>
            </w:pPr>
            <w:r>
              <w:t>2) wykrywanie i śledzenie wszelkich podejrzanych konsultacji EPIS.</w:t>
            </w:r>
          </w:p>
        </w:tc>
      </w:tr>
      <w:tr w:rsidR="0066043F" w14:paraId="4DF3EB99" w14:textId="77777777" w:rsidTr="0066043F">
        <w:tc>
          <w:tcPr>
            <w:tcW w:w="5000" w:type="pct"/>
          </w:tcPr>
          <w:p w14:paraId="01B66957" w14:textId="77777777" w:rsidR="0066043F" w:rsidRDefault="0066043F" w:rsidP="005B3FB9">
            <w:pPr>
              <w:spacing w:before="240"/>
              <w:jc w:val="both"/>
            </w:pPr>
            <w:r>
              <w:t>§ 2. W przypadku każdego wglądu do EPIS w Log-EPIS zapisywane są następujące dane:</w:t>
            </w:r>
          </w:p>
        </w:tc>
      </w:tr>
      <w:tr w:rsidR="0066043F" w14:paraId="63D42F7A" w14:textId="77777777" w:rsidTr="0066043F">
        <w:tc>
          <w:tcPr>
            <w:tcW w:w="5000" w:type="pct"/>
          </w:tcPr>
          <w:p w14:paraId="21A220E2" w14:textId="77777777" w:rsidR="0066043F" w:rsidRDefault="0066043F" w:rsidP="005B3FB9">
            <w:pPr>
              <w:spacing w:before="240"/>
              <w:jc w:val="both"/>
            </w:pPr>
            <w:r>
              <w:t>1. daty i godziny uzyskiwania wglądu;</w:t>
            </w:r>
          </w:p>
        </w:tc>
      </w:tr>
      <w:tr w:rsidR="0066043F" w14:paraId="31C22924" w14:textId="77777777" w:rsidTr="0066043F">
        <w:tc>
          <w:tcPr>
            <w:tcW w:w="5000" w:type="pct"/>
          </w:tcPr>
          <w:p w14:paraId="5E2E500F" w14:textId="77777777" w:rsidR="0066043F" w:rsidRDefault="0066043F" w:rsidP="005B3FB9">
            <w:pPr>
              <w:spacing w:before="240"/>
              <w:jc w:val="both"/>
            </w:pPr>
            <w:r>
              <w:t>2) dane, o których mowa w art. 55 ust. 2 pkt 1–3;</w:t>
            </w:r>
          </w:p>
        </w:tc>
      </w:tr>
      <w:tr w:rsidR="0066043F" w14:paraId="236BC632" w14:textId="77777777" w:rsidTr="0066043F">
        <w:tc>
          <w:tcPr>
            <w:tcW w:w="5000" w:type="pct"/>
          </w:tcPr>
          <w:p w14:paraId="00B10DD1" w14:textId="77777777" w:rsidR="0066043F" w:rsidRDefault="0066043F" w:rsidP="005B3FB9">
            <w:pPr>
              <w:spacing w:before="240"/>
              <w:jc w:val="both"/>
            </w:pPr>
            <w:r>
              <w:t>3) numer licencji zakładu gier hazardowych, z którego korzystano z EPIS;</w:t>
            </w:r>
          </w:p>
        </w:tc>
      </w:tr>
      <w:tr w:rsidR="0066043F" w14:paraId="0F7326E1" w14:textId="77777777" w:rsidTr="0066043F">
        <w:tc>
          <w:tcPr>
            <w:tcW w:w="5000" w:type="pct"/>
          </w:tcPr>
          <w:p w14:paraId="789F39A3" w14:textId="77777777" w:rsidR="0066043F" w:rsidRDefault="0066043F" w:rsidP="005B3FB9">
            <w:pPr>
              <w:spacing w:before="240"/>
              <w:jc w:val="both"/>
            </w:pPr>
            <w:r>
              <w:lastRenderedPageBreak/>
              <w:t>4) numer licencji D osoby, która uzyskała wgląd do EPIS lub tożsamość osoby, o której mowa w art. 55 par. 3;</w:t>
            </w:r>
          </w:p>
        </w:tc>
      </w:tr>
      <w:tr w:rsidR="0066043F" w14:paraId="5DDA7E2F" w14:textId="77777777" w:rsidTr="0066043F">
        <w:tc>
          <w:tcPr>
            <w:tcW w:w="5000" w:type="pct"/>
          </w:tcPr>
          <w:p w14:paraId="4FA73CF6" w14:textId="77777777" w:rsidR="0066043F" w:rsidRDefault="0066043F" w:rsidP="005B3FB9">
            <w:pPr>
              <w:spacing w:before="240"/>
              <w:jc w:val="both"/>
            </w:pPr>
            <w:r>
              <w:t>5) wynik inspekcji EPIS;</w:t>
            </w:r>
          </w:p>
        </w:tc>
      </w:tr>
      <w:tr w:rsidR="0066043F" w14:paraId="6A60FBCF" w14:textId="77777777" w:rsidTr="0066043F">
        <w:tc>
          <w:tcPr>
            <w:tcW w:w="5000" w:type="pct"/>
          </w:tcPr>
          <w:p w14:paraId="2227C298" w14:textId="77777777" w:rsidR="0066043F" w:rsidRDefault="0066043F" w:rsidP="005B3FB9">
            <w:pPr>
              <w:spacing w:before="240"/>
              <w:jc w:val="both"/>
            </w:pPr>
            <w:r>
              <w:t>6) celem konsultacji oraz, w przypadku gdy celem konsultacji z EPIS jest wykonywanie zadań policji sądowej w zakresie kontroli przestrzegania niniejszej ustawy i jej dekretów wykonawczych, numer akt, którego dotyczy konsultacja;</w:t>
            </w:r>
          </w:p>
        </w:tc>
      </w:tr>
      <w:tr w:rsidR="0066043F" w14:paraId="678B623E" w14:textId="77777777" w:rsidTr="0066043F">
        <w:tc>
          <w:tcPr>
            <w:tcW w:w="5000" w:type="pct"/>
          </w:tcPr>
          <w:p w14:paraId="25A9360D" w14:textId="77777777" w:rsidR="0066043F" w:rsidRDefault="0066043F" w:rsidP="005B3FB9">
            <w:pPr>
              <w:spacing w:before="240"/>
              <w:jc w:val="both"/>
            </w:pPr>
            <w:r>
              <w:t>7) środki identyfikacji, o których mowa w art. 54/1 ust. 2.</w:t>
            </w:r>
          </w:p>
        </w:tc>
      </w:tr>
      <w:tr w:rsidR="0066043F" w14:paraId="10DF9E13" w14:textId="77777777" w:rsidTr="0066043F">
        <w:tc>
          <w:tcPr>
            <w:tcW w:w="5000" w:type="pct"/>
          </w:tcPr>
          <w:p w14:paraId="6944D656" w14:textId="77777777" w:rsidR="0066043F" w:rsidRDefault="0066043F" w:rsidP="005B3FB9">
            <w:pPr>
              <w:spacing w:before="240"/>
              <w:jc w:val="both"/>
            </w:pPr>
            <w:r>
              <w:t>Informacje, o których mowa w pkt 1, przechowuje się przez okres pięciu lat od daty uzyskania wglądu do EPIS.</w:t>
            </w:r>
          </w:p>
        </w:tc>
      </w:tr>
      <w:tr w:rsidR="0066043F" w14:paraId="7B48DC4C" w14:textId="77777777" w:rsidTr="0066043F">
        <w:tc>
          <w:tcPr>
            <w:tcW w:w="5000" w:type="pct"/>
          </w:tcPr>
          <w:p w14:paraId="6DC009E7" w14:textId="77777777" w:rsidR="0066043F" w:rsidRDefault="0066043F" w:rsidP="005B3FB9">
            <w:pPr>
              <w:spacing w:before="240"/>
              <w:jc w:val="both"/>
            </w:pPr>
            <w:r>
              <w:t>§ 3. Dostęp do danych Log-EPIS jest ograniczony do:</w:t>
            </w:r>
          </w:p>
        </w:tc>
      </w:tr>
      <w:tr w:rsidR="0066043F" w14:paraId="4DD61F3D" w14:textId="77777777" w:rsidTr="0066043F">
        <w:tc>
          <w:tcPr>
            <w:tcW w:w="5000" w:type="pct"/>
          </w:tcPr>
          <w:p w14:paraId="353859B4" w14:textId="77777777" w:rsidR="0066043F" w:rsidRDefault="0066043F" w:rsidP="005B3FB9">
            <w:pPr>
              <w:spacing w:before="240"/>
              <w:jc w:val="both"/>
            </w:pPr>
            <w:r>
              <w:t>1) przewodniczący Komisji;</w:t>
            </w:r>
          </w:p>
        </w:tc>
      </w:tr>
      <w:tr w:rsidR="0066043F" w14:paraId="08B10F52" w14:textId="77777777" w:rsidTr="0066043F">
        <w:tc>
          <w:tcPr>
            <w:tcW w:w="5000" w:type="pct"/>
          </w:tcPr>
          <w:p w14:paraId="2A7940A0" w14:textId="77777777" w:rsidR="0066043F" w:rsidRDefault="0066043F" w:rsidP="005B3FB9">
            <w:pPr>
              <w:spacing w:before="240"/>
              <w:jc w:val="both"/>
            </w:pPr>
            <w:r>
              <w:t>2) funkcjonariusze policji, o których mowa w art. 15 ust. 3 pkt 1;</w:t>
            </w:r>
          </w:p>
        </w:tc>
      </w:tr>
      <w:tr w:rsidR="0066043F" w14:paraId="67D5EF96" w14:textId="77777777" w:rsidTr="0066043F">
        <w:tc>
          <w:tcPr>
            <w:tcW w:w="5000" w:type="pct"/>
          </w:tcPr>
          <w:p w14:paraId="0BA5846D" w14:textId="77777777" w:rsidR="0066043F" w:rsidRDefault="0066043F" w:rsidP="005B3FB9">
            <w:pPr>
              <w:spacing w:before="240"/>
              <w:jc w:val="both"/>
            </w:pPr>
            <w:r>
              <w:t>3) członków sekretariatu Komisji, których obowiązki tego wymagają i którzy są powoływani przez Komisję;</w:t>
            </w:r>
          </w:p>
        </w:tc>
      </w:tr>
      <w:tr w:rsidR="0066043F" w:rsidRPr="00CD7F70" w14:paraId="7F59D378" w14:textId="77777777" w:rsidTr="0066043F">
        <w:tc>
          <w:tcPr>
            <w:tcW w:w="5000" w:type="pct"/>
          </w:tcPr>
          <w:p w14:paraId="15552ADB" w14:textId="77777777" w:rsidR="0066043F" w:rsidRPr="00567F89" w:rsidRDefault="0066043F" w:rsidP="005B3FB9">
            <w:pPr>
              <w:spacing w:before="240"/>
              <w:jc w:val="both"/>
              <w:rPr>
                <w:b/>
                <w:bCs/>
              </w:rPr>
            </w:pPr>
          </w:p>
        </w:tc>
      </w:tr>
      <w:tr w:rsidR="0066043F" w14:paraId="49A321CA" w14:textId="77777777" w:rsidTr="0066043F">
        <w:tc>
          <w:tcPr>
            <w:tcW w:w="5000" w:type="pct"/>
          </w:tcPr>
          <w:p w14:paraId="3412A079" w14:textId="77777777" w:rsidR="0066043F" w:rsidRDefault="0066043F" w:rsidP="005B3FB9">
            <w:pPr>
              <w:spacing w:before="240"/>
              <w:jc w:val="both"/>
            </w:pPr>
            <w:r>
              <w:rPr>
                <w:b/>
              </w:rPr>
              <w:t xml:space="preserve">Artykuł 18. </w:t>
            </w:r>
            <w:r>
              <w:t>W tej samej ustawie dodaje się art. 55/3 w brzmieniu:</w:t>
            </w:r>
          </w:p>
        </w:tc>
      </w:tr>
      <w:tr w:rsidR="0066043F" w14:paraId="41A0134D" w14:textId="77777777" w:rsidTr="0066043F">
        <w:tc>
          <w:tcPr>
            <w:tcW w:w="5000" w:type="pct"/>
          </w:tcPr>
          <w:p w14:paraId="12542870" w14:textId="77777777" w:rsidR="0066043F" w:rsidRDefault="0066043F" w:rsidP="005B3FB9">
            <w:pPr>
              <w:spacing w:before="240"/>
              <w:jc w:val="both"/>
            </w:pPr>
            <w:r>
              <w:t>„Artykuł 55/3. § 1. Zgodnie z art. 6.4 i art. 23.1 lit. e), g) oraz 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dane log-EPIS mogą być dalej przetwarzane przez Komisję w celu:</w:t>
            </w:r>
          </w:p>
        </w:tc>
      </w:tr>
      <w:tr w:rsidR="0066043F" w14:paraId="707061C3" w14:textId="77777777" w:rsidTr="0066043F">
        <w:tc>
          <w:tcPr>
            <w:tcW w:w="5000" w:type="pct"/>
          </w:tcPr>
          <w:p w14:paraId="351136CF" w14:textId="77777777" w:rsidR="0066043F" w:rsidRDefault="0066043F" w:rsidP="005B3FB9">
            <w:pPr>
              <w:spacing w:before="240"/>
              <w:jc w:val="both"/>
            </w:pPr>
            <w:r>
              <w:t>1) umożliwienia Komisji sprawdzenia, czy posiadacz licencji należycie wywiązuje się ze swoich zobowiązań prawnych wynikających z art. 54;</w:t>
            </w:r>
          </w:p>
        </w:tc>
      </w:tr>
      <w:tr w:rsidR="0066043F" w14:paraId="5ACE8BAC" w14:textId="77777777" w:rsidTr="0066043F">
        <w:tc>
          <w:tcPr>
            <w:tcW w:w="5000" w:type="pct"/>
          </w:tcPr>
          <w:p w14:paraId="22636962" w14:textId="77777777" w:rsidR="0066043F" w:rsidRDefault="0066043F" w:rsidP="005B3FB9">
            <w:pPr>
              <w:spacing w:before="240"/>
              <w:jc w:val="both"/>
            </w:pPr>
            <w:r>
              <w:t>2) umożliwienie Komisji realizacji misji ochrony graczy przypisanej jej na mocy art. 54 ust. 3 pkt 4.</w:t>
            </w:r>
          </w:p>
        </w:tc>
      </w:tr>
      <w:tr w:rsidR="0066043F" w14:paraId="34940354" w14:textId="77777777" w:rsidTr="0066043F">
        <w:tc>
          <w:tcPr>
            <w:tcW w:w="5000" w:type="pct"/>
          </w:tcPr>
          <w:p w14:paraId="40D132BB" w14:textId="77777777" w:rsidR="0066043F" w:rsidRDefault="0066043F" w:rsidP="005B3FB9">
            <w:pPr>
              <w:spacing w:before="240"/>
              <w:jc w:val="both"/>
            </w:pPr>
            <w:r>
              <w:t>§ 2. Zgodnie z art. 6.4 i art. 23.1 lit. e) i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dane log-EPIS mogą być dalej przetwarzane w celu:</w:t>
            </w:r>
          </w:p>
        </w:tc>
      </w:tr>
      <w:tr w:rsidR="0066043F" w14:paraId="0659D4BE" w14:textId="77777777" w:rsidTr="0066043F">
        <w:tc>
          <w:tcPr>
            <w:tcW w:w="5000" w:type="pct"/>
          </w:tcPr>
          <w:p w14:paraId="2D508DBA" w14:textId="77777777" w:rsidR="0066043F" w:rsidRDefault="0066043F" w:rsidP="005B3FB9">
            <w:pPr>
              <w:spacing w:before="240"/>
              <w:jc w:val="both"/>
            </w:pPr>
            <w:r>
              <w:t>1) umożliwienia członkom służb policyjnych, wyznaczonym przez ich komendanta, dyrektora lub dyrektora generalnego na podstawie zasady ograniczonego dostępu, wykonywania obowiązków, o których mowa w art. 15 ustawy z dnia 5 sierpnia 1992 r. o funkcjach policji, gdy dochodzenia dotyczą przestępstw lub wykroczeń, o których mowa w art. 90b ust. 2-4 kodeksu postępowania karnego. W tym kontekście ujawniane mogą być wyłącznie dane, o których mowa w art. 55/2 ust. 2 pkt 1–3 niniejszej ustawy;</w:t>
            </w:r>
          </w:p>
        </w:tc>
      </w:tr>
      <w:tr w:rsidR="0066043F" w14:paraId="0ED6999E" w14:textId="77777777" w:rsidTr="0066043F">
        <w:tc>
          <w:tcPr>
            <w:tcW w:w="5000" w:type="pct"/>
          </w:tcPr>
          <w:p w14:paraId="3F432B08" w14:textId="77777777" w:rsidR="0066043F" w:rsidRDefault="0066043F" w:rsidP="005B3FB9">
            <w:pPr>
              <w:spacing w:before="240"/>
              <w:jc w:val="both"/>
            </w:pPr>
            <w:r>
              <w:lastRenderedPageBreak/>
              <w:t>2) umożliwienie członkom służby śledczej Stałego Komitetu P wykonywania zadań, o których mowa w art. 16 ustawy organicznej z dnia 18 lipca 1991 r. w sprawie nadzoru służb policyjnych i wywiadowczych oraz organu koordynującego ds. analizy zagrożeń;</w:t>
            </w:r>
          </w:p>
        </w:tc>
      </w:tr>
      <w:tr w:rsidR="0066043F" w14:paraId="191E4F4D" w14:textId="77777777" w:rsidTr="0066043F">
        <w:tc>
          <w:tcPr>
            <w:tcW w:w="5000" w:type="pct"/>
          </w:tcPr>
          <w:p w14:paraId="59CFEF5B" w14:textId="77777777" w:rsidR="0066043F" w:rsidRDefault="0066043F" w:rsidP="005B3FB9">
            <w:pPr>
              <w:spacing w:before="240"/>
              <w:jc w:val="both"/>
            </w:pPr>
            <w:r>
              <w:t>3) umożliwienie członkom Inspektoratu Generalnego Policji Federalnej i Policji Lokalnej wykonywania zadań, o których mowa w art. 4 ust. 3 i 4 ustawy z dnia 15 maja 2007 r. o Inspektoracie Generalnym i ustanawiającej różne przepisy dotyczące statusu niektórych funkcjonariuszy policji do wykonywania jej obowiązków ustawowych.</w:t>
            </w:r>
          </w:p>
        </w:tc>
      </w:tr>
      <w:tr w:rsidR="0066043F" w14:paraId="1804C756" w14:textId="77777777" w:rsidTr="0066043F">
        <w:tc>
          <w:tcPr>
            <w:tcW w:w="5000" w:type="pct"/>
          </w:tcPr>
          <w:p w14:paraId="3AD4FD43" w14:textId="77777777" w:rsidR="0066043F" w:rsidRDefault="0066043F" w:rsidP="005B3FB9">
            <w:pPr>
              <w:spacing w:before="240"/>
              <w:jc w:val="both"/>
            </w:pPr>
            <w:r>
              <w:rPr>
                <w:b/>
              </w:rPr>
              <w:t xml:space="preserve">Artykuł 19. </w:t>
            </w:r>
            <w:r>
              <w:t>Do tej samej ustawy dodaje się art. 55/4 w brzmieniu:</w:t>
            </w:r>
          </w:p>
        </w:tc>
      </w:tr>
      <w:tr w:rsidR="0066043F" w14:paraId="1EF25886" w14:textId="77777777" w:rsidTr="0066043F">
        <w:tc>
          <w:tcPr>
            <w:tcW w:w="5000" w:type="pct"/>
          </w:tcPr>
          <w:p w14:paraId="0A5FF979" w14:textId="77777777" w:rsidR="0066043F" w:rsidRDefault="0066043F" w:rsidP="005B3FB9">
            <w:pPr>
              <w:spacing w:before="240"/>
              <w:jc w:val="both"/>
            </w:pPr>
            <w:r>
              <w:t>„Artykuł 55/4. § 1. Podmiot prowadzący salon gier w zakładzie gier hazardowych klasy I lub II lub stacjonarny zakład gier hazardowych klasy IV prowadzi rejestr osób, które mają dostęp do jego placówki z przyczyn zawodowych, zwany „rejestrem podmiotów zawodowych”, w odniesieniu do którego jest administratorem w rozumieniu art. 4 ust.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tr w:rsidR="0066043F" w14:paraId="328BB479" w14:textId="77777777" w:rsidTr="0066043F">
        <w:tc>
          <w:tcPr>
            <w:tcW w:w="5000" w:type="pct"/>
          </w:tcPr>
          <w:p w14:paraId="523ABDAF" w14:textId="77777777" w:rsidR="0066043F" w:rsidRDefault="0066043F" w:rsidP="005B3FB9">
            <w:pPr>
              <w:spacing w:before="240"/>
              <w:jc w:val="both"/>
            </w:pPr>
            <w:r>
              <w:t>Celem rejestru podmiotów zawodowych jest umożliwienie podmiotowi prowadzącemu sprawdzenia przyczyny, dla której zezwolił on osobom na dostęp do salonu gier w swoim zakładzie gier hazardowych bez przeprowadzenia kontroli EPIS.</w:t>
            </w:r>
          </w:p>
        </w:tc>
      </w:tr>
      <w:tr w:rsidR="0066043F" w14:paraId="2B93E5B1" w14:textId="77777777" w:rsidTr="0066043F">
        <w:tc>
          <w:tcPr>
            <w:tcW w:w="5000" w:type="pct"/>
          </w:tcPr>
          <w:p w14:paraId="34974DE4" w14:textId="77777777" w:rsidR="0066043F" w:rsidRDefault="0066043F" w:rsidP="005B3FB9">
            <w:pPr>
              <w:spacing w:before="240"/>
              <w:jc w:val="both"/>
            </w:pPr>
            <w:r>
              <w:t>§ 2. W odniesieniu do każdej osoby, która uzyskuje dostęp do salonu gier w zakładzie gier hazardowych z przyczyn zawodowych, w rejestrze podmiotów zawodowych zapisuje się następujące dane:</w:t>
            </w:r>
          </w:p>
        </w:tc>
      </w:tr>
      <w:tr w:rsidR="0066043F" w14:paraId="10DE9A20" w14:textId="77777777" w:rsidTr="0066043F">
        <w:tc>
          <w:tcPr>
            <w:tcW w:w="5000" w:type="pct"/>
          </w:tcPr>
          <w:p w14:paraId="63DF842D" w14:textId="77777777" w:rsidR="0066043F" w:rsidRDefault="0066043F" w:rsidP="005B3FB9">
            <w:pPr>
              <w:spacing w:before="240"/>
              <w:jc w:val="both"/>
            </w:pPr>
            <w:r>
              <w:t>1) nazwiska i imiona;</w:t>
            </w:r>
          </w:p>
        </w:tc>
      </w:tr>
      <w:tr w:rsidR="0066043F" w14:paraId="0908FE3A" w14:textId="77777777" w:rsidTr="0066043F">
        <w:tc>
          <w:tcPr>
            <w:tcW w:w="5000" w:type="pct"/>
          </w:tcPr>
          <w:p w14:paraId="46CB870E" w14:textId="77777777" w:rsidR="0066043F" w:rsidRDefault="0066043F" w:rsidP="005B3FB9">
            <w:pPr>
              <w:spacing w:before="240"/>
              <w:jc w:val="both"/>
            </w:pPr>
            <w:r>
              <w:t>2) przyczynę, datę i godzinę wizyty;</w:t>
            </w:r>
          </w:p>
        </w:tc>
      </w:tr>
      <w:tr w:rsidR="0066043F" w14:paraId="5F488C84" w14:textId="77777777" w:rsidTr="0066043F">
        <w:tc>
          <w:tcPr>
            <w:tcW w:w="5000" w:type="pct"/>
          </w:tcPr>
          <w:p w14:paraId="390DBE41" w14:textId="77777777" w:rsidR="0066043F" w:rsidRDefault="0066043F" w:rsidP="005B3FB9">
            <w:pPr>
              <w:spacing w:before="240"/>
              <w:jc w:val="both"/>
            </w:pPr>
            <w:r>
              <w:t>3) podpis, poprzedzony następującym zapisem: „Dostęp do tego zakładu gier hazardowych jest mi przyznawany wyłącznie w ramach mojej działalności zawodowej i zobowiązuję się nie grać w żadne gry losowe prowadzone w tym kontekście”.</w:t>
            </w:r>
          </w:p>
        </w:tc>
      </w:tr>
      <w:tr w:rsidR="0066043F" w14:paraId="257955AA" w14:textId="77777777" w:rsidTr="0066043F">
        <w:tc>
          <w:tcPr>
            <w:tcW w:w="5000" w:type="pct"/>
          </w:tcPr>
          <w:p w14:paraId="7D439A09" w14:textId="77777777" w:rsidR="0066043F" w:rsidRDefault="0066043F" w:rsidP="005B3FB9">
            <w:pPr>
              <w:spacing w:before="240"/>
              <w:jc w:val="both"/>
            </w:pPr>
            <w:r>
              <w:t>Informacje, o których mowa w ust. 1, przechowuje się przez okres jednego roku.</w:t>
            </w:r>
          </w:p>
        </w:tc>
      </w:tr>
      <w:tr w:rsidR="0066043F" w14:paraId="107B44E2" w14:textId="77777777" w:rsidTr="0066043F">
        <w:tc>
          <w:tcPr>
            <w:tcW w:w="5000" w:type="pct"/>
          </w:tcPr>
          <w:p w14:paraId="3AD8211E" w14:textId="77777777" w:rsidR="0066043F" w:rsidRDefault="0066043F" w:rsidP="005B3FB9">
            <w:pPr>
              <w:spacing w:before="240"/>
              <w:jc w:val="both"/>
            </w:pPr>
            <w:r>
              <w:t>§ 3. Dostęp do danych w rejestrze specjalistów jest ograniczony do członków sekretariatu Komisji odpowiedzialnych za badanie i wykrywanie naruszeń niniejszej ustawy i jej dekretów wykonawczych do niej oraz do funkcjonariuszy policji, o których mowa w art. 15 ust. 3 pkt 1.”;</w:t>
            </w:r>
          </w:p>
        </w:tc>
      </w:tr>
      <w:tr w:rsidR="0066043F" w14:paraId="121755DF" w14:textId="77777777" w:rsidTr="0066043F">
        <w:tc>
          <w:tcPr>
            <w:tcW w:w="5000" w:type="pct"/>
          </w:tcPr>
          <w:p w14:paraId="640E426E" w14:textId="77777777" w:rsidR="0066043F" w:rsidRDefault="0066043F" w:rsidP="005B3FB9">
            <w:pPr>
              <w:spacing w:before="240"/>
              <w:jc w:val="both"/>
            </w:pPr>
            <w:r>
              <w:rPr>
                <w:b/>
              </w:rPr>
              <w:t xml:space="preserve">Artykuł 20. </w:t>
            </w:r>
            <w:r>
              <w:t>Do tej samej ustawy dodaje się art. 55/5 w brzmieniu:</w:t>
            </w:r>
          </w:p>
        </w:tc>
      </w:tr>
      <w:tr w:rsidR="0066043F" w14:paraId="2F470EFA" w14:textId="77777777" w:rsidTr="0066043F">
        <w:tc>
          <w:tcPr>
            <w:tcW w:w="5000" w:type="pct"/>
          </w:tcPr>
          <w:p w14:paraId="244612AC" w14:textId="77777777" w:rsidR="0066043F" w:rsidRDefault="0066043F" w:rsidP="005B3FB9">
            <w:pPr>
              <w:spacing w:before="240"/>
              <w:jc w:val="both"/>
            </w:pPr>
            <w:r>
              <w:t>„Artykuł 55/5. § 1. Jeżeli z jakiegokolwiek powodu niezależnego od podmiotu prowadzącego nie jest możliwe uzyskanie wglądu do systemu EPIS, dane graczy muszą zostać zapisane w oddzielnym rejestrze zapasowym prowadzonym przez posiadacza licencji, o którym mowa w art. 54/1 ust. 1, zwanym „rejestrem zapasowym”, dla którego jest on administratorem w rozumieniu art. 4 ust.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tr w:rsidR="0066043F" w14:paraId="777C14F2" w14:textId="77777777" w:rsidTr="0066043F">
        <w:tc>
          <w:tcPr>
            <w:tcW w:w="5000" w:type="pct"/>
          </w:tcPr>
          <w:p w14:paraId="54165307" w14:textId="77777777" w:rsidR="0066043F" w:rsidRDefault="0066043F" w:rsidP="005B3FB9">
            <w:pPr>
              <w:spacing w:before="240"/>
              <w:jc w:val="both"/>
            </w:pPr>
            <w:r>
              <w:lastRenderedPageBreak/>
              <w:t>Jeżeli z jakiegokolwiek powodu, poza kontrolą podmiotu prowadzącego, nie jest możliwe uzyskanie wglądu do EPIS za pomocą systemu komputerowego, o którym mowa w art. 54/1 ust. 3, posiadacz licencji, o którym mowa w art. 54/1 ust. 3, może włączyć urządzenie za pomocą karty operacyjnej po sprawdzeniu tożsamości i wieku potencjalnego gracza.</w:t>
            </w:r>
          </w:p>
        </w:tc>
      </w:tr>
      <w:tr w:rsidR="0066043F" w14:paraId="24022FDA" w14:textId="77777777" w:rsidTr="0066043F">
        <w:tc>
          <w:tcPr>
            <w:tcW w:w="5000" w:type="pct"/>
          </w:tcPr>
          <w:p w14:paraId="6E3C8D36" w14:textId="77777777" w:rsidR="0066043F" w:rsidRDefault="0066043F" w:rsidP="005B3FB9">
            <w:pPr>
              <w:spacing w:before="240"/>
              <w:jc w:val="both"/>
            </w:pPr>
            <w:r>
              <w:t>Celem rejestru zapasowego jest umożliwienie podmiotom prowadzącym zakłady gier hazardowych przeprowadzania kontroli EPIS graczy, gdy tylko niedostępność EPIS zostanie zniesiona, oraz wykluczenie osób objętych zakazem gry hazardowych z zakładów gier lub automatów do gier hazardowych.</w:t>
            </w:r>
          </w:p>
        </w:tc>
      </w:tr>
      <w:tr w:rsidR="0066043F" w14:paraId="2EFBEBBD" w14:textId="77777777" w:rsidTr="0066043F">
        <w:tc>
          <w:tcPr>
            <w:tcW w:w="5000" w:type="pct"/>
          </w:tcPr>
          <w:p w14:paraId="02F292F1" w14:textId="77777777" w:rsidR="0066043F" w:rsidRDefault="0066043F" w:rsidP="005B3FB9">
            <w:pPr>
              <w:spacing w:before="240"/>
              <w:jc w:val="both"/>
            </w:pPr>
            <w:r>
              <w:t>§ 2. Dla każdego gracza dane zapisane w rejestrze zapasowym są następujące:</w:t>
            </w:r>
          </w:p>
        </w:tc>
      </w:tr>
      <w:tr w:rsidR="0066043F" w14:paraId="46D704FE" w14:textId="77777777" w:rsidTr="0066043F">
        <w:tc>
          <w:tcPr>
            <w:tcW w:w="5000" w:type="pct"/>
          </w:tcPr>
          <w:p w14:paraId="118F7061" w14:textId="77777777" w:rsidR="0066043F" w:rsidRDefault="0066043F" w:rsidP="005B3FB9">
            <w:pPr>
              <w:spacing w:before="240"/>
              <w:jc w:val="both"/>
            </w:pPr>
            <w:r>
              <w:t>1) nazwiska i imiona;</w:t>
            </w:r>
          </w:p>
        </w:tc>
      </w:tr>
      <w:tr w:rsidR="0066043F" w14:paraId="61FE8821" w14:textId="77777777" w:rsidTr="0066043F">
        <w:tc>
          <w:tcPr>
            <w:tcW w:w="5000" w:type="pct"/>
          </w:tcPr>
          <w:p w14:paraId="41E75040" w14:textId="77777777" w:rsidR="0066043F" w:rsidRDefault="0066043F" w:rsidP="005B3FB9">
            <w:pPr>
              <w:spacing w:before="240"/>
              <w:jc w:val="both"/>
            </w:pPr>
            <w:r>
              <w:t>2) data urodzenia;</w:t>
            </w:r>
          </w:p>
        </w:tc>
      </w:tr>
      <w:tr w:rsidR="0066043F" w14:paraId="6CF9C4A7" w14:textId="77777777" w:rsidTr="0066043F">
        <w:tc>
          <w:tcPr>
            <w:tcW w:w="5000" w:type="pct"/>
          </w:tcPr>
          <w:p w14:paraId="7CB954DE" w14:textId="77777777" w:rsidR="0066043F" w:rsidRDefault="0066043F" w:rsidP="005B3FB9">
            <w:pPr>
              <w:spacing w:before="240"/>
              <w:jc w:val="both"/>
            </w:pPr>
            <w:r>
              <w:t>3) numer identyfikacyjny Krajowego Rejestru Osób Fizycznych lub, jeśli nie jest dostępny, numer dowodu osobistego wydanego przez inne państwo członkowskie Europejskiego Obszaru Gospodarczego, numer paszportu lub, ewentualnie, numer identyfikacyjny Kasy Ubezpieczeń Społecznych, o którym mowa w art. 8 ust. 1 pkt 2, ustawy z dnia 15 stycznia 1990 r. o utworzeniu i organizacji Kasy Ubezpieczeń Społecznych.</w:t>
            </w:r>
          </w:p>
        </w:tc>
      </w:tr>
      <w:tr w:rsidR="0066043F" w14:paraId="4C7DE81B" w14:textId="77777777" w:rsidTr="0066043F">
        <w:tc>
          <w:tcPr>
            <w:tcW w:w="5000" w:type="pct"/>
          </w:tcPr>
          <w:p w14:paraId="44FA2C2F" w14:textId="77777777" w:rsidR="0066043F" w:rsidRDefault="0066043F" w:rsidP="005B3FB9">
            <w:pPr>
              <w:spacing w:before="240"/>
              <w:jc w:val="both"/>
            </w:pPr>
            <w:r>
              <w:t>§ 3. Dostęp do danych w rejestrze zapasowym jest ograniczony do członków sekretariatu Komisji odpowiedzialnych za badanie i wykrywanie naruszeń niniejszej ustawy i jej dekretów wykonawczych do niej oraz do funkcjonariuszy policji, o których mowa w art. 15 ust. 3 pkt 1.</w:t>
            </w:r>
          </w:p>
        </w:tc>
      </w:tr>
      <w:tr w:rsidR="0066043F" w14:paraId="0EB49C1B" w14:textId="77777777" w:rsidTr="0066043F">
        <w:tc>
          <w:tcPr>
            <w:tcW w:w="5000" w:type="pct"/>
          </w:tcPr>
          <w:p w14:paraId="153E3644" w14:textId="77777777" w:rsidR="0066043F" w:rsidRDefault="0066043F" w:rsidP="005B3FB9">
            <w:pPr>
              <w:spacing w:before="240"/>
              <w:jc w:val="both"/>
            </w:pPr>
            <w:r>
              <w:t>§ 4. Posiadacz licencji niezwłocznie informuje Komisję ds. Gier Hazardowych i podwykonawcę wybranego przez Komisję ds. Gier Hazardowych do hostingu systemu EPIS i zarządzania dostępem do systemu EPIS o niemożności uzyskania wglądu do EPIS.</w:t>
            </w:r>
          </w:p>
        </w:tc>
      </w:tr>
      <w:tr w:rsidR="0066043F" w14:paraId="3727D729" w14:textId="77777777" w:rsidTr="0066043F">
        <w:tc>
          <w:tcPr>
            <w:tcW w:w="5000" w:type="pct"/>
          </w:tcPr>
          <w:p w14:paraId="41D583A3" w14:textId="77777777" w:rsidR="0066043F" w:rsidRDefault="0066043F" w:rsidP="005B3FB9">
            <w:pPr>
              <w:spacing w:before="240"/>
              <w:jc w:val="both"/>
            </w:pPr>
            <w:r>
              <w:t>W przypadku ponownego przeszukiwania systemu EPIS wszyscy gracze w rejestrze zapasowym muszą zostać sprawdzeni przez posiadacza licencji pod kątem daty i godziny wizyty. Jeśli gracze ci zostaną wykluczeni, natychmiast zakazuje się im dostępu lub uczestnictwa w grach losowych, a Komisja musi zostać o tym niezwłocznie poinformowana.</w:t>
            </w:r>
          </w:p>
        </w:tc>
      </w:tr>
      <w:tr w:rsidR="0066043F" w14:paraId="64362DEC" w14:textId="77777777" w:rsidTr="0066043F">
        <w:tc>
          <w:tcPr>
            <w:tcW w:w="5000" w:type="pct"/>
          </w:tcPr>
          <w:p w14:paraId="0E761CA9" w14:textId="77777777" w:rsidR="0066043F" w:rsidRDefault="0066043F" w:rsidP="005B3FB9">
            <w:pPr>
              <w:spacing w:before="240"/>
              <w:jc w:val="both"/>
            </w:pPr>
            <w:r>
              <w:t>Po tej kontroli lista zostaje natychmiast zniszczona przez posiadacza licencji”.</w:t>
            </w:r>
          </w:p>
        </w:tc>
      </w:tr>
      <w:tr w:rsidR="0066043F" w14:paraId="692AD42D" w14:textId="77777777" w:rsidTr="0066043F">
        <w:tc>
          <w:tcPr>
            <w:tcW w:w="5000" w:type="pct"/>
          </w:tcPr>
          <w:p w14:paraId="0D8CAF39" w14:textId="77777777" w:rsidR="0066043F" w:rsidRDefault="0066043F" w:rsidP="005B3FB9">
            <w:pPr>
              <w:spacing w:before="240"/>
              <w:jc w:val="both"/>
            </w:pPr>
            <w:r>
              <w:rPr>
                <w:b/>
              </w:rPr>
              <w:t>Artykuł 21.</w:t>
            </w:r>
            <w:r>
              <w:t xml:space="preserve"> W art. 61 ust. 3 tej ustawy, wprowadzonym ustawą z dnia 10 stycznia 2010 r., między wyrazami „klas I, II, III i IV” a słowami „ulotki” dodaje się słowa „i posiadaczy licencji, o których mowa w art. 43/5 par. 5 pkt 1”.</w:t>
            </w:r>
          </w:p>
        </w:tc>
      </w:tr>
      <w:tr w:rsidR="0066043F" w14:paraId="3CF40967" w14:textId="77777777" w:rsidTr="0066043F">
        <w:tc>
          <w:tcPr>
            <w:tcW w:w="5000" w:type="pct"/>
          </w:tcPr>
          <w:p w14:paraId="2B1AC493" w14:textId="77777777" w:rsidR="0066043F" w:rsidRDefault="0066043F" w:rsidP="005B3FB9">
            <w:pPr>
              <w:spacing w:before="240"/>
              <w:jc w:val="both"/>
            </w:pPr>
            <w:r>
              <w:rPr>
                <w:b/>
              </w:rPr>
              <w:t>Artykuł 22.</w:t>
            </w:r>
            <w:r>
              <w:t xml:space="preserve"> W art. 63 tej samej ustawy, ostatnio zmienionym ustawą z dnia 10 stycznia 2010 r., wyrazy „więzienia na okres od jednego miesiąca do trzech lat oraz grzywny w wysokości od 26 franków do 25 000 franków lub jednej z tych kar” zastępuje się słowami „karą w wysokości od 26 do 120 000 EUR”.</w:t>
            </w:r>
          </w:p>
        </w:tc>
      </w:tr>
      <w:tr w:rsidR="0066043F" w14:paraId="64F4A5D4" w14:textId="77777777" w:rsidTr="0066043F">
        <w:tc>
          <w:tcPr>
            <w:tcW w:w="5000" w:type="pct"/>
          </w:tcPr>
          <w:p w14:paraId="791991A0" w14:textId="77777777" w:rsidR="0066043F" w:rsidRDefault="0066043F" w:rsidP="005B3FB9">
            <w:pPr>
              <w:spacing w:before="240"/>
              <w:jc w:val="both"/>
            </w:pPr>
            <w:r>
              <w:rPr>
                <w:b/>
              </w:rPr>
              <w:t>Artykuł 23.</w:t>
            </w:r>
            <w:r>
              <w:t xml:space="preserve"> Artykuł 64 tej ustawy, ostatnio zmieniony ustawą z dnia 18 stycznia 2024 r. otrzymuje brzmienie:</w:t>
            </w:r>
          </w:p>
        </w:tc>
      </w:tr>
      <w:tr w:rsidR="0066043F" w14:paraId="17A38BE3" w14:textId="77777777" w:rsidTr="0066043F">
        <w:tc>
          <w:tcPr>
            <w:tcW w:w="5000" w:type="pct"/>
          </w:tcPr>
          <w:p w14:paraId="188A95DA" w14:textId="41F27EDD" w:rsidR="0066043F" w:rsidRDefault="0066043F" w:rsidP="005B3FB9">
            <w:pPr>
              <w:spacing w:before="240"/>
              <w:jc w:val="both"/>
            </w:pPr>
            <w:r>
              <w:t>„Artykuł 64. Sprawcy naruszenia art. 4 ust. 2, pkt. 4 i 5, art. 43/1, 43/2, 43/2/1 43/3, 43/4, 60, 61 ust. 2 i 3 oraz dekretów wydanych w celu wdrożenia tych artykułów podlegają karze grzywny w wysokości od 26 EUR do 72 000 EUR”.</w:t>
            </w:r>
          </w:p>
        </w:tc>
      </w:tr>
      <w:tr w:rsidR="0066043F" w14:paraId="6E9F3319" w14:textId="77777777" w:rsidTr="0066043F">
        <w:tc>
          <w:tcPr>
            <w:tcW w:w="5000" w:type="pct"/>
          </w:tcPr>
          <w:p w14:paraId="783A4613" w14:textId="77777777" w:rsidR="0066043F" w:rsidRDefault="0066043F" w:rsidP="005B3FB9">
            <w:pPr>
              <w:spacing w:before="240"/>
              <w:jc w:val="both"/>
            </w:pPr>
            <w:r>
              <w:rPr>
                <w:b/>
              </w:rPr>
              <w:lastRenderedPageBreak/>
              <w:t>„Artykuł 24.</w:t>
            </w:r>
            <w:r>
              <w:t xml:space="preserve"> W art. 65 ust. 2 tej ustawy wyrazy „osoby poniżej 18 roku życia” zastępuje się wyrazami „osoby poniżej 21 roku życia”.</w:t>
            </w:r>
          </w:p>
        </w:tc>
      </w:tr>
      <w:tr w:rsidR="0066043F" w:rsidRPr="00CD7F70" w14:paraId="5916DF57" w14:textId="77777777" w:rsidTr="0066043F">
        <w:tc>
          <w:tcPr>
            <w:tcW w:w="5000" w:type="pct"/>
          </w:tcPr>
          <w:p w14:paraId="6C782B02" w14:textId="77777777" w:rsidR="0066043F" w:rsidRPr="00CD7F70" w:rsidRDefault="0066043F" w:rsidP="005B3FB9">
            <w:pPr>
              <w:spacing w:before="240"/>
              <w:jc w:val="both"/>
            </w:pPr>
            <w:r>
              <w:t xml:space="preserve">ROZDZIAŁ 3.  – </w:t>
            </w:r>
            <w:r>
              <w:rPr>
                <w:i/>
              </w:rPr>
              <w:t>Potwierdzenie dekretu królewskiego z dnia 31 stycznia 2024 r. w sprawie udziału w kosztach operacyjnych, personelu i instalacji Komisji ds. Gier Hazardowych należnych od posiadaczy licencji klasy A, A+, B, B+, C, E, F1, F1+ i F2 za rok kalendarzowy 2024</w:t>
            </w:r>
          </w:p>
        </w:tc>
      </w:tr>
      <w:tr w:rsidR="0066043F" w14:paraId="0361E2FC" w14:textId="77777777" w:rsidTr="0066043F">
        <w:tc>
          <w:tcPr>
            <w:tcW w:w="5000" w:type="pct"/>
          </w:tcPr>
          <w:p w14:paraId="5D82F0EF" w14:textId="77777777" w:rsidR="0066043F" w:rsidRDefault="0066043F" w:rsidP="005B3FB9">
            <w:pPr>
              <w:spacing w:before="240"/>
              <w:jc w:val="both"/>
            </w:pPr>
            <w:r>
              <w:rPr>
                <w:b/>
              </w:rPr>
              <w:t>Artykuł 25.</w:t>
            </w:r>
            <w:r>
              <w:t xml:space="preserve"> Dekret królewski z dnia 31 stycznia 2024 r. w sprawie udziału w kosztach operacyjnych, personelu i instalacji Komisji ds. Gier Hazardowych należnych od posiadaczy licencji klasy A, A+, B, B+, C, E, F1, F1+ i F2 za rok kalendarzowy 2024 zostaje potwierdzony ze skutkiem od dnia jego wejścia w życie.</w:t>
            </w:r>
          </w:p>
        </w:tc>
      </w:tr>
      <w:tr w:rsidR="0066043F" w:rsidRPr="00CD7F70" w14:paraId="0376A838" w14:textId="77777777" w:rsidTr="0066043F">
        <w:tc>
          <w:tcPr>
            <w:tcW w:w="5000" w:type="pct"/>
          </w:tcPr>
          <w:p w14:paraId="5D4D8F13" w14:textId="77777777" w:rsidR="0066043F" w:rsidRPr="00CD7F70" w:rsidRDefault="0066043F" w:rsidP="005B3FB9">
            <w:pPr>
              <w:spacing w:before="240"/>
              <w:jc w:val="both"/>
            </w:pPr>
            <w:r>
              <w:t xml:space="preserve">Rozdział 4. – </w:t>
            </w:r>
            <w:r>
              <w:rPr>
                <w:i/>
              </w:rPr>
              <w:t>Uchylane przepisy</w:t>
            </w:r>
          </w:p>
        </w:tc>
      </w:tr>
      <w:tr w:rsidR="0066043F" w14:paraId="3C2F9B72" w14:textId="77777777" w:rsidTr="0066043F">
        <w:tc>
          <w:tcPr>
            <w:tcW w:w="5000" w:type="pct"/>
          </w:tcPr>
          <w:p w14:paraId="7A20176D" w14:textId="77777777" w:rsidR="0066043F" w:rsidRDefault="0066043F" w:rsidP="005B3FB9">
            <w:pPr>
              <w:spacing w:before="240"/>
              <w:jc w:val="both"/>
            </w:pPr>
            <w:r>
              <w:rPr>
                <w:b/>
              </w:rPr>
              <w:t>Artykuł 26.</w:t>
            </w:r>
            <w:r>
              <w:t xml:space="preserve"> Uchyla się art. 62 tej samej ustawy, zmieniony ustawami z dnia 10 stycznia 2010 r., 7 maja 2019 r. i 30 lipca 2022 r.</w:t>
            </w:r>
          </w:p>
        </w:tc>
      </w:tr>
      <w:tr w:rsidR="0066043F" w14:paraId="726293BB" w14:textId="77777777" w:rsidTr="0066043F">
        <w:tc>
          <w:tcPr>
            <w:tcW w:w="5000" w:type="pct"/>
          </w:tcPr>
          <w:p w14:paraId="096B3F28" w14:textId="77777777" w:rsidR="0066043F" w:rsidRDefault="0066043F" w:rsidP="005B3FB9">
            <w:pPr>
              <w:spacing w:before="240"/>
              <w:jc w:val="both"/>
            </w:pPr>
            <w:r>
              <w:rPr>
                <w:b/>
              </w:rPr>
              <w:t>Artykuł 27.</w:t>
            </w:r>
            <w:r>
              <w:t xml:space="preserve"> Niniejszym uchyla się dekret królewski z dnia 26 czerwca 2002 r. ustanawiający procedury przyjmowania skarg i roszczeń przez Komisję ds. Gier Hazardowych.</w:t>
            </w:r>
          </w:p>
        </w:tc>
      </w:tr>
      <w:tr w:rsidR="0066043F" w14:paraId="510EFD61" w14:textId="77777777" w:rsidTr="0066043F">
        <w:tc>
          <w:tcPr>
            <w:tcW w:w="5000" w:type="pct"/>
          </w:tcPr>
          <w:p w14:paraId="4ACA6199" w14:textId="77777777" w:rsidR="0066043F" w:rsidRDefault="0066043F" w:rsidP="005B3FB9">
            <w:pPr>
              <w:spacing w:before="240"/>
              <w:jc w:val="both"/>
            </w:pPr>
            <w:r>
              <w:rPr>
                <w:b/>
              </w:rPr>
              <w:t>Artykuł 28.</w:t>
            </w:r>
            <w:r>
              <w:t xml:space="preserve"> Niniejszym uchyla się dekret królewski z dnia 15 grudnia 2004 r. w sprawie rejestru dostępu do salonów gier w zakładach gier hazardowych klasy I i II oraz stacjonarnych zakładach gier hazardowych klasy IV, zmieniony dekretami królewskimi z dnia 20 marca 2022 r. i 6 września 2022 r.</w:t>
            </w:r>
          </w:p>
        </w:tc>
      </w:tr>
      <w:tr w:rsidR="0066043F" w14:paraId="7B9BDFF2" w14:textId="77777777" w:rsidTr="0066043F">
        <w:tc>
          <w:tcPr>
            <w:tcW w:w="5000" w:type="pct"/>
          </w:tcPr>
          <w:p w14:paraId="471B4110" w14:textId="77777777" w:rsidR="0066043F" w:rsidRDefault="0066043F" w:rsidP="005B3FB9">
            <w:pPr>
              <w:spacing w:before="240"/>
              <w:jc w:val="both"/>
            </w:pPr>
            <w:r>
              <w:rPr>
                <w:b/>
              </w:rPr>
              <w:t>Artykuł 29.</w:t>
            </w:r>
            <w:r>
              <w:t xml:space="preserve"> Uchyla się art. 1–5, art. 6 ust. 1 i 5, art. 7 i 8 dekretu królewskiego z dnia 15 grudnia 2004 r. w sprawie utworzenia systemu przetwarzania informacji dotyczących graczy, którym odmówiono dostępu do stacjonarnych zakładów gier hazardowych klasy I, klasy II i klasy IV, zmienionego dekretami królewskimi z dnia 20 marca 2022 r. i z dnia 6 września 2022 r.</w:t>
            </w:r>
          </w:p>
        </w:tc>
      </w:tr>
      <w:tr w:rsidR="0066043F" w:rsidRPr="00CD7F70" w14:paraId="4CCF4A55" w14:textId="77777777" w:rsidTr="0066043F">
        <w:tc>
          <w:tcPr>
            <w:tcW w:w="5000" w:type="pct"/>
          </w:tcPr>
          <w:p w14:paraId="25EB3EA7" w14:textId="77777777" w:rsidR="0066043F" w:rsidRPr="00CD7F70" w:rsidRDefault="0066043F" w:rsidP="005B3FB9">
            <w:pPr>
              <w:spacing w:before="240"/>
              <w:jc w:val="both"/>
            </w:pPr>
            <w:r>
              <w:t xml:space="preserve">ROZDZIAŁ 5. – </w:t>
            </w:r>
            <w:r>
              <w:rPr>
                <w:i/>
              </w:rPr>
              <w:t>Przepisy przejściowe</w:t>
            </w:r>
          </w:p>
        </w:tc>
      </w:tr>
      <w:tr w:rsidR="0066043F" w14:paraId="50EC7C0E" w14:textId="77777777" w:rsidTr="0066043F">
        <w:tc>
          <w:tcPr>
            <w:tcW w:w="5000" w:type="pct"/>
          </w:tcPr>
          <w:p w14:paraId="47638B86" w14:textId="77777777" w:rsidR="0066043F" w:rsidRDefault="0066043F" w:rsidP="005B3FB9">
            <w:pPr>
              <w:spacing w:before="240"/>
              <w:jc w:val="both"/>
            </w:pPr>
            <w:r>
              <w:rPr>
                <w:b/>
                <w:bCs/>
              </w:rPr>
              <w:t>Artykuł 30.</w:t>
            </w:r>
            <w:r>
              <w:t xml:space="preserve"> Artykuł 9 stosuje się do wszystkich wniosków o przedłużenie licencji C złożonych po wejściu w życie niniejszej ustawy.</w:t>
            </w:r>
          </w:p>
        </w:tc>
      </w:tr>
      <w:tr w:rsidR="0066043F" w:rsidRPr="00CD7F70" w14:paraId="4CE8FA16" w14:textId="77777777" w:rsidTr="0066043F">
        <w:tc>
          <w:tcPr>
            <w:tcW w:w="5000" w:type="pct"/>
          </w:tcPr>
          <w:p w14:paraId="1B5FFFE7" w14:textId="77777777" w:rsidR="0066043F" w:rsidRPr="00CD7F70" w:rsidRDefault="0066043F" w:rsidP="005B3FB9">
            <w:pPr>
              <w:spacing w:before="240"/>
              <w:jc w:val="both"/>
            </w:pPr>
            <w:r>
              <w:t xml:space="preserve">ROZDZIAŁ 6. – </w:t>
            </w:r>
            <w:r>
              <w:rPr>
                <w:i/>
              </w:rPr>
              <w:t>Wejście w życie</w:t>
            </w:r>
          </w:p>
        </w:tc>
      </w:tr>
      <w:tr w:rsidR="0066043F" w:rsidRPr="00B37C9A" w14:paraId="426D70DD" w14:textId="77777777" w:rsidTr="0066043F">
        <w:tc>
          <w:tcPr>
            <w:tcW w:w="5000" w:type="pct"/>
          </w:tcPr>
          <w:p w14:paraId="20CF0E89" w14:textId="77777777" w:rsidR="0066043F" w:rsidRPr="00B37C9A" w:rsidRDefault="0066043F" w:rsidP="005B3FB9">
            <w:pPr>
              <w:spacing w:before="240"/>
              <w:jc w:val="both"/>
            </w:pPr>
            <w:r>
              <w:rPr>
                <w:b/>
              </w:rPr>
              <w:t>Artykuł 31.</w:t>
            </w:r>
            <w:r>
              <w:t xml:space="preserve"> W odniesieniu do posiadaczy licencji A, A+, B, B+ i F1+ oraz posiadaczy licencji F2 zezwalających na przyjmowanie zakładów w imieniu posiadaczy licencji klasy F1 w stacjonarnym zakładzie gier hazardowych klasy IV art. 2, 14, 15, 16, 17, 18 i 20 wchodzą w życie pierwszego dnia dwunastego miesiąca następującego po dacie publikacji niniejszej ustawy w belgijskim dzienniku urzędowym.</w:t>
            </w:r>
          </w:p>
        </w:tc>
      </w:tr>
      <w:tr w:rsidR="0066043F" w:rsidRPr="00B37C9A" w14:paraId="53B86833" w14:textId="77777777" w:rsidTr="0066043F">
        <w:tc>
          <w:tcPr>
            <w:tcW w:w="5000" w:type="pct"/>
          </w:tcPr>
          <w:p w14:paraId="7B8FB8FB" w14:textId="77777777" w:rsidR="0066043F" w:rsidRPr="00B37C9A" w:rsidRDefault="0066043F" w:rsidP="005B3FB9">
            <w:pPr>
              <w:spacing w:before="240"/>
              <w:jc w:val="both"/>
            </w:pPr>
            <w:r>
              <w:t>Dla posiadaczy licencji F2 zezwalającej na obstawianie zakładów w imieniu posiadaczy licencji klasy F1 w mobilnym zakładzie gier hazardowych klasy IV oraz posiadaczy licencji F2 zezwalającej na obstawianie zakładów poza zakładami gier hazardowych klasy IV, artykuły 2, 14, 15, 16, 17, 18 i 20 wchodzą w życie pierwszego dnia dwudziestego czwartego miesiąca następującego po dacie opublikowania niniejszej ustawy w belgijskim dzienniku urzędowym.</w:t>
            </w:r>
          </w:p>
        </w:tc>
      </w:tr>
      <w:tr w:rsidR="0066043F" w14:paraId="73C9E1B7" w14:textId="77777777" w:rsidTr="0066043F">
        <w:tc>
          <w:tcPr>
            <w:tcW w:w="5000" w:type="pct"/>
          </w:tcPr>
          <w:p w14:paraId="64823F79" w14:textId="77777777" w:rsidR="0066043F" w:rsidRDefault="0066043F" w:rsidP="005B3FB9">
            <w:pPr>
              <w:spacing w:before="240"/>
              <w:jc w:val="both"/>
            </w:pPr>
            <w:r>
              <w:rPr>
                <w:b/>
              </w:rPr>
              <w:t>Artykuł 32.</w:t>
            </w:r>
            <w:r>
              <w:t xml:space="preserve"> Art. 5, 10 i 24 wchodzą w życie z dniem 1 września 2024 r.</w:t>
            </w:r>
          </w:p>
        </w:tc>
      </w:tr>
      <w:tr w:rsidR="0066043F" w14:paraId="4BBF38DB" w14:textId="77777777" w:rsidTr="0066043F">
        <w:tc>
          <w:tcPr>
            <w:tcW w:w="5000" w:type="pct"/>
          </w:tcPr>
          <w:p w14:paraId="22E524BD" w14:textId="77777777" w:rsidR="0066043F" w:rsidRDefault="0066043F" w:rsidP="005B3FB9">
            <w:pPr>
              <w:spacing w:before="240"/>
              <w:jc w:val="both"/>
            </w:pPr>
            <w:r>
              <w:rPr>
                <w:b/>
              </w:rPr>
              <w:t>Artykuł 33.</w:t>
            </w:r>
            <w:r>
              <w:t xml:space="preserve"> Artykuły 26, 28 i 29 wchodzą w życie pierwszego dnia dwunastego miesiąca następującego po dniu opublikowania niniejszej ustawy w belgijskim dzienniku urzędowym.</w:t>
            </w:r>
          </w:p>
        </w:tc>
      </w:tr>
      <w:tr w:rsidR="0066043F" w14:paraId="310E8087" w14:textId="77777777" w:rsidTr="0066043F">
        <w:tc>
          <w:tcPr>
            <w:tcW w:w="5000" w:type="pct"/>
          </w:tcPr>
          <w:p w14:paraId="01F50D5E" w14:textId="77777777" w:rsidR="0066043F" w:rsidRDefault="0066043F" w:rsidP="005B3FB9">
            <w:pPr>
              <w:spacing w:before="240"/>
              <w:jc w:val="both"/>
            </w:pPr>
            <w:r>
              <w:lastRenderedPageBreak/>
              <w:t>Ogłaszamy niniejszą ustawę i zarządzamy jej opatrzenie pieczęcią państwową i opublikowanie w belgijskim dzienniku urzędowym.</w:t>
            </w:r>
          </w:p>
        </w:tc>
      </w:tr>
      <w:tr w:rsidR="0066043F" w:rsidRPr="00CF6D43" w14:paraId="1655BE91" w14:textId="77777777" w:rsidTr="0066043F">
        <w:tc>
          <w:tcPr>
            <w:tcW w:w="5000" w:type="pct"/>
          </w:tcPr>
          <w:p w14:paraId="1465896C" w14:textId="76401A1E" w:rsidR="0066043F" w:rsidRPr="00CF6D43" w:rsidRDefault="0066043F" w:rsidP="005B3FB9">
            <w:pPr>
              <w:spacing w:before="240"/>
              <w:jc w:val="both"/>
            </w:pPr>
            <w:r>
              <w:t>Podano w Brukseli dnia 7 maja 2024 r.</w:t>
            </w:r>
          </w:p>
        </w:tc>
      </w:tr>
      <w:tr w:rsidR="0066043F" w:rsidRPr="00CF6D43" w14:paraId="2C94C16D" w14:textId="77777777" w:rsidTr="0066043F">
        <w:tc>
          <w:tcPr>
            <w:tcW w:w="5000" w:type="pct"/>
          </w:tcPr>
          <w:p w14:paraId="727C7B58" w14:textId="77777777" w:rsidR="0066043F" w:rsidRPr="00CF6D43" w:rsidRDefault="0066043F" w:rsidP="005B3FB9">
            <w:pPr>
              <w:spacing w:before="240"/>
              <w:jc w:val="both"/>
              <w:rPr>
                <w:lang w:val="fr-FR"/>
              </w:rPr>
            </w:pPr>
          </w:p>
        </w:tc>
      </w:tr>
      <w:tr w:rsidR="0066043F" w:rsidRPr="00F11721" w14:paraId="43E86ABE" w14:textId="77777777" w:rsidTr="0066043F">
        <w:tc>
          <w:tcPr>
            <w:tcW w:w="5000" w:type="pct"/>
            <w:shd w:val="clear" w:color="auto" w:fill="auto"/>
          </w:tcPr>
          <w:p w14:paraId="61CD4026" w14:textId="77777777" w:rsidR="0066043F" w:rsidRDefault="0066043F" w:rsidP="005B3FB9">
            <w:pPr>
              <w:spacing w:before="240" w:after="160" w:line="259" w:lineRule="auto"/>
              <w:jc w:val="center"/>
              <w:rPr>
                <w:rFonts w:cstheme="minorHAnsi"/>
              </w:rPr>
            </w:pPr>
            <w:r>
              <w:t>FILIP</w:t>
            </w:r>
          </w:p>
          <w:p w14:paraId="1A22CB92" w14:textId="77777777" w:rsidR="0066043F" w:rsidRPr="00F11721" w:rsidRDefault="0066043F" w:rsidP="005B3FB9">
            <w:pPr>
              <w:spacing w:before="240"/>
              <w:jc w:val="center"/>
            </w:pPr>
            <w:r>
              <w:t>W imieniu Króla:</w:t>
            </w:r>
          </w:p>
        </w:tc>
      </w:tr>
      <w:tr w:rsidR="0066043F" w:rsidRPr="00F11721" w14:paraId="7B29FED6" w14:textId="77777777" w:rsidTr="0066043F">
        <w:tc>
          <w:tcPr>
            <w:tcW w:w="5000" w:type="pct"/>
            <w:shd w:val="clear" w:color="auto" w:fill="auto"/>
          </w:tcPr>
          <w:p w14:paraId="28C19FE2" w14:textId="77777777" w:rsidR="0066043F" w:rsidRDefault="0066043F" w:rsidP="005B3FB9">
            <w:pPr>
              <w:spacing w:before="240" w:after="160" w:line="259" w:lineRule="auto"/>
              <w:jc w:val="center"/>
              <w:rPr>
                <w:rFonts w:cstheme="minorHAnsi"/>
              </w:rPr>
            </w:pPr>
            <w:r>
              <w:t>Minister Sprawiedliwości,</w:t>
            </w:r>
          </w:p>
          <w:p w14:paraId="271F69C9" w14:textId="77777777" w:rsidR="0066043F" w:rsidRPr="00F11721" w:rsidRDefault="0066043F" w:rsidP="005B3FB9">
            <w:pPr>
              <w:spacing w:before="240"/>
              <w:jc w:val="center"/>
            </w:pPr>
            <w:r>
              <w:t>P. VAN TIGCHELT</w:t>
            </w:r>
          </w:p>
        </w:tc>
      </w:tr>
      <w:tr w:rsidR="0066043F" w:rsidRPr="00F11721" w14:paraId="3A41DE4A" w14:textId="77777777" w:rsidTr="0066043F">
        <w:tc>
          <w:tcPr>
            <w:tcW w:w="5000" w:type="pct"/>
          </w:tcPr>
          <w:p w14:paraId="311DE88B" w14:textId="77777777" w:rsidR="0066043F" w:rsidRPr="00A35F0D" w:rsidRDefault="0066043F" w:rsidP="005B3FB9">
            <w:pPr>
              <w:spacing w:before="240"/>
              <w:jc w:val="center"/>
            </w:pPr>
            <w:r>
              <w:t>Pieczęć państwowa:</w:t>
            </w:r>
          </w:p>
          <w:p w14:paraId="636EF669" w14:textId="77777777" w:rsidR="0066043F" w:rsidRDefault="0066043F" w:rsidP="005B3FB9">
            <w:pPr>
              <w:spacing w:before="240"/>
              <w:jc w:val="center"/>
            </w:pPr>
            <w:r>
              <w:t>Minister Sprawiedliwości,</w:t>
            </w:r>
          </w:p>
          <w:p w14:paraId="32EFF2C9" w14:textId="77777777" w:rsidR="0066043F" w:rsidRPr="00F11721" w:rsidRDefault="0066043F" w:rsidP="005B3FB9">
            <w:pPr>
              <w:spacing w:before="240"/>
              <w:jc w:val="center"/>
            </w:pPr>
            <w:r>
              <w:t>P. VAN TIGCHELT</w:t>
            </w:r>
          </w:p>
        </w:tc>
      </w:tr>
      <w:tr w:rsidR="0066043F" w:rsidRPr="00A35F0D" w14:paraId="7F68DC46" w14:textId="77777777" w:rsidTr="0066043F">
        <w:tc>
          <w:tcPr>
            <w:tcW w:w="5000" w:type="pct"/>
          </w:tcPr>
          <w:p w14:paraId="0BF98B7C" w14:textId="77777777" w:rsidR="0066043F" w:rsidRPr="00A35F0D" w:rsidRDefault="0066043F" w:rsidP="005B3FB9">
            <w:pPr>
              <w:spacing w:before="240"/>
              <w:jc w:val="both"/>
              <w:rPr>
                <w:lang w:val="fr-FR"/>
              </w:rPr>
            </w:pPr>
          </w:p>
        </w:tc>
      </w:tr>
      <w:tr w:rsidR="0066043F" w:rsidRPr="00A35F0D" w14:paraId="0791B6E1" w14:textId="77777777" w:rsidTr="0066043F">
        <w:tc>
          <w:tcPr>
            <w:tcW w:w="5000" w:type="pct"/>
          </w:tcPr>
          <w:p w14:paraId="74D76D86" w14:textId="77777777" w:rsidR="0066043F" w:rsidRPr="00A35F0D" w:rsidRDefault="0066043F" w:rsidP="005B3FB9">
            <w:pPr>
              <w:spacing w:before="240"/>
              <w:jc w:val="center"/>
            </w:pPr>
            <w:r>
              <w:t>UWAGA</w:t>
            </w:r>
          </w:p>
        </w:tc>
      </w:tr>
      <w:tr w:rsidR="0066043F" w:rsidRPr="00FE07E8" w14:paraId="6730366D" w14:textId="77777777" w:rsidTr="0066043F">
        <w:tc>
          <w:tcPr>
            <w:tcW w:w="5000" w:type="pct"/>
          </w:tcPr>
          <w:p w14:paraId="7C217953" w14:textId="77777777" w:rsidR="0066043F" w:rsidRPr="00DD5BDD" w:rsidRDefault="0066043F" w:rsidP="005B3FB9">
            <w:pPr>
              <w:jc w:val="both"/>
              <w:rPr>
                <w:lang w:val="en-US" w:eastAsia="en-GB"/>
              </w:rPr>
            </w:pPr>
          </w:p>
          <w:p w14:paraId="2B387012" w14:textId="77777777" w:rsidR="0066043F" w:rsidRPr="00502D71" w:rsidRDefault="0066043F" w:rsidP="005B3FB9">
            <w:pPr>
              <w:jc w:val="both"/>
            </w:pPr>
            <w:r>
              <w:t>(1) Izba Reprezentantów</w:t>
            </w:r>
          </w:p>
          <w:p w14:paraId="2F303363" w14:textId="77777777" w:rsidR="0066043F" w:rsidRPr="00FE07E8" w:rsidRDefault="0066043F" w:rsidP="005B3FB9">
            <w:pPr>
              <w:spacing w:before="240"/>
              <w:jc w:val="both"/>
            </w:pPr>
            <w:r>
              <w:t>(</w:t>
            </w:r>
            <w:hyperlink r:id="rId4" w:history="1">
              <w:r>
                <w:rPr>
                  <w:rStyle w:val="Hyperlink"/>
                </w:rPr>
                <w:t>www.lachambre.be</w:t>
              </w:r>
            </w:hyperlink>
            <w:r>
              <w:t>):</w:t>
            </w:r>
          </w:p>
        </w:tc>
      </w:tr>
      <w:tr w:rsidR="0066043F" w:rsidRPr="004454BC" w14:paraId="483BAC9C" w14:textId="77777777" w:rsidTr="0066043F">
        <w:tc>
          <w:tcPr>
            <w:tcW w:w="5000" w:type="pct"/>
          </w:tcPr>
          <w:p w14:paraId="3FA4EF28" w14:textId="77777777" w:rsidR="0066043F" w:rsidRPr="004454BC" w:rsidRDefault="0066043F" w:rsidP="005B3FB9">
            <w:pPr>
              <w:jc w:val="both"/>
            </w:pPr>
            <w:r>
              <w:t>Dokumenty: 55-3956</w:t>
            </w:r>
          </w:p>
          <w:p w14:paraId="3577992A" w14:textId="77777777" w:rsidR="0066043F" w:rsidRPr="004454BC" w:rsidRDefault="0066043F" w:rsidP="005B3FB9">
            <w:pPr>
              <w:spacing w:before="240"/>
              <w:jc w:val="both"/>
            </w:pPr>
            <w:r>
              <w:t>Pełne sprawozdanie: 02 Maj 2024 r.</w:t>
            </w:r>
          </w:p>
        </w:tc>
      </w:tr>
      <w:tr w:rsidR="0066043F" w:rsidRPr="00A35F0D" w14:paraId="7142AB2E" w14:textId="77777777" w:rsidTr="0066043F">
        <w:tc>
          <w:tcPr>
            <w:tcW w:w="5000" w:type="pct"/>
          </w:tcPr>
          <w:p w14:paraId="3459BA09" w14:textId="77777777" w:rsidR="0066043F" w:rsidRPr="00A35F0D" w:rsidRDefault="0066043F" w:rsidP="005B3FB9">
            <w:pPr>
              <w:spacing w:before="240"/>
              <w:jc w:val="both"/>
              <w:rPr>
                <w:lang w:val="fr-FR"/>
              </w:rPr>
            </w:pPr>
          </w:p>
        </w:tc>
      </w:tr>
    </w:tbl>
    <w:p w14:paraId="26C9C8ED" w14:textId="77777777" w:rsidR="00A36095" w:rsidRPr="0066043F" w:rsidRDefault="00A36095">
      <w:pPr>
        <w:rPr>
          <w:lang w:val="fr-FR"/>
        </w:rPr>
      </w:pPr>
    </w:p>
    <w:sectPr w:rsidR="00A36095" w:rsidRPr="00660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3F"/>
    <w:rsid w:val="000F018E"/>
    <w:rsid w:val="00567F89"/>
    <w:rsid w:val="0066043F"/>
    <w:rsid w:val="006B0BBF"/>
    <w:rsid w:val="00A36095"/>
    <w:rsid w:val="00CF682C"/>
    <w:rsid w:val="00DD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09B6"/>
  <w15:chartTrackingRefBased/>
  <w15:docId w15:val="{16EE4D2E-2227-422F-88B6-A4BC4DE3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43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
    <w:name w:val="_Sup"/>
    <w:uiPriority w:val="99"/>
    <w:rsid w:val="0066043F"/>
    <w:rPr>
      <w:vertAlign w:val="superscript"/>
    </w:rPr>
  </w:style>
  <w:style w:type="character" w:styleId="Hyperlink">
    <w:name w:val="Hyperlink"/>
    <w:rsid w:val="0066043F"/>
    <w:rPr>
      <w:color w:val="0000FF"/>
      <w:u w:val="single"/>
    </w:rPr>
  </w:style>
  <w:style w:type="character" w:customStyle="1" w:styleId="Italic">
    <w:name w:val="_Italic"/>
    <w:uiPriority w:val="99"/>
    <w:rsid w:val="006604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chamb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4143</Words>
  <Characters>23075</Characters>
  <Application>Microsoft Office Word</Application>
  <DocSecurity>0</DocSecurity>
  <Lines>383</Lines>
  <Paragraphs>169</Paragraphs>
  <ScaleCrop>false</ScaleCrop>
  <Company>Federal Justice Belgium</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Failla Jessica</dc:creator>
  <cp:keywords>class='Internal'</cp:keywords>
  <dc:description/>
  <cp:lastModifiedBy>Ragnhild Efraimsson</cp:lastModifiedBy>
  <cp:revision>2</cp:revision>
  <dcterms:created xsi:type="dcterms:W3CDTF">2024-06-20T13:28:00Z</dcterms:created>
  <dcterms:modified xsi:type="dcterms:W3CDTF">2024-06-20T13:28:00Z</dcterms:modified>
</cp:coreProperties>
</file>