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CA4C" w14:textId="77777777" w:rsidR="00AE4992" w:rsidRPr="002179DC" w:rsidRDefault="00AE4992" w:rsidP="001C6796">
      <w:pPr>
        <w:spacing w:after="0" w:line="240" w:lineRule="auto"/>
        <w:jc w:val="center"/>
        <w:rPr>
          <w:b/>
          <w:bCs/>
          <w:sz w:val="24"/>
          <w:szCs w:val="24"/>
          <w:lang w:val="en-GB"/>
        </w:rPr>
      </w:pPr>
      <w:r>
        <w:rPr>
          <w:b/>
          <w:bCs/>
          <w:sz w:val="24"/>
          <w:szCs w:val="24"/>
          <w:lang w:val="en-GB"/>
        </w:rPr>
        <w:t>Comments</w:t>
      </w:r>
      <w:r w:rsidRPr="002179DC">
        <w:rPr>
          <w:b/>
          <w:bCs/>
          <w:sz w:val="24"/>
          <w:szCs w:val="24"/>
          <w:lang w:val="en-GB"/>
        </w:rPr>
        <w:t xml:space="preserve"> on notification 2023/0601/FR</w:t>
      </w:r>
    </w:p>
    <w:p w14:paraId="75CF92B5" w14:textId="77777777" w:rsidR="00AE4992" w:rsidRPr="00804A2B" w:rsidRDefault="00AE4992" w:rsidP="001C6796">
      <w:pPr>
        <w:spacing w:after="0" w:line="240" w:lineRule="auto"/>
        <w:jc w:val="center"/>
        <w:rPr>
          <w:b/>
          <w:bCs/>
          <w:i/>
          <w:iCs/>
          <w:sz w:val="24"/>
          <w:szCs w:val="24"/>
          <w:lang w:val="en-GB"/>
        </w:rPr>
      </w:pPr>
      <w:r w:rsidRPr="00804A2B">
        <w:rPr>
          <w:b/>
          <w:bCs/>
          <w:i/>
          <w:iCs/>
          <w:sz w:val="24"/>
          <w:szCs w:val="24"/>
          <w:lang w:val="en-GB"/>
        </w:rPr>
        <w:t xml:space="preserve">“Decree laying down a complementary form of presentation of the nutritional declaration recommended by the </w:t>
      </w:r>
      <w:proofErr w:type="gramStart"/>
      <w:r w:rsidRPr="00804A2B">
        <w:rPr>
          <w:b/>
          <w:bCs/>
          <w:i/>
          <w:iCs/>
          <w:sz w:val="24"/>
          <w:szCs w:val="24"/>
          <w:lang w:val="en-GB"/>
        </w:rPr>
        <w:t>State”</w:t>
      </w:r>
      <w:proofErr w:type="gramEnd"/>
    </w:p>
    <w:p w14:paraId="373C266F" w14:textId="77777777" w:rsidR="00AE4992" w:rsidRDefault="00AE4992" w:rsidP="001C6796">
      <w:pPr>
        <w:spacing w:after="0" w:line="240" w:lineRule="auto"/>
        <w:jc w:val="both"/>
        <w:rPr>
          <w:b/>
          <w:bCs/>
          <w:lang w:val="en-GB"/>
        </w:rPr>
      </w:pPr>
    </w:p>
    <w:p w14:paraId="04C1933F" w14:textId="77777777" w:rsidR="00E37652" w:rsidRDefault="00E37652" w:rsidP="001C6796">
      <w:pPr>
        <w:spacing w:after="0" w:line="240" w:lineRule="auto"/>
        <w:jc w:val="both"/>
        <w:rPr>
          <w:b/>
          <w:bCs/>
          <w:lang w:val="en-GB"/>
        </w:rPr>
      </w:pPr>
    </w:p>
    <w:p w14:paraId="0E321E43" w14:textId="77777777" w:rsidR="00E37652" w:rsidRDefault="00E37652" w:rsidP="001C6796">
      <w:pPr>
        <w:spacing w:after="0" w:line="240" w:lineRule="auto"/>
        <w:jc w:val="both"/>
        <w:rPr>
          <w:b/>
          <w:bCs/>
          <w:lang w:val="en-GB"/>
        </w:rPr>
      </w:pPr>
    </w:p>
    <w:p w14:paraId="5AEAEFDD" w14:textId="77777777" w:rsidR="00E37652" w:rsidRDefault="00E37652" w:rsidP="001C6796">
      <w:pPr>
        <w:spacing w:after="0" w:line="240" w:lineRule="auto"/>
        <w:jc w:val="both"/>
        <w:rPr>
          <w:b/>
          <w:bCs/>
          <w:lang w:val="en-GB"/>
        </w:rPr>
      </w:pPr>
    </w:p>
    <w:p w14:paraId="73E7B782" w14:textId="77777777" w:rsidR="00E37652" w:rsidRDefault="00E37652" w:rsidP="001C6796">
      <w:pPr>
        <w:spacing w:after="0" w:line="240" w:lineRule="auto"/>
        <w:jc w:val="both"/>
        <w:rPr>
          <w:b/>
          <w:bCs/>
          <w:lang w:val="en-GB"/>
        </w:rPr>
      </w:pPr>
    </w:p>
    <w:p w14:paraId="6449E1CE" w14:textId="77777777" w:rsidR="00E37652" w:rsidRDefault="00E37652" w:rsidP="001C6796">
      <w:pPr>
        <w:spacing w:after="0" w:line="240" w:lineRule="auto"/>
        <w:jc w:val="both"/>
        <w:rPr>
          <w:b/>
          <w:bCs/>
          <w:lang w:val="en-GB"/>
        </w:rPr>
      </w:pPr>
    </w:p>
    <w:p w14:paraId="2082937F" w14:textId="77777777" w:rsidR="00E37652" w:rsidRDefault="00E37652" w:rsidP="001C6796">
      <w:pPr>
        <w:spacing w:after="0" w:line="240" w:lineRule="auto"/>
        <w:jc w:val="both"/>
        <w:rPr>
          <w:b/>
          <w:bCs/>
          <w:lang w:val="en-GB"/>
        </w:rPr>
      </w:pPr>
    </w:p>
    <w:p w14:paraId="199B53C2" w14:textId="01687CA6" w:rsidR="00AE4992" w:rsidRDefault="00AE4992" w:rsidP="001C6796">
      <w:pPr>
        <w:pBdr>
          <w:bottom w:val="single" w:sz="4" w:space="1" w:color="auto"/>
        </w:pBdr>
        <w:spacing w:after="0" w:line="240" w:lineRule="auto"/>
        <w:jc w:val="both"/>
        <w:rPr>
          <w:b/>
          <w:bCs/>
          <w:lang w:val="en-GB"/>
        </w:rPr>
      </w:pPr>
      <w:r w:rsidRPr="00751457">
        <w:rPr>
          <w:b/>
          <w:bCs/>
          <w:lang w:val="en-GB"/>
        </w:rPr>
        <w:t>Executive summary</w:t>
      </w:r>
    </w:p>
    <w:p w14:paraId="36722E9E" w14:textId="77777777" w:rsidR="00E37652" w:rsidRPr="00751457" w:rsidRDefault="00E37652" w:rsidP="001C6796">
      <w:pPr>
        <w:spacing w:after="0" w:line="240" w:lineRule="auto"/>
        <w:jc w:val="both"/>
        <w:rPr>
          <w:b/>
          <w:bCs/>
          <w:lang w:val="en-GB"/>
        </w:rPr>
      </w:pPr>
    </w:p>
    <w:p w14:paraId="76E8EE5F" w14:textId="18206772" w:rsidR="00AE4992" w:rsidRPr="00911747" w:rsidRDefault="00D60B6D" w:rsidP="001C6796">
      <w:pPr>
        <w:spacing w:after="0" w:line="240" w:lineRule="auto"/>
        <w:jc w:val="both"/>
        <w:rPr>
          <w:lang w:val="en-GB"/>
        </w:rPr>
      </w:pPr>
      <w:r w:rsidRPr="00D60B6D">
        <w:rPr>
          <w:lang w:val="en-GB"/>
        </w:rPr>
        <w:t>UNION OF THE DAIRY INDUSTRY AND DERIVATIVE PRODUCTS OF THE STATE OF RIO GRANDE DO SUL</w:t>
      </w:r>
      <w:r w:rsidR="00160C19">
        <w:rPr>
          <w:lang w:val="en-GB"/>
        </w:rPr>
        <w:t xml:space="preserve"> </w:t>
      </w:r>
      <w:r>
        <w:rPr>
          <w:lang w:val="en-GB"/>
        </w:rPr>
        <w:t xml:space="preserve">– SINDILAT/RS </w:t>
      </w:r>
      <w:r w:rsidR="00AE4992" w:rsidRPr="00751457">
        <w:rPr>
          <w:lang w:val="en-GB"/>
        </w:rPr>
        <w:t xml:space="preserve">welcomes the opportunity of the TRIS procedure on this Decree notified by France to the </w:t>
      </w:r>
      <w:r w:rsidR="00AE4992" w:rsidRPr="00911747">
        <w:rPr>
          <w:lang w:val="en-GB"/>
        </w:rPr>
        <w:t>European Commission, which aims at preventing the appearance of technical barriers to trade.</w:t>
      </w:r>
    </w:p>
    <w:p w14:paraId="610DBBDB" w14:textId="77777777" w:rsidR="00AE4992" w:rsidRPr="00911747" w:rsidRDefault="00AE4992" w:rsidP="001C6796">
      <w:pPr>
        <w:spacing w:after="0" w:line="240" w:lineRule="auto"/>
        <w:jc w:val="both"/>
        <w:rPr>
          <w:lang w:val="en-GB"/>
        </w:rPr>
      </w:pPr>
    </w:p>
    <w:p w14:paraId="66EC9873" w14:textId="778C8870" w:rsidR="00AE4992" w:rsidRPr="00D60B6D" w:rsidRDefault="00D60B6D" w:rsidP="001C6796">
      <w:pPr>
        <w:spacing w:after="0" w:line="240" w:lineRule="auto"/>
        <w:jc w:val="both"/>
        <w:rPr>
          <w:b/>
          <w:bCs/>
          <w:lang w:val="en-GB"/>
        </w:rPr>
      </w:pPr>
      <w:r w:rsidRPr="00D60B6D">
        <w:rPr>
          <w:b/>
          <w:bCs/>
          <w:lang w:val="en-GB"/>
        </w:rPr>
        <w:t xml:space="preserve">UNION OF THE DAIRY INDUSTRY AND DERIVATIVE PRODUCTS OF THE STATE OF RIO GRANDE DO SUL </w:t>
      </w:r>
      <w:r>
        <w:rPr>
          <w:b/>
          <w:bCs/>
          <w:lang w:val="en-GB"/>
        </w:rPr>
        <w:t xml:space="preserve">– SINDILAT/RS </w:t>
      </w:r>
      <w:r w:rsidR="00AE4992" w:rsidRPr="00D60B6D">
        <w:rPr>
          <w:b/>
          <w:bCs/>
          <w:lang w:val="en-GB"/>
        </w:rPr>
        <w:t>considers the submitted Decree under notification n°</w:t>
      </w:r>
      <w:r w:rsidR="00AE4992" w:rsidRPr="00D60B6D">
        <w:rPr>
          <w:b/>
          <w:bCs/>
          <w:lang w:val="en-US"/>
        </w:rPr>
        <w:t>2023/0601/FR</w:t>
      </w:r>
      <w:r w:rsidR="00AE4992" w:rsidRPr="00D60B6D">
        <w:rPr>
          <w:b/>
          <w:bCs/>
          <w:lang w:val="en-GB"/>
        </w:rPr>
        <w:t xml:space="preserve"> as a technical barrier to trade, for</w:t>
      </w:r>
      <w:r w:rsidR="00514F25" w:rsidRPr="00D60B6D">
        <w:rPr>
          <w:b/>
          <w:bCs/>
          <w:lang w:val="en-GB"/>
        </w:rPr>
        <w:t xml:space="preserve"> </w:t>
      </w:r>
      <w:r w:rsidR="00FD6E31" w:rsidRPr="00D60B6D">
        <w:rPr>
          <w:b/>
          <w:bCs/>
          <w:lang w:val="en-GB"/>
        </w:rPr>
        <w:t>four</w:t>
      </w:r>
      <w:r w:rsidR="0063122E" w:rsidRPr="00D60B6D">
        <w:rPr>
          <w:b/>
          <w:bCs/>
          <w:lang w:val="en-GB"/>
        </w:rPr>
        <w:t xml:space="preserve"> </w:t>
      </w:r>
      <w:r w:rsidR="00AE4992" w:rsidRPr="00D60B6D">
        <w:rPr>
          <w:b/>
          <w:bCs/>
          <w:lang w:val="en-GB"/>
        </w:rPr>
        <w:t>main reasons:</w:t>
      </w:r>
    </w:p>
    <w:p w14:paraId="1DA15017" w14:textId="12DC7F48" w:rsidR="00AE4992" w:rsidRDefault="00AE4992" w:rsidP="001C6796">
      <w:pPr>
        <w:pStyle w:val="PargrafodaLista"/>
        <w:numPr>
          <w:ilvl w:val="0"/>
          <w:numId w:val="3"/>
        </w:numPr>
        <w:spacing w:after="0" w:line="240" w:lineRule="auto"/>
        <w:jc w:val="both"/>
        <w:rPr>
          <w:lang w:val="en-GB"/>
        </w:rPr>
      </w:pPr>
      <w:r w:rsidRPr="00911747">
        <w:rPr>
          <w:lang w:val="en-GB"/>
        </w:rPr>
        <w:t xml:space="preserve">The new algorithm does not comply with </w:t>
      </w:r>
      <w:r w:rsidR="001614B1">
        <w:rPr>
          <w:lang w:val="en-GB"/>
        </w:rPr>
        <w:t>the intentions</w:t>
      </w:r>
      <w:r w:rsidR="00FD6E31">
        <w:rPr>
          <w:lang w:val="en-GB"/>
        </w:rPr>
        <w:t xml:space="preserve"> </w:t>
      </w:r>
      <w:r w:rsidR="00923F35">
        <w:rPr>
          <w:lang w:val="en-GB"/>
        </w:rPr>
        <w:t xml:space="preserve">of </w:t>
      </w:r>
      <w:r w:rsidRPr="00911747">
        <w:rPr>
          <w:lang w:val="en-GB"/>
        </w:rPr>
        <w:t xml:space="preserve">article 35 of </w:t>
      </w:r>
      <w:r w:rsidR="0063122E">
        <w:rPr>
          <w:lang w:val="en-GB"/>
        </w:rPr>
        <w:t>EU R</w:t>
      </w:r>
      <w:r w:rsidRPr="00911747">
        <w:rPr>
          <w:lang w:val="en-GB"/>
        </w:rPr>
        <w:t>egulation 1169/2011 on food information to consumers</w:t>
      </w:r>
      <w:r w:rsidR="00EB33F2">
        <w:rPr>
          <w:lang w:val="en-GB"/>
        </w:rPr>
        <w:t>.</w:t>
      </w:r>
      <w:r w:rsidR="009B63C6">
        <w:rPr>
          <w:lang w:val="en-GB"/>
        </w:rPr>
        <w:t xml:space="preserve"> </w:t>
      </w:r>
    </w:p>
    <w:p w14:paraId="7E37FC0B" w14:textId="623C48ED" w:rsidR="00FD6E31" w:rsidRPr="00FD6E31" w:rsidRDefault="00FD6E31" w:rsidP="00FD6E31">
      <w:pPr>
        <w:pStyle w:val="PargrafodaLista"/>
        <w:numPr>
          <w:ilvl w:val="0"/>
          <w:numId w:val="3"/>
        </w:numPr>
        <w:spacing w:after="0" w:line="240" w:lineRule="auto"/>
        <w:jc w:val="both"/>
        <w:rPr>
          <w:lang w:val="en-GB"/>
        </w:rPr>
      </w:pPr>
      <w:r w:rsidRPr="00FD6E31">
        <w:rPr>
          <w:lang w:val="en-GB"/>
        </w:rPr>
        <w:t>The new algorithm proposed does not meet the public health objectives and criteria foreseen by the EU FIC Regulation, on which the scheme is based.</w:t>
      </w:r>
    </w:p>
    <w:p w14:paraId="65BDCA52" w14:textId="3F3A7D9E" w:rsidR="00AE4992" w:rsidRPr="00911747" w:rsidRDefault="00AE4992" w:rsidP="001C6796">
      <w:pPr>
        <w:pStyle w:val="PargrafodaLista"/>
        <w:numPr>
          <w:ilvl w:val="0"/>
          <w:numId w:val="3"/>
        </w:numPr>
        <w:spacing w:after="0" w:line="240" w:lineRule="auto"/>
        <w:jc w:val="both"/>
        <w:rPr>
          <w:lang w:val="en-GB"/>
        </w:rPr>
      </w:pPr>
      <w:r w:rsidRPr="00911747">
        <w:rPr>
          <w:lang w:val="en-GB"/>
        </w:rPr>
        <w:t>The new algorithm does not comply with regulation 1924/2006 on nutritional and health claims</w:t>
      </w:r>
      <w:r w:rsidR="00923F35">
        <w:rPr>
          <w:lang w:val="en-GB"/>
        </w:rPr>
        <w:t>.</w:t>
      </w:r>
    </w:p>
    <w:p w14:paraId="3D078661" w14:textId="77777777" w:rsidR="00AE4992" w:rsidRDefault="00AE4992" w:rsidP="001C6796">
      <w:pPr>
        <w:pStyle w:val="PargrafodaLista"/>
        <w:numPr>
          <w:ilvl w:val="0"/>
          <w:numId w:val="3"/>
        </w:numPr>
        <w:spacing w:after="0" w:line="240" w:lineRule="auto"/>
        <w:jc w:val="both"/>
        <w:rPr>
          <w:lang w:val="en-GB"/>
        </w:rPr>
      </w:pPr>
      <w:proofErr w:type="gramStart"/>
      <w:r w:rsidRPr="00911747">
        <w:rPr>
          <w:lang w:val="en-GB"/>
        </w:rPr>
        <w:t>Last but not least</w:t>
      </w:r>
      <w:proofErr w:type="gramEnd"/>
      <w:r w:rsidRPr="00911747">
        <w:rPr>
          <w:lang w:val="en-GB"/>
        </w:rPr>
        <w:t>, the European Commission and Members states have not been sufficiently informed on the impact of the new algorithm.</w:t>
      </w:r>
    </w:p>
    <w:p w14:paraId="5C8801C4" w14:textId="77777777" w:rsidR="00E37652" w:rsidRPr="00911747" w:rsidRDefault="00E37652" w:rsidP="001C6796">
      <w:pPr>
        <w:pStyle w:val="PargrafodaLista"/>
        <w:spacing w:after="0" w:line="240" w:lineRule="auto"/>
        <w:jc w:val="both"/>
        <w:rPr>
          <w:lang w:val="en-GB"/>
        </w:rPr>
      </w:pPr>
    </w:p>
    <w:p w14:paraId="64BB01DD" w14:textId="77777777" w:rsidR="00AE4992" w:rsidRDefault="00AE4992" w:rsidP="001C6796">
      <w:pPr>
        <w:spacing w:after="0" w:line="240" w:lineRule="auto"/>
        <w:jc w:val="both"/>
        <w:rPr>
          <w:b/>
          <w:bCs/>
          <w:lang w:val="en-GB"/>
        </w:rPr>
      </w:pPr>
      <w:r w:rsidRPr="00911747">
        <w:rPr>
          <w:b/>
          <w:bCs/>
          <w:lang w:val="en-GB"/>
        </w:rPr>
        <w:t xml:space="preserve">Considering these elements, the notified Decree does not respect the current European regulation and therefore constitutes a technical barrier to trade.   </w:t>
      </w:r>
    </w:p>
    <w:p w14:paraId="4576DE56" w14:textId="77777777" w:rsidR="00E37652" w:rsidRDefault="00E37652" w:rsidP="001C6796">
      <w:pPr>
        <w:spacing w:after="0" w:line="240" w:lineRule="auto"/>
        <w:jc w:val="both"/>
        <w:rPr>
          <w:b/>
          <w:bCs/>
          <w:lang w:val="en-GB"/>
        </w:rPr>
      </w:pPr>
    </w:p>
    <w:p w14:paraId="10DBE212" w14:textId="2E8E46FF" w:rsidR="00E37652" w:rsidRDefault="00A20080" w:rsidP="001C6796">
      <w:pPr>
        <w:spacing w:after="0" w:line="240" w:lineRule="auto"/>
        <w:jc w:val="both"/>
        <w:rPr>
          <w:b/>
          <w:bCs/>
          <w:lang w:val="en-GB"/>
        </w:rPr>
      </w:pPr>
      <w:r>
        <w:rPr>
          <w:b/>
          <w:bCs/>
          <w:lang w:val="en-GB"/>
        </w:rPr>
        <w:t>Therefore</w:t>
      </w:r>
      <w:r w:rsidRPr="00D60B6D">
        <w:rPr>
          <w:lang w:val="en-GB"/>
        </w:rPr>
        <w:t>,</w:t>
      </w:r>
      <w:r w:rsidR="00D60B6D" w:rsidRPr="00D60B6D">
        <w:rPr>
          <w:lang w:val="en-GB"/>
        </w:rPr>
        <w:t xml:space="preserve"> </w:t>
      </w:r>
      <w:r w:rsidR="00D60B6D" w:rsidRPr="00D60B6D">
        <w:rPr>
          <w:b/>
          <w:bCs/>
          <w:lang w:val="en-GB"/>
        </w:rPr>
        <w:t>UNION OF THE DAIRY INDUSTRY AND DERIVATIVE PRODUCTS OF THE STATE OF RIO GRANDE DO SUL</w:t>
      </w:r>
      <w:r w:rsidR="00D60B6D">
        <w:rPr>
          <w:b/>
          <w:bCs/>
          <w:lang w:val="en-GB"/>
        </w:rPr>
        <w:t xml:space="preserve"> – SINDILAT/RS</w:t>
      </w:r>
      <w:r>
        <w:rPr>
          <w:b/>
          <w:bCs/>
          <w:lang w:val="en-GB"/>
        </w:rPr>
        <w:t xml:space="preserve"> </w:t>
      </w:r>
      <w:r w:rsidR="00840759">
        <w:rPr>
          <w:b/>
          <w:bCs/>
          <w:lang w:val="en-GB"/>
        </w:rPr>
        <w:t xml:space="preserve">suggests that the European Commission </w:t>
      </w:r>
      <w:r w:rsidR="003A0ED8">
        <w:rPr>
          <w:b/>
          <w:bCs/>
          <w:lang w:val="en-GB"/>
        </w:rPr>
        <w:t xml:space="preserve">blocks </w:t>
      </w:r>
      <w:r w:rsidR="00F70667">
        <w:rPr>
          <w:b/>
          <w:bCs/>
          <w:lang w:val="en-GB"/>
        </w:rPr>
        <w:t>the draft technical regulation n°2</w:t>
      </w:r>
      <w:r w:rsidR="00F37F55">
        <w:rPr>
          <w:b/>
          <w:bCs/>
          <w:lang w:val="en-GB"/>
        </w:rPr>
        <w:t>0</w:t>
      </w:r>
      <w:r w:rsidR="00F70667">
        <w:rPr>
          <w:b/>
          <w:bCs/>
          <w:lang w:val="en-GB"/>
        </w:rPr>
        <w:t>23/0601/FR</w:t>
      </w:r>
      <w:r w:rsidR="00643EBA">
        <w:rPr>
          <w:b/>
          <w:bCs/>
          <w:lang w:val="en-GB"/>
        </w:rPr>
        <w:t xml:space="preserve"> </w:t>
      </w:r>
      <w:r w:rsidR="00C53BD2">
        <w:rPr>
          <w:b/>
          <w:bCs/>
          <w:lang w:val="en-GB"/>
        </w:rPr>
        <w:t xml:space="preserve">and </w:t>
      </w:r>
      <w:r w:rsidR="007637D1">
        <w:rPr>
          <w:b/>
          <w:bCs/>
          <w:lang w:val="en-GB"/>
        </w:rPr>
        <w:t xml:space="preserve">suggests the European Commission </w:t>
      </w:r>
      <w:r w:rsidR="00C53BD2">
        <w:rPr>
          <w:b/>
          <w:bCs/>
          <w:lang w:val="en-GB"/>
        </w:rPr>
        <w:t>announces</w:t>
      </w:r>
      <w:r w:rsidR="006D173D">
        <w:rPr>
          <w:b/>
          <w:bCs/>
          <w:lang w:val="en-GB"/>
        </w:rPr>
        <w:t xml:space="preserve"> its intention </w:t>
      </w:r>
      <w:r w:rsidR="006D173D" w:rsidRPr="006D173D">
        <w:rPr>
          <w:b/>
          <w:bCs/>
          <w:lang w:val="en-GB"/>
        </w:rPr>
        <w:t>of proposing</w:t>
      </w:r>
      <w:r w:rsidR="006D173D">
        <w:rPr>
          <w:b/>
          <w:bCs/>
          <w:lang w:val="en-GB"/>
        </w:rPr>
        <w:t xml:space="preserve"> the revision of the FIC Regulation</w:t>
      </w:r>
      <w:r w:rsidR="0009241B">
        <w:rPr>
          <w:b/>
          <w:bCs/>
          <w:lang w:val="en-GB"/>
        </w:rPr>
        <w:t xml:space="preserve"> 1169/2011</w:t>
      </w:r>
      <w:r w:rsidR="00F37F55">
        <w:rPr>
          <w:b/>
          <w:bCs/>
          <w:lang w:val="en-GB"/>
        </w:rPr>
        <w:t xml:space="preserve">. </w:t>
      </w:r>
    </w:p>
    <w:p w14:paraId="06F4E6E9" w14:textId="77777777" w:rsidR="00E37652" w:rsidRDefault="00E37652" w:rsidP="001C6796">
      <w:pPr>
        <w:spacing w:after="0" w:line="240" w:lineRule="auto"/>
        <w:jc w:val="both"/>
        <w:rPr>
          <w:b/>
          <w:bCs/>
          <w:lang w:val="en-GB"/>
        </w:rPr>
      </w:pPr>
    </w:p>
    <w:p w14:paraId="38BD47FD" w14:textId="7BD75C2F" w:rsidR="00A20080" w:rsidRPr="00873BC1" w:rsidRDefault="00D60B6D" w:rsidP="001C6796">
      <w:pPr>
        <w:spacing w:after="0" w:line="240" w:lineRule="auto"/>
        <w:jc w:val="both"/>
        <w:rPr>
          <w:b/>
          <w:bCs/>
          <w:lang w:val="en-US"/>
        </w:rPr>
      </w:pPr>
      <w:r w:rsidRPr="00D60B6D">
        <w:rPr>
          <w:b/>
          <w:bCs/>
          <w:lang w:val="en-GB"/>
        </w:rPr>
        <w:t>UNION OF THE DAIRY INDUSTRY AND DERIVATIVE PRODUCTS OF THE STATE OF RIO GRANDE DO SUL</w:t>
      </w:r>
      <w:r>
        <w:rPr>
          <w:b/>
          <w:bCs/>
          <w:lang w:val="en-GB"/>
        </w:rPr>
        <w:t xml:space="preserve"> – SINDILAT/RS </w:t>
      </w:r>
      <w:r w:rsidR="00F37F55">
        <w:rPr>
          <w:b/>
          <w:bCs/>
          <w:lang w:val="en-GB"/>
        </w:rPr>
        <w:t xml:space="preserve">supports the project of a European-harmonized </w:t>
      </w:r>
      <w:r w:rsidR="00C53BD2">
        <w:rPr>
          <w:b/>
          <w:bCs/>
          <w:lang w:val="en-GB"/>
        </w:rPr>
        <w:t>front-of-pack nutrition labelling</w:t>
      </w:r>
      <w:r w:rsidR="00E37652">
        <w:rPr>
          <w:b/>
          <w:bCs/>
          <w:lang w:val="en-GB"/>
        </w:rPr>
        <w:t xml:space="preserve"> (FOPNL)</w:t>
      </w:r>
      <w:r w:rsidR="0009241B">
        <w:rPr>
          <w:b/>
          <w:bCs/>
          <w:lang w:val="en-GB"/>
        </w:rPr>
        <w:t xml:space="preserve">, which </w:t>
      </w:r>
      <w:r w:rsidR="00590B2F">
        <w:rPr>
          <w:b/>
          <w:bCs/>
          <w:lang w:val="en-GB"/>
        </w:rPr>
        <w:t xml:space="preserve">contributes to </w:t>
      </w:r>
      <w:r w:rsidR="00E37652">
        <w:rPr>
          <w:b/>
          <w:bCs/>
          <w:lang w:val="en-GB"/>
        </w:rPr>
        <w:t xml:space="preserve">give </w:t>
      </w:r>
      <w:r w:rsidR="00590B2F" w:rsidRPr="00873BC1">
        <w:rPr>
          <w:rFonts w:eastAsia="Times New Roman" w:cstheme="minorHAnsi"/>
          <w:b/>
          <w:bCs/>
          <w:lang w:val="en-US"/>
        </w:rPr>
        <w:t>a clear, complete</w:t>
      </w:r>
      <w:r w:rsidR="00C97020">
        <w:rPr>
          <w:rFonts w:eastAsia="Times New Roman" w:cstheme="minorHAnsi"/>
          <w:b/>
          <w:bCs/>
          <w:lang w:val="en-US"/>
        </w:rPr>
        <w:t>,</w:t>
      </w:r>
      <w:r w:rsidR="00590B2F" w:rsidRPr="00873BC1">
        <w:rPr>
          <w:rFonts w:eastAsia="Times New Roman" w:cstheme="minorHAnsi"/>
          <w:b/>
          <w:bCs/>
          <w:lang w:val="en-US"/>
        </w:rPr>
        <w:t xml:space="preserve"> and understandable nutrition information to consumer.</w:t>
      </w:r>
    </w:p>
    <w:p w14:paraId="39384CF7" w14:textId="0E4F6023" w:rsidR="001C5DC4" w:rsidRPr="00873BC1" w:rsidRDefault="001C5DC4" w:rsidP="001C6796">
      <w:pPr>
        <w:spacing w:after="0" w:line="240" w:lineRule="auto"/>
        <w:jc w:val="both"/>
        <w:rPr>
          <w:lang w:val="en-US"/>
        </w:rPr>
      </w:pPr>
      <w:r w:rsidRPr="00873BC1">
        <w:rPr>
          <w:lang w:val="en-US"/>
        </w:rPr>
        <w:t xml:space="preserve">To provide a fair and useful information to consumers, the EU-harmonized FOPNL </w:t>
      </w:r>
      <w:r w:rsidRPr="001C5DC4">
        <w:rPr>
          <w:lang w:val="en-US"/>
        </w:rPr>
        <w:t>must:</w:t>
      </w:r>
    </w:p>
    <w:p w14:paraId="3FED61BE" w14:textId="4AE1D90B" w:rsidR="001C5DC4" w:rsidRPr="00873BC1" w:rsidRDefault="001C5DC4" w:rsidP="001C6796">
      <w:pPr>
        <w:numPr>
          <w:ilvl w:val="0"/>
          <w:numId w:val="4"/>
        </w:numPr>
        <w:spacing w:after="0" w:line="240" w:lineRule="auto"/>
        <w:jc w:val="both"/>
        <w:rPr>
          <w:lang w:val="en-US"/>
        </w:rPr>
      </w:pPr>
      <w:r w:rsidRPr="00873BC1">
        <w:rPr>
          <w:lang w:val="en-US"/>
        </w:rPr>
        <w:t xml:space="preserve">Be analytical and display the main nutrients. It should not be a synthetic letter and </w:t>
      </w:r>
      <w:r w:rsidRPr="001C5DC4">
        <w:rPr>
          <w:lang w:val="en-US"/>
        </w:rPr>
        <w:t>colored label</w:t>
      </w:r>
      <w:r w:rsidRPr="00873BC1">
        <w:rPr>
          <w:lang w:val="en-US"/>
        </w:rPr>
        <w:t>.</w:t>
      </w:r>
    </w:p>
    <w:p w14:paraId="10CB90D7" w14:textId="77777777" w:rsidR="001C5DC4" w:rsidRPr="00873BC1" w:rsidRDefault="001C5DC4" w:rsidP="001C6796">
      <w:pPr>
        <w:numPr>
          <w:ilvl w:val="0"/>
          <w:numId w:val="4"/>
        </w:numPr>
        <w:spacing w:after="0" w:line="240" w:lineRule="auto"/>
        <w:jc w:val="both"/>
        <w:rPr>
          <w:lang w:val="en-US"/>
        </w:rPr>
      </w:pPr>
      <w:r w:rsidRPr="00873BC1">
        <w:rPr>
          <w:lang w:val="en-US"/>
        </w:rPr>
        <w:t>Take the usual portion-size per product into account.</w:t>
      </w:r>
    </w:p>
    <w:p w14:paraId="6C804146" w14:textId="0BE328D5" w:rsidR="001C5DC4" w:rsidRPr="00873BC1" w:rsidRDefault="001C5DC4" w:rsidP="001C6796">
      <w:pPr>
        <w:numPr>
          <w:ilvl w:val="0"/>
          <w:numId w:val="4"/>
        </w:numPr>
        <w:spacing w:after="0" w:line="240" w:lineRule="auto"/>
        <w:jc w:val="both"/>
        <w:rPr>
          <w:lang w:val="en-US"/>
        </w:rPr>
      </w:pPr>
      <w:r w:rsidRPr="00873BC1">
        <w:rPr>
          <w:lang w:val="en-US"/>
        </w:rPr>
        <w:t>Value to their fair level high-interest nutrients from raw materials (milk, fruits, vegetables, meat, fish…)</w:t>
      </w:r>
      <w:r w:rsidR="000025F7">
        <w:rPr>
          <w:lang w:val="en-US"/>
        </w:rPr>
        <w:t>.</w:t>
      </w:r>
    </w:p>
    <w:p w14:paraId="0F550AFA" w14:textId="62221737" w:rsidR="001C5DC4" w:rsidRPr="00873BC1" w:rsidRDefault="001C5DC4" w:rsidP="001C6796">
      <w:pPr>
        <w:numPr>
          <w:ilvl w:val="0"/>
          <w:numId w:val="4"/>
        </w:numPr>
        <w:spacing w:after="0" w:line="240" w:lineRule="auto"/>
        <w:jc w:val="both"/>
        <w:rPr>
          <w:lang w:val="en-US"/>
        </w:rPr>
      </w:pPr>
      <w:r w:rsidRPr="00873BC1">
        <w:rPr>
          <w:lang w:val="en-US"/>
        </w:rPr>
        <w:t>Be based on rigorous scientific evidence about its real nutri</w:t>
      </w:r>
      <w:r>
        <w:rPr>
          <w:lang w:val="en-US"/>
        </w:rPr>
        <w:t>ti</w:t>
      </w:r>
      <w:r w:rsidRPr="00873BC1">
        <w:rPr>
          <w:lang w:val="en-US"/>
        </w:rPr>
        <w:t>onal impact, considering the pertinent use of food products (as an ingredient and/or part of a larger meal).</w:t>
      </w:r>
    </w:p>
    <w:p w14:paraId="75437830" w14:textId="77777777" w:rsidR="00AE4992" w:rsidRDefault="00AE4992" w:rsidP="001C6796">
      <w:pPr>
        <w:spacing w:after="0" w:line="240" w:lineRule="auto"/>
        <w:jc w:val="both"/>
        <w:rPr>
          <w:lang w:val="en-US"/>
        </w:rPr>
      </w:pPr>
    </w:p>
    <w:p w14:paraId="3F1E348F" w14:textId="77777777" w:rsidR="00E37652" w:rsidRDefault="00E37652" w:rsidP="001C6796">
      <w:pPr>
        <w:spacing w:after="0" w:line="240" w:lineRule="auto"/>
        <w:jc w:val="both"/>
        <w:rPr>
          <w:lang w:val="en-US"/>
        </w:rPr>
      </w:pPr>
    </w:p>
    <w:p w14:paraId="347773BA" w14:textId="77777777" w:rsidR="00E37652" w:rsidRDefault="00E37652" w:rsidP="001C6796">
      <w:pPr>
        <w:spacing w:after="0" w:line="240" w:lineRule="auto"/>
        <w:jc w:val="both"/>
        <w:rPr>
          <w:lang w:val="en-US"/>
        </w:rPr>
      </w:pPr>
    </w:p>
    <w:p w14:paraId="335E8A32" w14:textId="77777777" w:rsidR="00E37652" w:rsidRDefault="00E37652" w:rsidP="001C6796">
      <w:pPr>
        <w:spacing w:after="0" w:line="240" w:lineRule="auto"/>
        <w:jc w:val="both"/>
        <w:rPr>
          <w:lang w:val="en-US"/>
        </w:rPr>
      </w:pPr>
    </w:p>
    <w:p w14:paraId="0D808B55" w14:textId="77777777" w:rsidR="00E37652" w:rsidRDefault="00E37652" w:rsidP="001C6796">
      <w:pPr>
        <w:spacing w:after="0" w:line="240" w:lineRule="auto"/>
        <w:jc w:val="both"/>
        <w:rPr>
          <w:lang w:val="en-US"/>
        </w:rPr>
      </w:pPr>
    </w:p>
    <w:p w14:paraId="6FE04397" w14:textId="77777777" w:rsidR="00E37652" w:rsidRDefault="00E37652" w:rsidP="001C6796">
      <w:pPr>
        <w:spacing w:after="0" w:line="240" w:lineRule="auto"/>
        <w:jc w:val="both"/>
        <w:rPr>
          <w:lang w:val="en-US"/>
        </w:rPr>
      </w:pPr>
    </w:p>
    <w:p w14:paraId="23DD06F1" w14:textId="77777777" w:rsidR="00E37652" w:rsidRDefault="00E37652" w:rsidP="001C6796">
      <w:pPr>
        <w:spacing w:after="0" w:line="240" w:lineRule="auto"/>
        <w:jc w:val="both"/>
        <w:rPr>
          <w:lang w:val="en-US"/>
        </w:rPr>
      </w:pPr>
    </w:p>
    <w:p w14:paraId="0FD22727" w14:textId="77777777" w:rsidR="00E37652" w:rsidRPr="00873BC1" w:rsidRDefault="00E37652" w:rsidP="001C6796">
      <w:pPr>
        <w:spacing w:after="0" w:line="240" w:lineRule="auto"/>
        <w:jc w:val="both"/>
        <w:rPr>
          <w:lang w:val="en-US"/>
        </w:rPr>
      </w:pPr>
    </w:p>
    <w:p w14:paraId="3866C1C6" w14:textId="300B983E" w:rsidR="00AE4992" w:rsidRDefault="00AE4992" w:rsidP="001C6796">
      <w:pPr>
        <w:pStyle w:val="PargrafodaLista"/>
        <w:numPr>
          <w:ilvl w:val="0"/>
          <w:numId w:val="2"/>
        </w:numPr>
        <w:spacing w:after="0" w:line="240" w:lineRule="auto"/>
        <w:jc w:val="both"/>
        <w:rPr>
          <w:b/>
          <w:bCs/>
          <w:lang w:val="en-GB"/>
        </w:rPr>
      </w:pPr>
      <w:r w:rsidRPr="00485A7B">
        <w:rPr>
          <w:b/>
          <w:bCs/>
          <w:lang w:val="en-GB"/>
        </w:rPr>
        <w:t xml:space="preserve">The new algorithm does not comply with </w:t>
      </w:r>
      <w:r w:rsidR="00FD6E31">
        <w:rPr>
          <w:b/>
          <w:bCs/>
          <w:lang w:val="en-GB"/>
        </w:rPr>
        <w:t xml:space="preserve">intentions of </w:t>
      </w:r>
      <w:r w:rsidRPr="00485A7B">
        <w:rPr>
          <w:b/>
          <w:bCs/>
          <w:lang w:val="en-GB"/>
        </w:rPr>
        <w:t>article 35 of regulation 1169/2011</w:t>
      </w:r>
      <w:r w:rsidR="00E37652">
        <w:rPr>
          <w:b/>
          <w:bCs/>
          <w:lang w:val="en-GB"/>
        </w:rPr>
        <w:t>.</w:t>
      </w:r>
    </w:p>
    <w:p w14:paraId="5BEB39A6" w14:textId="77777777" w:rsidR="00E37652" w:rsidRPr="00485A7B" w:rsidRDefault="00E37652" w:rsidP="001C6796">
      <w:pPr>
        <w:pStyle w:val="PargrafodaLista"/>
        <w:spacing w:after="0" w:line="240" w:lineRule="auto"/>
        <w:jc w:val="both"/>
        <w:rPr>
          <w:b/>
          <w:bCs/>
          <w:lang w:val="en-GB"/>
        </w:rPr>
      </w:pPr>
    </w:p>
    <w:p w14:paraId="592497FA" w14:textId="24A22C67" w:rsidR="00AE4992" w:rsidRDefault="00AE4992" w:rsidP="001C6796">
      <w:pPr>
        <w:spacing w:after="0" w:line="240" w:lineRule="auto"/>
        <w:jc w:val="both"/>
        <w:rPr>
          <w:lang w:val="en-GB"/>
        </w:rPr>
      </w:pPr>
      <w:r w:rsidRPr="00CF7FAE">
        <w:rPr>
          <w:lang w:val="en-GB"/>
        </w:rPr>
        <w:t xml:space="preserve">Nutri-score is a nutritional front of pack (FOP) scheme aiming to inform the consumer on the nutritional content of the food. Nutri-Score has been recommended in France by the </w:t>
      </w:r>
      <w:r w:rsidR="00DA5ABF">
        <w:rPr>
          <w:lang w:val="en-GB"/>
        </w:rPr>
        <w:t>G</w:t>
      </w:r>
      <w:r w:rsidRPr="00CF7FAE">
        <w:rPr>
          <w:lang w:val="en-GB"/>
        </w:rPr>
        <w:t>overnment, under the legal basis of article 35 from regulation 1169/2011 (FIC).</w:t>
      </w:r>
    </w:p>
    <w:p w14:paraId="00DA1993" w14:textId="77777777" w:rsidR="002A5974" w:rsidRPr="00CF7FAE" w:rsidRDefault="002A5974" w:rsidP="001C6796">
      <w:pPr>
        <w:spacing w:after="0" w:line="240" w:lineRule="auto"/>
        <w:jc w:val="both"/>
        <w:rPr>
          <w:lang w:val="en-GB"/>
        </w:rPr>
      </w:pPr>
    </w:p>
    <w:p w14:paraId="0BE66885" w14:textId="3C6740F8" w:rsidR="001C6796" w:rsidRDefault="001C6796" w:rsidP="001C6796">
      <w:pPr>
        <w:spacing w:after="0" w:line="240" w:lineRule="auto"/>
        <w:jc w:val="both"/>
        <w:rPr>
          <w:strike/>
          <w:lang w:val="en-GB"/>
        </w:rPr>
      </w:pPr>
      <w:r>
        <w:rPr>
          <w:lang w:val="en-GB"/>
        </w:rPr>
        <w:t xml:space="preserve">The Nutri-Score system includes parameters such as content in fruits and vegetables and, now the new </w:t>
      </w:r>
      <w:r w:rsidRPr="001C6796">
        <w:rPr>
          <w:lang w:val="en-GB"/>
        </w:rPr>
        <w:t xml:space="preserve">algorithm will consider the presence of artificial sweeteners. </w:t>
      </w:r>
      <w:r w:rsidRPr="001C6796">
        <w:rPr>
          <w:lang w:val="en-GB"/>
          <w14:ligatures w14:val="none"/>
        </w:rPr>
        <w:t>Article 35 (1) of the FIC Regulation does not consider such elements as being part of the Front-of-pack nutrition labelling. This article provides that the Front-of-pack nutrition labelling must be another form of expression of the nutrition declaration with the same information (energy value and quantities of nutrients).</w:t>
      </w:r>
      <w:r>
        <w:rPr>
          <w:lang w:val="en-GB"/>
          <w14:ligatures w14:val="none"/>
        </w:rPr>
        <w:t xml:space="preserve"> </w:t>
      </w:r>
    </w:p>
    <w:p w14:paraId="37B7CCCB" w14:textId="77777777" w:rsidR="0077260D" w:rsidRDefault="0077260D" w:rsidP="001C6796">
      <w:pPr>
        <w:spacing w:after="0" w:line="240" w:lineRule="auto"/>
        <w:jc w:val="both"/>
        <w:rPr>
          <w:lang w:val="en-GB"/>
        </w:rPr>
      </w:pPr>
    </w:p>
    <w:p w14:paraId="22233A4C" w14:textId="455A63E9" w:rsidR="00AE4992" w:rsidRDefault="00AE4992" w:rsidP="001C6796">
      <w:pPr>
        <w:spacing w:after="0" w:line="240" w:lineRule="auto"/>
        <w:jc w:val="both"/>
        <w:rPr>
          <w:lang w:val="en-GB"/>
        </w:rPr>
      </w:pPr>
      <w:r w:rsidRPr="00CF7FAE">
        <w:rPr>
          <w:lang w:val="en-GB"/>
        </w:rPr>
        <w:t xml:space="preserve">We recall that this issue was already noted by the European Commission itself during the notification </w:t>
      </w:r>
      <w:r w:rsidR="00DA5ABF">
        <w:rPr>
          <w:lang w:val="en-GB"/>
        </w:rPr>
        <w:t>n°</w:t>
      </w:r>
      <w:r w:rsidRPr="00CF7FAE">
        <w:rPr>
          <w:lang w:val="en-GB"/>
        </w:rPr>
        <w:t>2017/0159/F and other Member states</w:t>
      </w:r>
      <w:r>
        <w:rPr>
          <w:lang w:val="en-GB"/>
        </w:rPr>
        <w:t xml:space="preserve"> </w:t>
      </w:r>
      <w:r>
        <w:rPr>
          <w:kern w:val="0"/>
          <w:lang w:val="en-GB"/>
          <w14:ligatures w14:val="none"/>
        </w:rPr>
        <w:t>(Germany, Spain, Hungary, Czech Republic, Poland, Italy)</w:t>
      </w:r>
      <w:r w:rsidRPr="00CF7FAE">
        <w:rPr>
          <w:lang w:val="en-GB"/>
        </w:rPr>
        <w:t xml:space="preserve">. </w:t>
      </w:r>
    </w:p>
    <w:p w14:paraId="3C803453" w14:textId="77777777" w:rsidR="00AE4992" w:rsidRDefault="00AE4992" w:rsidP="001C6796">
      <w:pPr>
        <w:spacing w:after="0" w:line="240" w:lineRule="auto"/>
        <w:ind w:left="360"/>
        <w:jc w:val="both"/>
        <w:rPr>
          <w:b/>
          <w:bCs/>
          <w:color w:val="4472C4" w:themeColor="accent1"/>
          <w:lang w:val="en-GB"/>
        </w:rPr>
      </w:pPr>
    </w:p>
    <w:p w14:paraId="231BA4EB" w14:textId="77777777" w:rsidR="00CF5A54" w:rsidRPr="000408E5" w:rsidRDefault="00CF5A54" w:rsidP="001C6796">
      <w:pPr>
        <w:spacing w:after="0" w:line="240" w:lineRule="auto"/>
        <w:ind w:left="360"/>
        <w:jc w:val="both"/>
        <w:rPr>
          <w:b/>
          <w:bCs/>
          <w:color w:val="4472C4" w:themeColor="accent1"/>
          <w:lang w:val="en-GB"/>
        </w:rPr>
      </w:pPr>
    </w:p>
    <w:p w14:paraId="1D642F45" w14:textId="310F454B" w:rsidR="00AE4992" w:rsidRDefault="00AE4992" w:rsidP="001C6796">
      <w:pPr>
        <w:pStyle w:val="PargrafodaLista"/>
        <w:numPr>
          <w:ilvl w:val="0"/>
          <w:numId w:val="2"/>
        </w:numPr>
        <w:spacing w:after="0" w:line="240" w:lineRule="auto"/>
        <w:jc w:val="both"/>
        <w:rPr>
          <w:b/>
          <w:bCs/>
          <w:lang w:val="en-GB"/>
        </w:rPr>
      </w:pPr>
      <w:r>
        <w:rPr>
          <w:b/>
          <w:bCs/>
          <w:lang w:val="en-GB"/>
        </w:rPr>
        <w:t>T</w:t>
      </w:r>
      <w:r w:rsidRPr="00485A7B">
        <w:rPr>
          <w:b/>
          <w:bCs/>
          <w:lang w:val="en-GB"/>
        </w:rPr>
        <w:t xml:space="preserve">he new algorithm proposed does not meet the public health objectives and criteria foreseen by the </w:t>
      </w:r>
      <w:r w:rsidR="00FD6E31">
        <w:rPr>
          <w:b/>
          <w:bCs/>
          <w:lang w:val="en-GB"/>
        </w:rPr>
        <w:t>EU FIC Regulation</w:t>
      </w:r>
      <w:r w:rsidRPr="00485A7B">
        <w:rPr>
          <w:b/>
          <w:bCs/>
          <w:lang w:val="en-GB"/>
        </w:rPr>
        <w:t>, on which the scheme is based</w:t>
      </w:r>
      <w:r w:rsidR="00E37652">
        <w:rPr>
          <w:b/>
          <w:bCs/>
          <w:lang w:val="en-GB"/>
        </w:rPr>
        <w:t>.</w:t>
      </w:r>
    </w:p>
    <w:p w14:paraId="57E7CF6F" w14:textId="77777777" w:rsidR="00E37652" w:rsidRPr="00485A7B" w:rsidRDefault="00E37652" w:rsidP="001C6796">
      <w:pPr>
        <w:pStyle w:val="PargrafodaLista"/>
        <w:spacing w:after="0" w:line="240" w:lineRule="auto"/>
        <w:jc w:val="both"/>
        <w:rPr>
          <w:b/>
          <w:bCs/>
          <w:lang w:val="en-GB"/>
        </w:rPr>
      </w:pPr>
    </w:p>
    <w:p w14:paraId="277618C0" w14:textId="6A293001" w:rsidR="00AE4992" w:rsidRDefault="00AE4992" w:rsidP="001C6796">
      <w:pPr>
        <w:spacing w:after="0" w:line="240" w:lineRule="auto"/>
        <w:jc w:val="both"/>
        <w:rPr>
          <w:color w:val="000000" w:themeColor="text1"/>
          <w:lang w:val="en-GB"/>
        </w:rPr>
      </w:pPr>
      <w:r w:rsidRPr="000408E5">
        <w:rPr>
          <w:color w:val="000000" w:themeColor="text1"/>
          <w:lang w:val="en-GB"/>
        </w:rPr>
        <w:t xml:space="preserve">The article 35 </w:t>
      </w:r>
      <w:r w:rsidR="00DA5ABF">
        <w:rPr>
          <w:color w:val="000000" w:themeColor="text1"/>
          <w:lang w:val="en-GB"/>
        </w:rPr>
        <w:t xml:space="preserve">of FIC Regulation </w:t>
      </w:r>
      <w:r w:rsidRPr="000408E5">
        <w:rPr>
          <w:color w:val="000000" w:themeColor="text1"/>
          <w:lang w:val="en-GB"/>
        </w:rPr>
        <w:t xml:space="preserve">foresees several criteria for FOP nutrition labelling schemes </w:t>
      </w:r>
      <w:proofErr w:type="gramStart"/>
      <w:r w:rsidRPr="000408E5">
        <w:rPr>
          <w:color w:val="000000" w:themeColor="text1"/>
          <w:lang w:val="en-GB"/>
        </w:rPr>
        <w:t>in order to</w:t>
      </w:r>
      <w:proofErr w:type="gramEnd"/>
      <w:r w:rsidRPr="000408E5">
        <w:rPr>
          <w:color w:val="000000" w:themeColor="text1"/>
          <w:lang w:val="en-GB"/>
        </w:rPr>
        <w:t xml:space="preserve"> ensure that the consumer information is valid and appropriate.  </w:t>
      </w:r>
    </w:p>
    <w:p w14:paraId="45F6DB8A" w14:textId="77777777" w:rsidR="00E37652" w:rsidRPr="000408E5" w:rsidRDefault="00E37652" w:rsidP="001C6796">
      <w:pPr>
        <w:spacing w:after="0" w:line="240" w:lineRule="auto"/>
        <w:jc w:val="both"/>
        <w:rPr>
          <w:color w:val="000000" w:themeColor="text1"/>
          <w:lang w:val="en-GB"/>
        </w:rPr>
      </w:pPr>
    </w:p>
    <w:p w14:paraId="78A03771" w14:textId="77777777" w:rsidR="00AE4992" w:rsidRDefault="00AE4992" w:rsidP="001C6796">
      <w:pPr>
        <w:pStyle w:val="PargrafodaLista"/>
        <w:numPr>
          <w:ilvl w:val="1"/>
          <w:numId w:val="2"/>
        </w:numPr>
        <w:spacing w:after="0" w:line="240" w:lineRule="auto"/>
        <w:jc w:val="both"/>
        <w:rPr>
          <w:u w:val="single"/>
          <w:lang w:val="en-GB"/>
        </w:rPr>
      </w:pPr>
      <w:r w:rsidRPr="00911747">
        <w:rPr>
          <w:u w:val="single"/>
          <w:lang w:val="en-GB"/>
        </w:rPr>
        <w:t>additional form of expression shall facilitate consumer understanding of the contribution or importance of the food to the energy and nutrient content of a diet (art 35 1.c))</w:t>
      </w:r>
    </w:p>
    <w:p w14:paraId="0669436C" w14:textId="77777777" w:rsidR="00E37652" w:rsidRPr="00911747" w:rsidRDefault="00E37652" w:rsidP="001C6796">
      <w:pPr>
        <w:pStyle w:val="PargrafodaLista"/>
        <w:spacing w:after="0" w:line="240" w:lineRule="auto"/>
        <w:ind w:left="1440"/>
        <w:jc w:val="both"/>
        <w:rPr>
          <w:u w:val="single"/>
          <w:lang w:val="en-GB"/>
        </w:rPr>
      </w:pPr>
    </w:p>
    <w:p w14:paraId="357BE502" w14:textId="77777777" w:rsidR="00AE4992" w:rsidRDefault="00AE4992" w:rsidP="001C6796">
      <w:pPr>
        <w:spacing w:after="0" w:line="240" w:lineRule="auto"/>
        <w:jc w:val="both"/>
        <w:rPr>
          <w:lang w:val="en-GB"/>
        </w:rPr>
      </w:pPr>
      <w:proofErr w:type="gramStart"/>
      <w:r w:rsidRPr="00485A7B">
        <w:rPr>
          <w:lang w:val="en-GB"/>
        </w:rPr>
        <w:t>First of all</w:t>
      </w:r>
      <w:proofErr w:type="gramEnd"/>
      <w:r w:rsidRPr="00485A7B">
        <w:rPr>
          <w:lang w:val="en-GB"/>
        </w:rPr>
        <w:t xml:space="preserve">, for the cheese category, the Nutri-score fails to facilitate the consumer's understanding of </w:t>
      </w:r>
      <w:r w:rsidRPr="00485A7B">
        <w:rPr>
          <w:i/>
          <w:iCs/>
          <w:lang w:val="en-GB"/>
        </w:rPr>
        <w:t>“the contribution or importance of the food to the energy and nutrient content of a diet”</w:t>
      </w:r>
      <w:r w:rsidRPr="00485A7B">
        <w:rPr>
          <w:lang w:val="en-GB"/>
        </w:rPr>
        <w:t>, as required for in point 1. c) of Article 35 of the FIC regulation.</w:t>
      </w:r>
    </w:p>
    <w:p w14:paraId="2E470C7C" w14:textId="77777777" w:rsidR="00E37652" w:rsidRPr="00485A7B" w:rsidRDefault="00E37652" w:rsidP="001C6796">
      <w:pPr>
        <w:spacing w:after="0" w:line="240" w:lineRule="auto"/>
        <w:jc w:val="both"/>
        <w:rPr>
          <w:lang w:val="en-GB"/>
        </w:rPr>
      </w:pPr>
    </w:p>
    <w:p w14:paraId="6D0D5A69" w14:textId="1CF90453" w:rsidR="00AE4992" w:rsidRDefault="00AE4992" w:rsidP="001C6796">
      <w:pPr>
        <w:spacing w:after="0" w:line="240" w:lineRule="auto"/>
        <w:jc w:val="both"/>
        <w:rPr>
          <w:color w:val="000000" w:themeColor="text1"/>
          <w:lang w:val="en-GB"/>
        </w:rPr>
      </w:pPr>
      <w:r w:rsidRPr="00485A7B">
        <w:rPr>
          <w:lang w:val="en-GB"/>
        </w:rPr>
        <w:t xml:space="preserve">Nutri-score </w:t>
      </w:r>
      <w:r>
        <w:rPr>
          <w:lang w:val="en-GB"/>
        </w:rPr>
        <w:t>fails to adequately score</w:t>
      </w:r>
      <w:r w:rsidRPr="00485A7B">
        <w:rPr>
          <w:lang w:val="en-GB"/>
        </w:rPr>
        <w:t xml:space="preserve"> the cheese category, as the French authorities acknowledged it</w:t>
      </w:r>
      <w:r w:rsidR="00587743">
        <w:rPr>
          <w:lang w:val="en-GB"/>
        </w:rPr>
        <w:t xml:space="preserve"> (</w:t>
      </w:r>
      <w:r w:rsidR="00923F7D">
        <w:rPr>
          <w:lang w:val="en-GB"/>
        </w:rPr>
        <w:t>ANSES</w:t>
      </w:r>
      <w:r w:rsidR="00A47040">
        <w:rPr>
          <w:rStyle w:val="Refdenotaderodap"/>
          <w:lang w:val="en-GB"/>
        </w:rPr>
        <w:footnoteReference w:id="1"/>
      </w:r>
      <w:r w:rsidR="00923F7D">
        <w:rPr>
          <w:lang w:val="en-GB"/>
        </w:rPr>
        <w:t xml:space="preserve"> opinion, December 5</w:t>
      </w:r>
      <w:r w:rsidR="00923F7D" w:rsidRPr="00923F7D">
        <w:rPr>
          <w:vertAlign w:val="superscript"/>
          <w:lang w:val="en-GB"/>
        </w:rPr>
        <w:t>th</w:t>
      </w:r>
      <w:proofErr w:type="gramStart"/>
      <w:r w:rsidR="00923F7D">
        <w:rPr>
          <w:lang w:val="en-GB"/>
        </w:rPr>
        <w:t xml:space="preserve"> 2023</w:t>
      </w:r>
      <w:proofErr w:type="gramEnd"/>
      <w:r w:rsidR="00587743">
        <w:rPr>
          <w:lang w:val="en-GB"/>
        </w:rPr>
        <w:t>)</w:t>
      </w:r>
      <w:r w:rsidRPr="00485A7B">
        <w:rPr>
          <w:lang w:val="en-GB"/>
        </w:rPr>
        <w:t>.</w:t>
      </w:r>
      <w:r w:rsidR="00587743">
        <w:rPr>
          <w:lang w:val="en-GB"/>
        </w:rPr>
        <w:t xml:space="preserve"> </w:t>
      </w:r>
      <w:proofErr w:type="gramStart"/>
      <w:r w:rsidR="00587743">
        <w:rPr>
          <w:lang w:val="en-GB"/>
        </w:rPr>
        <w:t>As a consequence</w:t>
      </w:r>
      <w:proofErr w:type="gramEnd"/>
      <w:r w:rsidRPr="00485A7B">
        <w:rPr>
          <w:lang w:val="en-GB"/>
        </w:rPr>
        <w:t>, most cheeses (&gt;</w:t>
      </w:r>
      <w:r w:rsidR="00DB3F80">
        <w:rPr>
          <w:lang w:val="en-GB"/>
        </w:rPr>
        <w:t>75</w:t>
      </w:r>
      <w:r w:rsidRPr="00485A7B">
        <w:rPr>
          <w:lang w:val="en-GB"/>
        </w:rPr>
        <w:t xml:space="preserve">%) would score D, without allowing the consumer to choose the best option between the different </w:t>
      </w:r>
      <w:r>
        <w:rPr>
          <w:lang w:val="en-GB"/>
        </w:rPr>
        <w:t>cheeses</w:t>
      </w:r>
      <w:r w:rsidRPr="00485A7B">
        <w:rPr>
          <w:lang w:val="en-GB"/>
        </w:rPr>
        <w:t xml:space="preserve">. </w:t>
      </w:r>
      <w:r w:rsidR="00471BB9">
        <w:rPr>
          <w:lang w:val="en-GB"/>
        </w:rPr>
        <w:t>According to ANSES’ opinion, t</w:t>
      </w:r>
      <w:r w:rsidR="00587743">
        <w:rPr>
          <w:lang w:val="en-GB"/>
        </w:rPr>
        <w:t xml:space="preserve">he system </w:t>
      </w:r>
      <w:proofErr w:type="gramStart"/>
      <w:r w:rsidR="00587743">
        <w:rPr>
          <w:lang w:val="en-GB"/>
        </w:rPr>
        <w:t>ha</w:t>
      </w:r>
      <w:r w:rsidR="00471BB9">
        <w:rPr>
          <w:lang w:val="en-GB"/>
        </w:rPr>
        <w:t>s</w:t>
      </w:r>
      <w:r w:rsidR="00587743">
        <w:rPr>
          <w:lang w:val="en-GB"/>
        </w:rPr>
        <w:t xml:space="preserve"> to</w:t>
      </w:r>
      <w:proofErr w:type="gramEnd"/>
      <w:r w:rsidR="00587743">
        <w:rPr>
          <w:lang w:val="en-GB"/>
        </w:rPr>
        <w:t xml:space="preserve"> be improved </w:t>
      </w:r>
      <w:r w:rsidRPr="00485A7B">
        <w:rPr>
          <w:lang w:val="en-GB"/>
        </w:rPr>
        <w:t>in order to better differentiate the cheeses based on their nutritional composition (especially the protein content that is correlated to the calcium content). However</w:t>
      </w:r>
      <w:r w:rsidRPr="000408E5">
        <w:rPr>
          <w:color w:val="000000" w:themeColor="text1"/>
          <w:lang w:val="en-GB"/>
        </w:rPr>
        <w:t xml:space="preserve">, despite a slight modification in the protein thresholds the new algorithm fails to fix this problem and most cheeses (&gt;80%) remain in the D category which is neither fair for a wide number of products (considering the importance of cheeses in the diet, based on their usual patterns of consumption (quantity and frequency) nor helpful for the consumer. The importance of the salt content has been increased, the high </w:t>
      </w:r>
      <w:r>
        <w:rPr>
          <w:color w:val="000000" w:themeColor="text1"/>
          <w:lang w:val="en-GB"/>
        </w:rPr>
        <w:t>number</w:t>
      </w:r>
      <w:r w:rsidRPr="000408E5">
        <w:rPr>
          <w:color w:val="000000" w:themeColor="text1"/>
          <w:lang w:val="en-GB"/>
        </w:rPr>
        <w:t xml:space="preserve"> of negative points </w:t>
      </w:r>
      <w:r w:rsidRPr="00873BC1">
        <w:rPr>
          <w:color w:val="000000" w:themeColor="text1"/>
          <w:lang w:val="en-GB"/>
        </w:rPr>
        <w:t>applied to SFA</w:t>
      </w:r>
      <w:r w:rsidR="000A3F35">
        <w:rPr>
          <w:color w:val="000000" w:themeColor="text1"/>
          <w:lang w:val="en-GB"/>
        </w:rPr>
        <w:t xml:space="preserve"> – Saturated Fatty Acids </w:t>
      </w:r>
      <w:r w:rsidRPr="00873BC1">
        <w:rPr>
          <w:color w:val="000000" w:themeColor="text1"/>
          <w:lang w:val="en-GB"/>
        </w:rPr>
        <w:t>(without</w:t>
      </w:r>
      <w:r w:rsidRPr="000408E5">
        <w:rPr>
          <w:color w:val="000000" w:themeColor="text1"/>
          <w:lang w:val="en-GB"/>
        </w:rPr>
        <w:t xml:space="preserve"> considering or differentiating the specific SFA health impacts) remains, and these cannot be balanced with high protein and calcium content. The consumer cannot therefore distinguish cheeses based on their respective protein or calcium contents. </w:t>
      </w:r>
    </w:p>
    <w:p w14:paraId="5CCBE10F" w14:textId="77777777" w:rsidR="00E37652" w:rsidRDefault="00E37652" w:rsidP="001C6796">
      <w:pPr>
        <w:spacing w:after="0" w:line="240" w:lineRule="auto"/>
        <w:jc w:val="both"/>
        <w:rPr>
          <w:color w:val="000000" w:themeColor="text1"/>
          <w:lang w:val="en-GB"/>
        </w:rPr>
      </w:pPr>
    </w:p>
    <w:p w14:paraId="317DA7CC" w14:textId="2DA17052" w:rsidR="00C01302" w:rsidRDefault="00115B87" w:rsidP="001C6796">
      <w:pPr>
        <w:spacing w:after="0" w:line="240" w:lineRule="auto"/>
        <w:jc w:val="both"/>
        <w:rPr>
          <w:color w:val="000000" w:themeColor="text1"/>
          <w:lang w:val="en-GB"/>
        </w:rPr>
      </w:pPr>
      <w:r>
        <w:rPr>
          <w:color w:val="000000" w:themeColor="text1"/>
          <w:lang w:val="en-GB"/>
        </w:rPr>
        <w:lastRenderedPageBreak/>
        <w:t>In addition</w:t>
      </w:r>
      <w:r w:rsidR="007933B2">
        <w:rPr>
          <w:color w:val="000000" w:themeColor="text1"/>
          <w:lang w:val="en-GB"/>
        </w:rPr>
        <w:t xml:space="preserve">, the French food safety and environment agency (ANSES) in its opinion from December </w:t>
      </w:r>
      <w:r w:rsidR="00587743">
        <w:rPr>
          <w:color w:val="000000" w:themeColor="text1"/>
          <w:lang w:val="en-GB"/>
        </w:rPr>
        <w:t>5</w:t>
      </w:r>
      <w:r w:rsidR="00587743" w:rsidRPr="00873BC1">
        <w:rPr>
          <w:color w:val="000000" w:themeColor="text1"/>
          <w:vertAlign w:val="superscript"/>
          <w:lang w:val="en-GB"/>
        </w:rPr>
        <w:t>th</w:t>
      </w:r>
      <w:proofErr w:type="gramStart"/>
      <w:r w:rsidR="00587743">
        <w:rPr>
          <w:color w:val="000000" w:themeColor="text1"/>
          <w:lang w:val="en-GB"/>
        </w:rPr>
        <w:t xml:space="preserve"> </w:t>
      </w:r>
      <w:r w:rsidR="007933B2">
        <w:rPr>
          <w:color w:val="000000" w:themeColor="text1"/>
          <w:lang w:val="en-GB"/>
        </w:rPr>
        <w:t>2023</w:t>
      </w:r>
      <w:proofErr w:type="gramEnd"/>
      <w:r w:rsidR="007933B2">
        <w:rPr>
          <w:color w:val="000000" w:themeColor="text1"/>
          <w:lang w:val="en-GB"/>
        </w:rPr>
        <w:t xml:space="preserve"> stated that “</w:t>
      </w:r>
      <w:r w:rsidR="007933B2" w:rsidRPr="00235C0A">
        <w:rPr>
          <w:i/>
          <w:iCs/>
          <w:color w:val="000000" w:themeColor="text1"/>
          <w:lang w:val="en-GB"/>
        </w:rPr>
        <w:t xml:space="preserve">To </w:t>
      </w:r>
      <w:r w:rsidR="00D110D4" w:rsidRPr="00235C0A">
        <w:rPr>
          <w:i/>
          <w:iCs/>
          <w:color w:val="000000" w:themeColor="text1"/>
          <w:lang w:val="en-GB"/>
        </w:rPr>
        <w:t xml:space="preserve">the </w:t>
      </w:r>
      <w:proofErr w:type="spellStart"/>
      <w:r w:rsidR="007933B2" w:rsidRPr="00235C0A">
        <w:rPr>
          <w:i/>
          <w:iCs/>
          <w:color w:val="000000" w:themeColor="text1"/>
          <w:lang w:val="en-GB"/>
        </w:rPr>
        <w:t>extend</w:t>
      </w:r>
      <w:proofErr w:type="spellEnd"/>
      <w:r w:rsidR="00D110D4" w:rsidRPr="00235C0A">
        <w:rPr>
          <w:i/>
          <w:iCs/>
          <w:color w:val="000000" w:themeColor="text1"/>
          <w:lang w:val="en-GB"/>
        </w:rPr>
        <w:t xml:space="preserve"> that the question of meeting protein needs does not constitute</w:t>
      </w:r>
      <w:r w:rsidR="00AD267E" w:rsidRPr="00235C0A">
        <w:rPr>
          <w:i/>
          <w:iCs/>
          <w:color w:val="000000" w:themeColor="text1"/>
          <w:lang w:val="en-GB"/>
        </w:rPr>
        <w:t xml:space="preserve"> a nutritional issue for the French population, it would seem more relevant</w:t>
      </w:r>
      <w:r w:rsidR="00F9292B" w:rsidRPr="00235C0A">
        <w:rPr>
          <w:i/>
          <w:iCs/>
          <w:color w:val="000000" w:themeColor="text1"/>
          <w:lang w:val="en-GB"/>
        </w:rPr>
        <w:t xml:space="preserve"> to discriminate between cheeses based on their calcium content. In this context, </w:t>
      </w:r>
      <w:r w:rsidR="00C8765D" w:rsidRPr="00235C0A">
        <w:rPr>
          <w:i/>
          <w:iCs/>
          <w:color w:val="000000" w:themeColor="text1"/>
          <w:lang w:val="en-GB"/>
        </w:rPr>
        <w:t xml:space="preserve">even if the protein content can constitute an indicator of the calcium </w:t>
      </w:r>
      <w:r w:rsidR="00081139" w:rsidRPr="00235C0A">
        <w:rPr>
          <w:i/>
          <w:iCs/>
          <w:color w:val="000000" w:themeColor="text1"/>
          <w:lang w:val="en-GB"/>
        </w:rPr>
        <w:t xml:space="preserve">content in cheeses, it </w:t>
      </w:r>
      <w:r w:rsidR="00235C0A" w:rsidRPr="00235C0A">
        <w:rPr>
          <w:i/>
          <w:iCs/>
          <w:color w:val="000000" w:themeColor="text1"/>
          <w:lang w:val="en-GB"/>
        </w:rPr>
        <w:t>would be</w:t>
      </w:r>
      <w:r w:rsidR="00081139" w:rsidRPr="00235C0A">
        <w:rPr>
          <w:i/>
          <w:iCs/>
          <w:color w:val="000000" w:themeColor="text1"/>
          <w:lang w:val="en-GB"/>
        </w:rPr>
        <w:t xml:space="preserve"> preferable </w:t>
      </w:r>
      <w:r w:rsidR="009952D0" w:rsidRPr="00235C0A">
        <w:rPr>
          <w:i/>
          <w:iCs/>
          <w:color w:val="000000" w:themeColor="text1"/>
          <w:lang w:val="en-GB"/>
        </w:rPr>
        <w:t xml:space="preserve">to directly integrate the calcium content as a positive component </w:t>
      </w:r>
      <w:r w:rsidR="00235C0A" w:rsidRPr="00235C0A">
        <w:rPr>
          <w:i/>
          <w:iCs/>
          <w:color w:val="000000" w:themeColor="text1"/>
          <w:lang w:val="en-GB"/>
        </w:rPr>
        <w:t>for all foods</w:t>
      </w:r>
      <w:r w:rsidR="00235C0A">
        <w:rPr>
          <w:color w:val="000000" w:themeColor="text1"/>
          <w:lang w:val="en-GB"/>
        </w:rPr>
        <w:t xml:space="preserve">”. </w:t>
      </w:r>
      <w:r w:rsidR="00006F19">
        <w:rPr>
          <w:color w:val="000000" w:themeColor="text1"/>
          <w:lang w:val="en-GB"/>
        </w:rPr>
        <w:t xml:space="preserve">We showed in our </w:t>
      </w:r>
      <w:r w:rsidR="00C01302">
        <w:rPr>
          <w:color w:val="000000" w:themeColor="text1"/>
          <w:lang w:val="en-GB"/>
        </w:rPr>
        <w:t xml:space="preserve">analysis that Nutri-Score for cheeses is mostly correlated </w:t>
      </w:r>
      <w:r w:rsidR="00C21A4F">
        <w:rPr>
          <w:color w:val="000000" w:themeColor="text1"/>
          <w:lang w:val="en-GB"/>
        </w:rPr>
        <w:t xml:space="preserve">to their salt content and </w:t>
      </w:r>
      <w:r w:rsidR="00A510EB">
        <w:rPr>
          <w:color w:val="000000" w:themeColor="text1"/>
          <w:lang w:val="en-GB"/>
        </w:rPr>
        <w:t xml:space="preserve">not </w:t>
      </w:r>
      <w:r w:rsidR="00C21A4F">
        <w:rPr>
          <w:color w:val="000000" w:themeColor="text1"/>
          <w:lang w:val="en-GB"/>
        </w:rPr>
        <w:t>to the protein nor to the calcium content.</w:t>
      </w:r>
    </w:p>
    <w:p w14:paraId="6FCACBE9" w14:textId="77777777" w:rsidR="00E37652" w:rsidRDefault="00E37652" w:rsidP="001C6796">
      <w:pPr>
        <w:spacing w:after="0" w:line="240" w:lineRule="auto"/>
        <w:jc w:val="both"/>
        <w:rPr>
          <w:color w:val="000000" w:themeColor="text1"/>
          <w:lang w:val="en-GB"/>
        </w:rPr>
      </w:pPr>
    </w:p>
    <w:p w14:paraId="3452626F" w14:textId="3C9AFDC6" w:rsidR="00AE4992" w:rsidRDefault="00AE4992" w:rsidP="001C6796">
      <w:pPr>
        <w:spacing w:after="0" w:line="240" w:lineRule="auto"/>
        <w:jc w:val="both"/>
        <w:rPr>
          <w:lang w:val="en-GB"/>
        </w:rPr>
      </w:pPr>
      <w:r>
        <w:rPr>
          <w:lang w:val="en-GB"/>
        </w:rPr>
        <w:t>S</w:t>
      </w:r>
      <w:r w:rsidRPr="00485A7B">
        <w:rPr>
          <w:lang w:val="en-GB"/>
        </w:rPr>
        <w:t xml:space="preserve">econdly, for the liquid dairy products category, the new algorithm fails to facilitate the consumer's understanding of </w:t>
      </w:r>
      <w:r w:rsidRPr="00707E21">
        <w:rPr>
          <w:i/>
          <w:iCs/>
          <w:lang w:val="en-GB"/>
        </w:rPr>
        <w:t>“the contribution or importance of the food to the energy and nutrient content of a diet</w:t>
      </w:r>
      <w:r w:rsidRPr="00485A7B">
        <w:rPr>
          <w:lang w:val="en-GB"/>
        </w:rPr>
        <w:t>”, as required for in point 1. c) of Article 35 of the FIC regulation.</w:t>
      </w:r>
    </w:p>
    <w:p w14:paraId="0A9AC4E5" w14:textId="77777777" w:rsidR="00E37652" w:rsidRPr="00485A7B" w:rsidRDefault="00E37652" w:rsidP="001C6796">
      <w:pPr>
        <w:spacing w:after="0" w:line="240" w:lineRule="auto"/>
        <w:jc w:val="both"/>
        <w:rPr>
          <w:lang w:val="en-GB"/>
        </w:rPr>
      </w:pPr>
    </w:p>
    <w:p w14:paraId="57971291" w14:textId="0E102A77" w:rsidR="00AE4992" w:rsidRDefault="00AE4992" w:rsidP="001C6796">
      <w:pPr>
        <w:spacing w:after="0" w:line="240" w:lineRule="auto"/>
        <w:jc w:val="both"/>
        <w:rPr>
          <w:lang w:val="en-GB"/>
        </w:rPr>
      </w:pPr>
      <w:r w:rsidRPr="00485A7B">
        <w:rPr>
          <w:lang w:val="en-GB"/>
        </w:rPr>
        <w:t xml:space="preserve">Indeed, the Nutri-Score governance has decided a </w:t>
      </w:r>
      <w:r w:rsidR="00587743">
        <w:rPr>
          <w:lang w:val="en-GB"/>
        </w:rPr>
        <w:t xml:space="preserve">major and incomprehensible </w:t>
      </w:r>
      <w:r w:rsidRPr="00485A7B">
        <w:rPr>
          <w:lang w:val="en-GB"/>
        </w:rPr>
        <w:t xml:space="preserve">change in the classification of milk and other liquid dairy products, that will, from now on, be considered as beverages (like water or soft drinks). This change that is neither sufficiently scientifically substantiated nor coherent with dietary guidelines and that completely ignores consumption practices, could be leading the consumer to consider, with the deterioration of the score, that milk has become less good for health. The same goes for liquid yogurts which will be rated a lot more harshly than their solid equivalent. </w:t>
      </w:r>
    </w:p>
    <w:p w14:paraId="477DF021" w14:textId="77777777" w:rsidR="00E37652" w:rsidRPr="00485A7B" w:rsidRDefault="00E37652" w:rsidP="001C6796">
      <w:pPr>
        <w:spacing w:after="0" w:line="240" w:lineRule="auto"/>
        <w:jc w:val="both"/>
        <w:rPr>
          <w:lang w:val="en-GB"/>
        </w:rPr>
      </w:pPr>
    </w:p>
    <w:p w14:paraId="59B02123" w14:textId="7D6FC711" w:rsidR="00AE4992" w:rsidRDefault="00AE4992" w:rsidP="001C6796">
      <w:pPr>
        <w:spacing w:after="0" w:line="240" w:lineRule="auto"/>
        <w:jc w:val="both"/>
        <w:rPr>
          <w:lang w:val="en-GB"/>
        </w:rPr>
      </w:pPr>
      <w:r w:rsidRPr="00485A7B">
        <w:rPr>
          <w:lang w:val="en-GB"/>
        </w:rPr>
        <w:t>This</w:t>
      </w:r>
      <w:r w:rsidR="009D534A">
        <w:rPr>
          <w:lang w:val="en-GB"/>
        </w:rPr>
        <w:t xml:space="preserve"> system</w:t>
      </w:r>
      <w:r w:rsidRPr="00485A7B">
        <w:rPr>
          <w:lang w:val="en-GB"/>
        </w:rPr>
        <w:t xml:space="preserve"> does not take into consideration the dairy essence of these products and their natural lactose and energetic content. These foods are a lot closer, from a nutritional perspective to other dairy products than to the beverages to which they are compared, hence their classification within the dairy category in </w:t>
      </w:r>
      <w:r w:rsidR="0003270F">
        <w:rPr>
          <w:lang w:val="en-GB"/>
        </w:rPr>
        <w:t xml:space="preserve">European </w:t>
      </w:r>
      <w:r w:rsidRPr="00485A7B">
        <w:rPr>
          <w:lang w:val="en-GB"/>
        </w:rPr>
        <w:t>dietary guidelines</w:t>
      </w:r>
      <w:r w:rsidR="00523D03">
        <w:rPr>
          <w:lang w:val="en-GB"/>
        </w:rPr>
        <w:t xml:space="preserve"> </w:t>
      </w:r>
      <w:r w:rsidRPr="00485A7B">
        <w:rPr>
          <w:lang w:val="en-GB"/>
        </w:rPr>
        <w:t xml:space="preserve">(and not within the beverages category). </w:t>
      </w:r>
      <w:r>
        <w:rPr>
          <w:lang w:val="en-GB"/>
        </w:rPr>
        <w:t xml:space="preserve">The Nutri-Score and this specific beverage algorithm does not sufficiently </w:t>
      </w:r>
      <w:r w:rsidR="00C836BC">
        <w:rPr>
          <w:lang w:val="en-GB"/>
        </w:rPr>
        <w:t xml:space="preserve">consider </w:t>
      </w:r>
      <w:r>
        <w:rPr>
          <w:lang w:val="en-GB"/>
        </w:rPr>
        <w:t xml:space="preserve">dairy specificities to adequately score them. To be noted, the French food safety and environment agency (ANSES) stated in its opinion from December </w:t>
      </w:r>
      <w:r w:rsidR="0003270F">
        <w:rPr>
          <w:lang w:val="en-GB"/>
        </w:rPr>
        <w:t>5</w:t>
      </w:r>
      <w:r w:rsidR="0003270F" w:rsidRPr="0003270F">
        <w:rPr>
          <w:vertAlign w:val="superscript"/>
          <w:lang w:val="en-GB"/>
        </w:rPr>
        <w:t>th</w:t>
      </w:r>
      <w:r w:rsidR="0003270F">
        <w:rPr>
          <w:lang w:val="en-GB"/>
        </w:rPr>
        <w:t xml:space="preserve">, </w:t>
      </w:r>
      <w:proofErr w:type="gramStart"/>
      <w:r>
        <w:rPr>
          <w:lang w:val="en-GB"/>
        </w:rPr>
        <w:t>2023</w:t>
      </w:r>
      <w:proofErr w:type="gramEnd"/>
      <w:r>
        <w:rPr>
          <w:lang w:val="en-GB"/>
        </w:rPr>
        <w:t xml:space="preserve"> that “</w:t>
      </w:r>
      <w:r w:rsidRPr="00D50396">
        <w:rPr>
          <w:i/>
          <w:iCs/>
          <w:lang w:val="en-GB"/>
        </w:rPr>
        <w:t>it would be appropriate to take greater account of the nutrients of interest (vitamins, mineral) likely to better discriminate between different drinks</w:t>
      </w:r>
      <w:r>
        <w:rPr>
          <w:lang w:val="en-GB"/>
        </w:rPr>
        <w:t xml:space="preserve">”. </w:t>
      </w:r>
    </w:p>
    <w:p w14:paraId="424C74E0" w14:textId="77777777" w:rsidR="00E37652" w:rsidRPr="00485A7B" w:rsidRDefault="00E37652" w:rsidP="001C6796">
      <w:pPr>
        <w:spacing w:after="0" w:line="240" w:lineRule="auto"/>
        <w:jc w:val="both"/>
        <w:rPr>
          <w:lang w:val="en-GB"/>
        </w:rPr>
      </w:pPr>
    </w:p>
    <w:p w14:paraId="54F41B19" w14:textId="2E544A15" w:rsidR="00AE4992" w:rsidRDefault="00AE4992" w:rsidP="001C6796">
      <w:pPr>
        <w:spacing w:after="0" w:line="240" w:lineRule="auto"/>
        <w:jc w:val="both"/>
        <w:rPr>
          <w:b/>
          <w:bCs/>
          <w:color w:val="000000" w:themeColor="text1"/>
          <w:lang w:val="en-GB"/>
        </w:rPr>
      </w:pPr>
      <w:r w:rsidRPr="000408E5">
        <w:rPr>
          <w:b/>
          <w:bCs/>
          <w:color w:val="000000" w:themeColor="text1"/>
          <w:lang w:val="en-GB"/>
        </w:rPr>
        <w:t>As regards to dairy products, the Nutri-score does not allow consumer</w:t>
      </w:r>
      <w:r>
        <w:rPr>
          <w:b/>
          <w:bCs/>
          <w:color w:val="000000" w:themeColor="text1"/>
          <w:lang w:val="en-GB"/>
        </w:rPr>
        <w:t>s</w:t>
      </w:r>
      <w:r w:rsidRPr="000408E5">
        <w:rPr>
          <w:b/>
          <w:bCs/>
          <w:color w:val="000000" w:themeColor="text1"/>
          <w:lang w:val="en-GB"/>
        </w:rPr>
        <w:t xml:space="preserve"> to </w:t>
      </w:r>
      <w:r>
        <w:rPr>
          <w:b/>
          <w:bCs/>
          <w:color w:val="000000" w:themeColor="text1"/>
          <w:kern w:val="0"/>
          <w:lang w:val="en-GB"/>
          <w14:ligatures w14:val="none"/>
        </w:rPr>
        <w:t xml:space="preserve">understand the contribution of cheeses and dairy products to </w:t>
      </w:r>
      <w:r w:rsidRPr="000408E5">
        <w:rPr>
          <w:b/>
          <w:bCs/>
          <w:color w:val="000000" w:themeColor="text1"/>
          <w:lang w:val="en-GB"/>
        </w:rPr>
        <w:t xml:space="preserve">a balanced diet, in accordance with the </w:t>
      </w:r>
      <w:r>
        <w:rPr>
          <w:b/>
          <w:bCs/>
          <w:color w:val="000000" w:themeColor="text1"/>
          <w:lang w:val="en-GB"/>
        </w:rPr>
        <w:t>national dietary</w:t>
      </w:r>
      <w:r w:rsidRPr="000408E5">
        <w:rPr>
          <w:b/>
          <w:bCs/>
          <w:color w:val="000000" w:themeColor="text1"/>
          <w:lang w:val="en-GB"/>
        </w:rPr>
        <w:t xml:space="preserve"> recommendations and is likely to </w:t>
      </w:r>
      <w:r>
        <w:rPr>
          <w:b/>
          <w:bCs/>
          <w:color w:val="000000" w:themeColor="text1"/>
          <w:lang w:val="en-GB"/>
        </w:rPr>
        <w:t>mislead them</w:t>
      </w:r>
      <w:r w:rsidRPr="000408E5">
        <w:rPr>
          <w:b/>
          <w:bCs/>
          <w:color w:val="000000" w:themeColor="text1"/>
          <w:lang w:val="en-GB"/>
        </w:rPr>
        <w:t>.</w:t>
      </w:r>
      <w:r w:rsidRPr="0093270F">
        <w:rPr>
          <w:b/>
          <w:bCs/>
          <w:color w:val="000000" w:themeColor="text1"/>
          <w:kern w:val="0"/>
          <w:lang w:val="en-GB"/>
          <w14:ligatures w14:val="none"/>
        </w:rPr>
        <w:t xml:space="preserve"> </w:t>
      </w:r>
      <w:r>
        <w:rPr>
          <w:b/>
          <w:bCs/>
          <w:color w:val="000000" w:themeColor="text1"/>
          <w:kern w:val="0"/>
          <w:lang w:val="en-GB"/>
          <w14:ligatures w14:val="none"/>
        </w:rPr>
        <w:t xml:space="preserve">The version 2 of the algorithm </w:t>
      </w:r>
      <w:r w:rsidR="00587743" w:rsidRPr="00911747">
        <w:rPr>
          <w:b/>
          <w:bCs/>
          <w:lang w:val="en-GB"/>
        </w:rPr>
        <w:t xml:space="preserve">submitted </w:t>
      </w:r>
      <w:r w:rsidR="00587743">
        <w:rPr>
          <w:b/>
          <w:bCs/>
          <w:lang w:val="en-GB"/>
        </w:rPr>
        <w:t xml:space="preserve">in the </w:t>
      </w:r>
      <w:r w:rsidR="00587743" w:rsidRPr="00911747">
        <w:rPr>
          <w:b/>
          <w:bCs/>
          <w:lang w:val="en-GB"/>
        </w:rPr>
        <w:t>Decree under notification n°</w:t>
      </w:r>
      <w:r w:rsidR="00587743" w:rsidRPr="00911747">
        <w:rPr>
          <w:b/>
          <w:bCs/>
          <w:lang w:val="en-US"/>
        </w:rPr>
        <w:t>2023/0601/FR</w:t>
      </w:r>
      <w:r w:rsidR="00587743">
        <w:rPr>
          <w:b/>
          <w:bCs/>
          <w:color w:val="000000" w:themeColor="text1"/>
          <w:kern w:val="0"/>
          <w:lang w:val="en-GB"/>
          <w14:ligatures w14:val="none"/>
        </w:rPr>
        <w:t xml:space="preserve"> </w:t>
      </w:r>
      <w:r>
        <w:rPr>
          <w:b/>
          <w:bCs/>
          <w:color w:val="000000" w:themeColor="text1"/>
          <w:kern w:val="0"/>
          <w:lang w:val="en-GB"/>
          <w14:ligatures w14:val="none"/>
        </w:rPr>
        <w:t>reinforces this problem.</w:t>
      </w:r>
    </w:p>
    <w:p w14:paraId="33C070B0" w14:textId="77777777" w:rsidR="00AE4992" w:rsidRPr="000408E5" w:rsidRDefault="00AE4992" w:rsidP="001C6796">
      <w:pPr>
        <w:spacing w:after="0" w:line="240" w:lineRule="auto"/>
        <w:jc w:val="both"/>
        <w:rPr>
          <w:b/>
          <w:bCs/>
          <w:color w:val="000000" w:themeColor="text1"/>
          <w:lang w:val="en-GB"/>
        </w:rPr>
      </w:pPr>
    </w:p>
    <w:p w14:paraId="78AFEB46" w14:textId="77777777" w:rsidR="00AE4992" w:rsidRDefault="00AE4992" w:rsidP="001C6796">
      <w:pPr>
        <w:pStyle w:val="PargrafodaLista"/>
        <w:numPr>
          <w:ilvl w:val="1"/>
          <w:numId w:val="2"/>
        </w:numPr>
        <w:spacing w:after="0" w:line="240" w:lineRule="auto"/>
        <w:jc w:val="both"/>
        <w:rPr>
          <w:u w:val="single"/>
          <w:lang w:val="en-GB"/>
        </w:rPr>
      </w:pPr>
      <w:r w:rsidRPr="0015523A">
        <w:rPr>
          <w:u w:val="single"/>
          <w:lang w:val="en-GB"/>
        </w:rPr>
        <w:t>Additional information shall be objective and non-discriminatory (art 35 1.f))</w:t>
      </w:r>
    </w:p>
    <w:p w14:paraId="6C0B2C7C" w14:textId="77777777" w:rsidR="00E37652" w:rsidRPr="0015523A" w:rsidRDefault="00E37652" w:rsidP="001C6796">
      <w:pPr>
        <w:pStyle w:val="PargrafodaLista"/>
        <w:spacing w:after="0" w:line="240" w:lineRule="auto"/>
        <w:jc w:val="both"/>
        <w:rPr>
          <w:u w:val="single"/>
          <w:lang w:val="en-GB"/>
        </w:rPr>
      </w:pPr>
    </w:p>
    <w:p w14:paraId="0FE1C662" w14:textId="10769726" w:rsidR="00AE4992" w:rsidRPr="00485A7B" w:rsidRDefault="00AE4992" w:rsidP="001C6796">
      <w:pPr>
        <w:spacing w:after="0" w:line="240" w:lineRule="auto"/>
        <w:jc w:val="both"/>
        <w:rPr>
          <w:lang w:val="en-GB"/>
        </w:rPr>
      </w:pPr>
      <w:r w:rsidRPr="00485A7B">
        <w:rPr>
          <w:lang w:val="en-GB"/>
        </w:rPr>
        <w:t xml:space="preserve">Nutri-score </w:t>
      </w:r>
      <w:r w:rsidR="00587743">
        <w:rPr>
          <w:lang w:val="en-GB"/>
        </w:rPr>
        <w:t>i</w:t>
      </w:r>
      <w:r w:rsidRPr="00485A7B">
        <w:rPr>
          <w:lang w:val="en-GB"/>
        </w:rPr>
        <w:t xml:space="preserve">s not </w:t>
      </w:r>
      <w:r w:rsidRPr="00485A7B">
        <w:rPr>
          <w:i/>
          <w:iCs/>
          <w:lang w:val="en-GB"/>
        </w:rPr>
        <w:t>“objective nor non-discriminatory”,</w:t>
      </w:r>
      <w:r w:rsidRPr="00485A7B">
        <w:rPr>
          <w:lang w:val="en-GB"/>
        </w:rPr>
        <w:t xml:space="preserve"> as required for in point 1. f) of Article 35 of the FIC regulation, considering:</w:t>
      </w:r>
    </w:p>
    <w:p w14:paraId="63844B15" w14:textId="271D5E48" w:rsidR="00AE4992" w:rsidRPr="000408E5" w:rsidRDefault="00AE4992" w:rsidP="001C6796">
      <w:pPr>
        <w:pStyle w:val="PargrafodaLista"/>
        <w:numPr>
          <w:ilvl w:val="0"/>
          <w:numId w:val="1"/>
        </w:numPr>
        <w:spacing w:after="0" w:line="240" w:lineRule="auto"/>
        <w:jc w:val="both"/>
        <w:rPr>
          <w:color w:val="000000" w:themeColor="text1"/>
          <w:lang w:val="en-GB"/>
        </w:rPr>
      </w:pPr>
      <w:r w:rsidRPr="00485A7B">
        <w:rPr>
          <w:lang w:val="en-GB"/>
        </w:rPr>
        <w:t xml:space="preserve">the new algorithm applies different treatments </w:t>
      </w:r>
      <w:r w:rsidRPr="000408E5">
        <w:rPr>
          <w:color w:val="000000" w:themeColor="text1"/>
          <w:lang w:val="en-GB"/>
        </w:rPr>
        <w:t xml:space="preserve">to situations that are </w:t>
      </w:r>
      <w:r>
        <w:rPr>
          <w:color w:val="000000" w:themeColor="text1"/>
          <w:lang w:val="en-GB"/>
        </w:rPr>
        <w:t>actually</w:t>
      </w:r>
      <w:r w:rsidRPr="000408E5">
        <w:rPr>
          <w:color w:val="000000" w:themeColor="text1"/>
          <w:lang w:val="en-GB"/>
        </w:rPr>
        <w:t xml:space="preserve"> comparable: this is the case for liquid and solid yogurts which belong to the same category in European law (for instance regarding regulation EU 1333/2008, the references intakes taken into account in the FIC regulation, customs regulations,) and they also belong to </w:t>
      </w:r>
      <w:r>
        <w:rPr>
          <w:color w:val="000000" w:themeColor="text1"/>
          <w:lang w:val="en-GB"/>
        </w:rPr>
        <w:t xml:space="preserve">the </w:t>
      </w:r>
      <w:r w:rsidRPr="000408E5">
        <w:rPr>
          <w:color w:val="000000" w:themeColor="text1"/>
          <w:lang w:val="en-GB"/>
        </w:rPr>
        <w:t>same category in the dietary recommendations, while sharing equivalent nutritional value and consumption habits</w:t>
      </w:r>
      <w:r w:rsidR="003D147A">
        <w:rPr>
          <w:color w:val="000000" w:themeColor="text1"/>
          <w:lang w:val="en-GB"/>
        </w:rPr>
        <w:t xml:space="preserve">, </w:t>
      </w:r>
      <w:r w:rsidR="003D147A" w:rsidRPr="00CF5A54">
        <w:rPr>
          <w:color w:val="000000" w:themeColor="text1"/>
          <w:lang w:val="en-GB"/>
        </w:rPr>
        <w:t>according to</w:t>
      </w:r>
      <w:r w:rsidR="007500E4" w:rsidRPr="00CF5A54">
        <w:rPr>
          <w:color w:val="000000" w:themeColor="text1"/>
          <w:lang w:val="en-GB"/>
        </w:rPr>
        <w:t xml:space="preserve"> investigation set by ANSES</w:t>
      </w:r>
      <w:r w:rsidR="00CF5A54" w:rsidRPr="00CF5A54">
        <w:rPr>
          <w:color w:val="000000" w:themeColor="text1"/>
          <w:lang w:val="en-GB"/>
        </w:rPr>
        <w:t xml:space="preserve"> (</w:t>
      </w:r>
      <w:r w:rsidR="00CF5A54" w:rsidRPr="00CF5A54">
        <w:rPr>
          <w:i/>
          <w:iCs/>
          <w:color w:val="000000" w:themeColor="text1"/>
          <w:lang w:val="en-GB"/>
        </w:rPr>
        <w:t>INCA Investigation by ANSES, 2014</w:t>
      </w:r>
      <w:r w:rsidR="00CF5A54">
        <w:rPr>
          <w:color w:val="000000" w:themeColor="text1"/>
          <w:lang w:val="en-GB"/>
        </w:rPr>
        <w:t>).</w:t>
      </w:r>
    </w:p>
    <w:p w14:paraId="65414848" w14:textId="77777777" w:rsidR="00AE4992" w:rsidRPr="000408E5" w:rsidRDefault="00AE4992" w:rsidP="001C6796">
      <w:pPr>
        <w:pStyle w:val="PargrafodaLista"/>
        <w:numPr>
          <w:ilvl w:val="0"/>
          <w:numId w:val="1"/>
        </w:numPr>
        <w:spacing w:after="0" w:line="240" w:lineRule="auto"/>
        <w:jc w:val="both"/>
        <w:rPr>
          <w:color w:val="000000" w:themeColor="text1"/>
          <w:lang w:val="en-GB"/>
        </w:rPr>
      </w:pPr>
      <w:r w:rsidRPr="000408E5">
        <w:rPr>
          <w:color w:val="000000" w:themeColor="text1"/>
          <w:lang w:val="en-GB"/>
        </w:rPr>
        <w:t xml:space="preserve">the new algorithm applies identical treatment to different situations: milk and liquid dairy products are no longer considered as foods but as drinks, therefore being compared to sweetened beverages, whereas they belong to the dairy category whose daily consumption is encouraged by dietary recommendations. </w:t>
      </w:r>
      <w:r>
        <w:rPr>
          <w:color w:val="000000" w:themeColor="text1"/>
          <w:lang w:val="en-GB"/>
        </w:rPr>
        <w:t xml:space="preserve">Moreover, some cheeses with </w:t>
      </w:r>
      <w:r>
        <w:rPr>
          <w:color w:val="000000" w:themeColor="text1"/>
          <w:kern w:val="0"/>
          <w:lang w:val="en-GB"/>
          <w14:ligatures w14:val="none"/>
        </w:rPr>
        <w:t xml:space="preserve">very different nutritional composition have </w:t>
      </w:r>
      <w:proofErr w:type="gramStart"/>
      <w:r>
        <w:rPr>
          <w:color w:val="000000" w:themeColor="text1"/>
          <w:kern w:val="0"/>
          <w:lang w:val="en-GB"/>
          <w14:ligatures w14:val="none"/>
        </w:rPr>
        <w:t>exactly the same</w:t>
      </w:r>
      <w:proofErr w:type="gramEnd"/>
      <w:r>
        <w:rPr>
          <w:color w:val="000000" w:themeColor="text1"/>
          <w:kern w:val="0"/>
          <w:lang w:val="en-GB"/>
          <w14:ligatures w14:val="none"/>
        </w:rPr>
        <w:t xml:space="preserve"> score (see point a. above).</w:t>
      </w:r>
    </w:p>
    <w:p w14:paraId="147EE254" w14:textId="511C47A7" w:rsidR="00AE4992" w:rsidRDefault="00AE4992" w:rsidP="001C6796">
      <w:pPr>
        <w:pStyle w:val="PargrafodaLista"/>
        <w:numPr>
          <w:ilvl w:val="0"/>
          <w:numId w:val="1"/>
        </w:numPr>
        <w:spacing w:after="0" w:line="240" w:lineRule="auto"/>
        <w:jc w:val="both"/>
        <w:rPr>
          <w:color w:val="000000" w:themeColor="text1"/>
          <w:lang w:val="en-GB"/>
        </w:rPr>
      </w:pPr>
      <w:r w:rsidRPr="000408E5">
        <w:rPr>
          <w:color w:val="000000" w:themeColor="text1"/>
          <w:lang w:val="en-GB"/>
        </w:rPr>
        <w:t xml:space="preserve">The Nutri-Score penalizes certain products </w:t>
      </w:r>
      <w:r w:rsidR="00B61DFA">
        <w:rPr>
          <w:color w:val="000000" w:themeColor="text1"/>
          <w:lang w:val="en-GB"/>
        </w:rPr>
        <w:t>which</w:t>
      </w:r>
      <w:r w:rsidRPr="000408E5">
        <w:rPr>
          <w:color w:val="000000" w:themeColor="text1"/>
          <w:lang w:val="en-GB"/>
        </w:rPr>
        <w:t xml:space="preserve"> consumption is nevertheless encouraged (such as cheese </w:t>
      </w:r>
      <w:r>
        <w:rPr>
          <w:color w:val="000000" w:themeColor="text1"/>
          <w:lang w:val="en-GB"/>
        </w:rPr>
        <w:t>which</w:t>
      </w:r>
      <w:r w:rsidRPr="000408E5">
        <w:rPr>
          <w:color w:val="000000" w:themeColor="text1"/>
          <w:lang w:val="en-GB"/>
        </w:rPr>
        <w:t xml:space="preserve"> daily consumption is recommended by the national nutrition and </w:t>
      </w:r>
      <w:r w:rsidRPr="000408E5">
        <w:rPr>
          <w:color w:val="000000" w:themeColor="text1"/>
          <w:lang w:val="en-GB"/>
        </w:rPr>
        <w:lastRenderedPageBreak/>
        <w:t xml:space="preserve">health program) or even </w:t>
      </w:r>
      <w:r>
        <w:rPr>
          <w:color w:val="000000" w:themeColor="text1"/>
          <w:lang w:val="en-GB"/>
        </w:rPr>
        <w:t>Product Designation of Origin (</w:t>
      </w:r>
      <w:r w:rsidRPr="000408E5">
        <w:rPr>
          <w:color w:val="000000" w:themeColor="text1"/>
          <w:lang w:val="en-GB"/>
        </w:rPr>
        <w:t>PDO</w:t>
      </w:r>
      <w:r>
        <w:rPr>
          <w:color w:val="000000" w:themeColor="text1"/>
          <w:lang w:val="en-GB"/>
        </w:rPr>
        <w:t>)</w:t>
      </w:r>
      <w:r w:rsidRPr="000408E5">
        <w:rPr>
          <w:color w:val="000000" w:themeColor="text1"/>
          <w:lang w:val="en-GB"/>
        </w:rPr>
        <w:t xml:space="preserve"> or </w:t>
      </w:r>
      <w:r>
        <w:rPr>
          <w:color w:val="000000" w:themeColor="text1"/>
          <w:lang w:val="en-GB"/>
        </w:rPr>
        <w:t>Protected Geographical Indication (</w:t>
      </w:r>
      <w:r w:rsidRPr="000408E5">
        <w:rPr>
          <w:color w:val="000000" w:themeColor="text1"/>
          <w:lang w:val="en-GB"/>
        </w:rPr>
        <w:t>PGI</w:t>
      </w:r>
      <w:r>
        <w:rPr>
          <w:color w:val="000000" w:themeColor="text1"/>
          <w:lang w:val="en-GB"/>
        </w:rPr>
        <w:t>)</w:t>
      </w:r>
      <w:r w:rsidRPr="000408E5">
        <w:rPr>
          <w:color w:val="000000" w:themeColor="text1"/>
          <w:lang w:val="en-GB"/>
        </w:rPr>
        <w:t xml:space="preserve"> products which are in the impossibility </w:t>
      </w:r>
      <w:r>
        <w:rPr>
          <w:color w:val="000000" w:themeColor="text1"/>
          <w:lang w:val="en-GB"/>
        </w:rPr>
        <w:t>to reformulate</w:t>
      </w:r>
      <w:r w:rsidRPr="000408E5">
        <w:rPr>
          <w:color w:val="000000" w:themeColor="text1"/>
          <w:lang w:val="en-GB"/>
        </w:rPr>
        <w:t xml:space="preserve"> their recipes. It </w:t>
      </w:r>
      <w:r w:rsidR="00590141">
        <w:rPr>
          <w:color w:val="000000" w:themeColor="text1"/>
          <w:lang w:val="en-GB"/>
        </w:rPr>
        <w:t xml:space="preserve">constitutes a </w:t>
      </w:r>
      <w:r w:rsidR="00150CA1">
        <w:rPr>
          <w:color w:val="000000" w:themeColor="text1"/>
          <w:lang w:val="en-GB"/>
        </w:rPr>
        <w:t>breach of</w:t>
      </w:r>
      <w:r w:rsidRPr="000408E5">
        <w:rPr>
          <w:color w:val="000000" w:themeColor="text1"/>
          <w:lang w:val="en-GB"/>
        </w:rPr>
        <w:t xml:space="preserve"> the principle of equity. </w:t>
      </w:r>
    </w:p>
    <w:p w14:paraId="62BD60C5" w14:textId="77777777" w:rsidR="00AE4992" w:rsidRPr="000408E5" w:rsidRDefault="00AE4992" w:rsidP="001C6796">
      <w:pPr>
        <w:spacing w:after="0" w:line="240" w:lineRule="auto"/>
        <w:jc w:val="both"/>
        <w:rPr>
          <w:color w:val="000000" w:themeColor="text1"/>
          <w:lang w:val="en-GB"/>
        </w:rPr>
      </w:pPr>
    </w:p>
    <w:p w14:paraId="16363E82" w14:textId="77777777" w:rsidR="00AE4992" w:rsidRDefault="00AE4992" w:rsidP="001C6796">
      <w:pPr>
        <w:pStyle w:val="PargrafodaLista"/>
        <w:numPr>
          <w:ilvl w:val="1"/>
          <w:numId w:val="2"/>
        </w:numPr>
        <w:spacing w:after="0" w:line="240" w:lineRule="auto"/>
        <w:jc w:val="both"/>
        <w:rPr>
          <w:u w:val="single"/>
          <w:lang w:val="en-GB"/>
        </w:rPr>
      </w:pPr>
      <w:r w:rsidRPr="0015523A">
        <w:rPr>
          <w:u w:val="single"/>
          <w:lang w:val="en-GB"/>
        </w:rPr>
        <w:t>additional information shall be based on sound and scientifically valid consumer research (art 35 1.a))</w:t>
      </w:r>
    </w:p>
    <w:p w14:paraId="56301E90" w14:textId="77777777" w:rsidR="00E37652" w:rsidRPr="0015523A" w:rsidRDefault="00E37652" w:rsidP="001C6796">
      <w:pPr>
        <w:pStyle w:val="PargrafodaLista"/>
        <w:spacing w:after="0" w:line="240" w:lineRule="auto"/>
        <w:ind w:left="1440"/>
        <w:jc w:val="both"/>
        <w:rPr>
          <w:u w:val="single"/>
          <w:lang w:val="en-GB"/>
        </w:rPr>
      </w:pPr>
    </w:p>
    <w:p w14:paraId="3A08CC01" w14:textId="5BFE2C1E" w:rsidR="00AE4992" w:rsidRPr="009C1FAE" w:rsidRDefault="00AE4992" w:rsidP="001C6796">
      <w:pPr>
        <w:spacing w:after="0" w:line="240" w:lineRule="auto"/>
        <w:jc w:val="both"/>
        <w:rPr>
          <w:rStyle w:val="rynqvb"/>
          <w:lang w:val="en"/>
        </w:rPr>
      </w:pPr>
      <w:r>
        <w:rPr>
          <w:lang w:val="en-GB"/>
        </w:rPr>
        <w:t>I</w:t>
      </w:r>
      <w:r w:rsidRPr="009C1FAE">
        <w:rPr>
          <w:lang w:val="en-GB"/>
        </w:rPr>
        <w:t>t appears from the presentation made by the</w:t>
      </w:r>
      <w:r w:rsidR="00150CA1">
        <w:rPr>
          <w:lang w:val="en-GB"/>
        </w:rPr>
        <w:t xml:space="preserve"> French</w:t>
      </w:r>
      <w:r w:rsidRPr="009C1FAE">
        <w:rPr>
          <w:lang w:val="en-GB"/>
        </w:rPr>
        <w:t xml:space="preserve"> Ministry of Health and Prevention </w:t>
      </w:r>
      <w:r w:rsidRPr="009C1FAE">
        <w:rPr>
          <w:i/>
          <w:iCs/>
          <w:lang w:val="en-GB"/>
        </w:rPr>
        <w:t>“Evolution of the Nutri-Score algorithm for foods and drinks”,</w:t>
      </w:r>
      <w:r w:rsidRPr="009C1FAE">
        <w:rPr>
          <w:lang w:val="en-GB"/>
        </w:rPr>
        <w:t xml:space="preserve"> dated June 7</w:t>
      </w:r>
      <w:r w:rsidR="00150CA1" w:rsidRPr="00873BC1">
        <w:rPr>
          <w:vertAlign w:val="superscript"/>
          <w:lang w:val="en-GB"/>
        </w:rPr>
        <w:t>th</w:t>
      </w:r>
      <w:r w:rsidRPr="009C1FAE">
        <w:rPr>
          <w:lang w:val="en-GB"/>
        </w:rPr>
        <w:t xml:space="preserve">, 2023, that the number of individuals questioned was 71 adults in 6 discussion groups and 20 individual interviews. This number of individuals is generally not considered sufficient nor sufficiently representative. Usual surveys </w:t>
      </w:r>
      <w:r w:rsidRPr="009C1FAE">
        <w:rPr>
          <w:rStyle w:val="rynqvb"/>
          <w:lang w:val="en"/>
        </w:rPr>
        <w:t>refer to larger samples (</w:t>
      </w:r>
      <w:proofErr w:type="spellStart"/>
      <w:r w:rsidRPr="009C1FAE">
        <w:rPr>
          <w:rStyle w:val="rynqvb"/>
          <w:lang w:val="en"/>
        </w:rPr>
        <w:t>eg.</w:t>
      </w:r>
      <w:proofErr w:type="spellEnd"/>
      <w:r w:rsidRPr="009C1FAE">
        <w:rPr>
          <w:rStyle w:val="rynqvb"/>
          <w:lang w:val="en"/>
        </w:rPr>
        <w:t xml:space="preserve"> 1 000 or 2 000 individuals, etc.). </w:t>
      </w:r>
    </w:p>
    <w:p w14:paraId="7E8726D7" w14:textId="77777777" w:rsidR="00AE4992" w:rsidRPr="009C1FAE" w:rsidRDefault="00AE4992" w:rsidP="001C6796">
      <w:pPr>
        <w:spacing w:after="0" w:line="240" w:lineRule="auto"/>
        <w:jc w:val="both"/>
        <w:rPr>
          <w:lang w:val="en-GB"/>
        </w:rPr>
      </w:pPr>
      <w:r w:rsidRPr="009C1FAE">
        <w:rPr>
          <w:lang w:val="en-GB"/>
        </w:rPr>
        <w:t xml:space="preserve">In that condition, we consider that this new algorithm is not based </w:t>
      </w:r>
      <w:r w:rsidRPr="009C1FAE">
        <w:rPr>
          <w:i/>
          <w:iCs/>
          <w:lang w:val="en-GB"/>
        </w:rPr>
        <w:t>“on solid, scientifically valid consumer research”</w:t>
      </w:r>
      <w:r w:rsidRPr="009C1FAE">
        <w:rPr>
          <w:lang w:val="en-GB"/>
        </w:rPr>
        <w:t xml:space="preserve">, as requested for in point 1.a) of Article 35 of the FIC regulation. </w:t>
      </w:r>
    </w:p>
    <w:p w14:paraId="21E9F633" w14:textId="77777777" w:rsidR="00AE4992" w:rsidRPr="009C1FAE" w:rsidRDefault="00AE4992" w:rsidP="001C6796">
      <w:pPr>
        <w:spacing w:after="0" w:line="240" w:lineRule="auto"/>
        <w:jc w:val="both"/>
        <w:rPr>
          <w:lang w:val="en-GB"/>
        </w:rPr>
      </w:pPr>
    </w:p>
    <w:p w14:paraId="2796D22E" w14:textId="77777777" w:rsidR="00AE4992" w:rsidRDefault="00AE4992" w:rsidP="001C6796">
      <w:pPr>
        <w:pStyle w:val="PargrafodaLista"/>
        <w:numPr>
          <w:ilvl w:val="1"/>
          <w:numId w:val="2"/>
        </w:numPr>
        <w:spacing w:after="0" w:line="240" w:lineRule="auto"/>
        <w:jc w:val="both"/>
        <w:rPr>
          <w:u w:val="single"/>
          <w:lang w:val="en-GB"/>
        </w:rPr>
      </w:pPr>
      <w:r w:rsidRPr="0015523A">
        <w:rPr>
          <w:u w:val="single"/>
          <w:lang w:val="en-GB"/>
        </w:rPr>
        <w:t>the development of additional information shall be the result of consultation with a wide range of stakeholder groups (Art 35 1.b))</w:t>
      </w:r>
    </w:p>
    <w:p w14:paraId="25F8D7CD" w14:textId="77777777" w:rsidR="00E37652" w:rsidRPr="0015523A" w:rsidRDefault="00E37652" w:rsidP="001C6796">
      <w:pPr>
        <w:pStyle w:val="PargrafodaLista"/>
        <w:spacing w:after="0" w:line="240" w:lineRule="auto"/>
        <w:ind w:left="1440"/>
        <w:jc w:val="both"/>
        <w:rPr>
          <w:u w:val="single"/>
          <w:lang w:val="en-GB"/>
        </w:rPr>
      </w:pPr>
    </w:p>
    <w:p w14:paraId="6009E568" w14:textId="77777777" w:rsidR="00AE4992" w:rsidRDefault="00AE4992" w:rsidP="001C6796">
      <w:pPr>
        <w:spacing w:after="0" w:line="240" w:lineRule="auto"/>
        <w:jc w:val="both"/>
        <w:rPr>
          <w:color w:val="000000" w:themeColor="text1"/>
          <w:lang w:val="en-GB"/>
        </w:rPr>
      </w:pPr>
      <w:r w:rsidRPr="000408E5">
        <w:rPr>
          <w:color w:val="000000" w:themeColor="text1"/>
          <w:lang w:val="en-GB"/>
        </w:rPr>
        <w:t>From public information, it appears that the consultation on the new algorithm, carried out in August 2021, only focused on the current version of the system and its potential developments, and not on the new algorithm that is being proposed today. The reports from the scientific committees have never been addressed to stakeholders prior to their adoption by the governance.</w:t>
      </w:r>
    </w:p>
    <w:p w14:paraId="76B2B78C" w14:textId="264872D2" w:rsidR="00AE4992" w:rsidRPr="000408E5" w:rsidRDefault="00105E58" w:rsidP="001C6796">
      <w:pPr>
        <w:spacing w:after="0" w:line="240" w:lineRule="auto"/>
        <w:jc w:val="both"/>
        <w:rPr>
          <w:color w:val="000000" w:themeColor="text1"/>
          <w:lang w:val="en-GB"/>
        </w:rPr>
      </w:pPr>
      <w:proofErr w:type="gramStart"/>
      <w:r>
        <w:rPr>
          <w:color w:val="000000" w:themeColor="text1"/>
          <w:lang w:val="en-GB"/>
        </w:rPr>
        <w:t>Therefore</w:t>
      </w:r>
      <w:proofErr w:type="gramEnd"/>
      <w:r>
        <w:rPr>
          <w:color w:val="000000" w:themeColor="text1"/>
          <w:lang w:val="en-GB"/>
        </w:rPr>
        <w:t xml:space="preserve"> w</w:t>
      </w:r>
      <w:r w:rsidR="00AE4992" w:rsidRPr="000408E5">
        <w:rPr>
          <w:color w:val="000000" w:themeColor="text1"/>
          <w:lang w:val="en-GB"/>
        </w:rPr>
        <w:t xml:space="preserve">e consider that this new algorithm is </w:t>
      </w:r>
      <w:r w:rsidR="00AE4992">
        <w:rPr>
          <w:color w:val="000000" w:themeColor="text1"/>
          <w:lang w:val="en-GB"/>
        </w:rPr>
        <w:t xml:space="preserve">not </w:t>
      </w:r>
      <w:r w:rsidR="00AE4992" w:rsidRPr="000408E5">
        <w:rPr>
          <w:i/>
          <w:iCs/>
          <w:color w:val="000000" w:themeColor="text1"/>
          <w:lang w:val="en-GB"/>
        </w:rPr>
        <w:t>“the result of consultation with a wide range of stakeholder groups”</w:t>
      </w:r>
      <w:r w:rsidR="00AE4992" w:rsidRPr="000408E5">
        <w:rPr>
          <w:color w:val="000000" w:themeColor="text1"/>
          <w:lang w:val="en-GB"/>
        </w:rPr>
        <w:t xml:space="preserve"> (industrialists, distributors, consumers, etc.), as requested for in point 1.b. of Article 35 of the FIC regulation</w:t>
      </w:r>
      <w:r w:rsidR="00AE4992">
        <w:rPr>
          <w:color w:val="000000" w:themeColor="text1"/>
          <w:lang w:val="en-GB"/>
        </w:rPr>
        <w:t>.</w:t>
      </w:r>
    </w:p>
    <w:p w14:paraId="41385DDC" w14:textId="77777777" w:rsidR="00AE4992" w:rsidRPr="000408E5" w:rsidRDefault="00AE4992" w:rsidP="001C6796">
      <w:pPr>
        <w:spacing w:after="0" w:line="240" w:lineRule="auto"/>
        <w:jc w:val="both"/>
        <w:rPr>
          <w:color w:val="000000" w:themeColor="text1"/>
          <w:lang w:val="en-GB"/>
        </w:rPr>
      </w:pPr>
    </w:p>
    <w:p w14:paraId="2A759F42" w14:textId="77777777" w:rsidR="00AE4992" w:rsidRDefault="00AE4992" w:rsidP="001C6796">
      <w:pPr>
        <w:pStyle w:val="PargrafodaLista"/>
        <w:numPr>
          <w:ilvl w:val="1"/>
          <w:numId w:val="2"/>
        </w:numPr>
        <w:spacing w:after="0" w:line="240" w:lineRule="auto"/>
        <w:jc w:val="both"/>
        <w:rPr>
          <w:u w:val="single"/>
          <w:lang w:val="en-GB"/>
        </w:rPr>
      </w:pPr>
      <w:r w:rsidRPr="0015523A">
        <w:rPr>
          <w:u w:val="single"/>
          <w:lang w:val="en-GB"/>
        </w:rPr>
        <w:t>Additional information shall not create obstacles to the free movement of goods (Art 35 1.g) and article 34 of the TFEU)</w:t>
      </w:r>
    </w:p>
    <w:p w14:paraId="5D7338BF" w14:textId="77777777" w:rsidR="00E37652" w:rsidRPr="0015523A" w:rsidRDefault="00E37652" w:rsidP="001C6796">
      <w:pPr>
        <w:pStyle w:val="PargrafodaLista"/>
        <w:spacing w:after="0" w:line="240" w:lineRule="auto"/>
        <w:ind w:left="1440"/>
        <w:jc w:val="both"/>
        <w:rPr>
          <w:u w:val="single"/>
          <w:lang w:val="en-GB"/>
        </w:rPr>
      </w:pPr>
    </w:p>
    <w:p w14:paraId="7D6B74C0" w14:textId="44F5B459" w:rsidR="00AE4992" w:rsidRDefault="00AE4992" w:rsidP="001C6796">
      <w:pPr>
        <w:spacing w:after="0" w:line="240" w:lineRule="auto"/>
        <w:jc w:val="both"/>
        <w:rPr>
          <w:lang w:val="en-GB"/>
        </w:rPr>
      </w:pPr>
      <w:r w:rsidRPr="009C1FAE">
        <w:rPr>
          <w:kern w:val="0"/>
          <w:lang w:val="en-GB"/>
          <w14:ligatures w14:val="none"/>
        </w:rPr>
        <w:t xml:space="preserve">The reality of the marketplace shows that this theoretically voluntary model is de facto a mandatory scheme that business operators </w:t>
      </w:r>
      <w:proofErr w:type="gramStart"/>
      <w:r w:rsidRPr="009C1FAE">
        <w:rPr>
          <w:kern w:val="0"/>
          <w:lang w:val="en-GB"/>
          <w14:ligatures w14:val="none"/>
        </w:rPr>
        <w:t>have to</w:t>
      </w:r>
      <w:proofErr w:type="gramEnd"/>
      <w:r w:rsidRPr="009C1FAE">
        <w:rPr>
          <w:kern w:val="0"/>
          <w:lang w:val="en-GB"/>
          <w14:ligatures w14:val="none"/>
        </w:rPr>
        <w:t xml:space="preserve"> comply with. EU food companies selling their products in “Nutri-Score Countries” are forced to differentiate their labels only for the markets of these countries, and to comply with multiple sets of rules: </w:t>
      </w:r>
      <w:r w:rsidR="00150CA1">
        <w:rPr>
          <w:lang w:val="en-GB"/>
        </w:rPr>
        <w:t>r</w:t>
      </w:r>
      <w:r w:rsidRPr="009C1FAE">
        <w:rPr>
          <w:lang w:val="en-GB"/>
        </w:rPr>
        <w:t xml:space="preserve">ecommendations from public authorities, </w:t>
      </w:r>
      <w:r w:rsidRPr="009C1FAE">
        <w:rPr>
          <w:kern w:val="0"/>
          <w:lang w:val="en-GB"/>
          <w14:ligatures w14:val="none"/>
        </w:rPr>
        <w:t xml:space="preserve">public communication campaigns on Nutri-Score, </w:t>
      </w:r>
      <w:r w:rsidRPr="009C1FAE">
        <w:rPr>
          <w:lang w:val="en-GB"/>
        </w:rPr>
        <w:t xml:space="preserve">adoption of the system by the majority of retailers, </w:t>
      </w:r>
      <w:r w:rsidRPr="009C1FAE">
        <w:rPr>
          <w:kern w:val="0"/>
          <w:lang w:val="en-GB"/>
          <w14:ligatures w14:val="none"/>
        </w:rPr>
        <w:t xml:space="preserve">repeated attempts or proposals to restrict advertisement based on the Nutri-Score grade, retailers adapting their offer and promotion to A, B, C Nutri-Score graded products, </w:t>
      </w:r>
      <w:r w:rsidRPr="009C1FAE">
        <w:rPr>
          <w:lang w:val="en-GB"/>
        </w:rPr>
        <w:t xml:space="preserve"> etc.</w:t>
      </w:r>
    </w:p>
    <w:p w14:paraId="5CF36150" w14:textId="77777777" w:rsidR="00E37652" w:rsidRPr="009C1FAE" w:rsidRDefault="00E37652" w:rsidP="001C6796">
      <w:pPr>
        <w:spacing w:after="0" w:line="240" w:lineRule="auto"/>
        <w:jc w:val="both"/>
        <w:rPr>
          <w:lang w:val="en-GB"/>
        </w:rPr>
      </w:pPr>
    </w:p>
    <w:p w14:paraId="1E6AD86C" w14:textId="77777777" w:rsidR="00AE4992" w:rsidRDefault="00AE4992" w:rsidP="001C6796">
      <w:pPr>
        <w:spacing w:after="0" w:line="240" w:lineRule="auto"/>
        <w:jc w:val="both"/>
        <w:rPr>
          <w:kern w:val="0"/>
          <w:lang w:val="en-GB"/>
          <w14:ligatures w14:val="none"/>
        </w:rPr>
      </w:pPr>
      <w:r w:rsidRPr="009C1FAE">
        <w:rPr>
          <w:kern w:val="0"/>
          <w:lang w:val="en-GB"/>
          <w14:ligatures w14:val="none"/>
        </w:rPr>
        <w:t>This situation is a relevant obstacle to the free movement of goods and unjustified additional costs, therefore constituting a technical barrier to trade.</w:t>
      </w:r>
    </w:p>
    <w:p w14:paraId="2E1D1A87" w14:textId="77777777" w:rsidR="00E37652" w:rsidRPr="009C1FAE" w:rsidRDefault="00E37652" w:rsidP="001C6796">
      <w:pPr>
        <w:spacing w:after="0" w:line="240" w:lineRule="auto"/>
        <w:jc w:val="both"/>
        <w:rPr>
          <w:lang w:val="en-GB"/>
        </w:rPr>
      </w:pPr>
    </w:p>
    <w:p w14:paraId="03FD65A7" w14:textId="2EC9FF0B" w:rsidR="00AE4992" w:rsidRPr="009C1FAE" w:rsidRDefault="00150CA1" w:rsidP="001C6796">
      <w:pPr>
        <w:spacing w:after="0" w:line="240" w:lineRule="auto"/>
        <w:jc w:val="both"/>
        <w:rPr>
          <w:lang w:val="en-GB"/>
        </w:rPr>
      </w:pPr>
      <w:r>
        <w:rPr>
          <w:lang w:val="en-GB"/>
        </w:rPr>
        <w:t>In practice, this situation</w:t>
      </w:r>
      <w:r w:rsidRPr="009C1FAE">
        <w:rPr>
          <w:lang w:val="en-GB"/>
        </w:rPr>
        <w:t xml:space="preserve"> </w:t>
      </w:r>
      <w:r w:rsidR="00AE4992" w:rsidRPr="009C1FAE">
        <w:rPr>
          <w:lang w:val="en-GB"/>
        </w:rPr>
        <w:t>will worsen the risks of the Nutri-Score to directly or indirectly, currently, or potentially, hinder trade between Member States, without any justification in terms of public health concerning dairy products:</w:t>
      </w:r>
    </w:p>
    <w:p w14:paraId="2B3176E9" w14:textId="77777777" w:rsidR="00AE4992" w:rsidRPr="009C1FAE" w:rsidRDefault="00AE4992" w:rsidP="001C6796">
      <w:pPr>
        <w:spacing w:after="0" w:line="240" w:lineRule="auto"/>
        <w:ind w:left="708"/>
        <w:jc w:val="both"/>
        <w:rPr>
          <w:lang w:val="en-GB"/>
        </w:rPr>
      </w:pPr>
      <w:r w:rsidRPr="009C1FAE">
        <w:rPr>
          <w:lang w:val="en-GB"/>
        </w:rPr>
        <w:t>(</w:t>
      </w:r>
      <w:proofErr w:type="spellStart"/>
      <w:r w:rsidRPr="009C1FAE">
        <w:rPr>
          <w:lang w:val="en-GB"/>
        </w:rPr>
        <w:t>i</w:t>
      </w:r>
      <w:proofErr w:type="spellEnd"/>
      <w:r w:rsidRPr="009C1FAE">
        <w:rPr>
          <w:lang w:val="en-GB"/>
        </w:rPr>
        <w:t>) for export, to countries which prohibit its affixing, such as Italy, since the operator is thus forced to have two distinct types of packaging, which increases the costs of production.</w:t>
      </w:r>
    </w:p>
    <w:p w14:paraId="23AB87D0" w14:textId="6D301B78" w:rsidR="00AE4992" w:rsidRPr="009C1FAE" w:rsidRDefault="00AE4992" w:rsidP="001C6796">
      <w:pPr>
        <w:spacing w:after="0" w:line="240" w:lineRule="auto"/>
        <w:ind w:left="708"/>
        <w:jc w:val="both"/>
        <w:rPr>
          <w:lang w:val="en-GB"/>
        </w:rPr>
      </w:pPr>
      <w:r w:rsidRPr="009C1FAE">
        <w:rPr>
          <w:lang w:val="en-GB"/>
        </w:rPr>
        <w:t xml:space="preserve">(ii) on importation, since it is likely to affect imported products (which will not carry the Nutri-Score) more than domestic products, </w:t>
      </w:r>
      <w:r w:rsidR="00CF5A54" w:rsidRPr="009C1FAE">
        <w:rPr>
          <w:lang w:val="en-GB"/>
        </w:rPr>
        <w:t>when</w:t>
      </w:r>
      <w:r w:rsidRPr="009C1FAE">
        <w:rPr>
          <w:lang w:val="en-GB"/>
        </w:rPr>
        <w:t xml:space="preserve"> the grade is A or B.</w:t>
      </w:r>
    </w:p>
    <w:p w14:paraId="0685EEC3" w14:textId="77777777" w:rsidR="00AE4992" w:rsidRPr="0015523A" w:rsidRDefault="00AE4992" w:rsidP="001C6796">
      <w:pPr>
        <w:spacing w:after="0" w:line="240" w:lineRule="auto"/>
        <w:jc w:val="both"/>
        <w:rPr>
          <w:b/>
          <w:bCs/>
          <w:lang w:val="en-GB"/>
        </w:rPr>
      </w:pPr>
    </w:p>
    <w:p w14:paraId="5B256B28" w14:textId="77777777" w:rsidR="00AE4992" w:rsidRPr="0015523A" w:rsidRDefault="00AE4992" w:rsidP="001C6796">
      <w:pPr>
        <w:pStyle w:val="PargrafodaLista"/>
        <w:numPr>
          <w:ilvl w:val="0"/>
          <w:numId w:val="2"/>
        </w:numPr>
        <w:spacing w:after="0" w:line="240" w:lineRule="auto"/>
        <w:jc w:val="both"/>
        <w:rPr>
          <w:b/>
          <w:bCs/>
          <w:lang w:val="en-GB"/>
        </w:rPr>
      </w:pPr>
      <w:r w:rsidRPr="0015523A">
        <w:rPr>
          <w:b/>
          <w:bCs/>
          <w:lang w:val="en-GB"/>
        </w:rPr>
        <w:t>The new algorithm does not comply with regulation 1924/2006 on nutritional and health claims.</w:t>
      </w:r>
    </w:p>
    <w:p w14:paraId="458CBFD6" w14:textId="77777777" w:rsidR="00AE4992" w:rsidRDefault="00AE4992" w:rsidP="001C6796">
      <w:pPr>
        <w:pStyle w:val="PargrafodaLista"/>
        <w:spacing w:after="0" w:line="240" w:lineRule="auto"/>
        <w:jc w:val="both"/>
        <w:rPr>
          <w:b/>
          <w:bCs/>
          <w:lang w:val="en-GB"/>
        </w:rPr>
      </w:pPr>
    </w:p>
    <w:p w14:paraId="43A85A92" w14:textId="77777777" w:rsidR="00AE4992" w:rsidRDefault="00AE4992" w:rsidP="001C6796">
      <w:pPr>
        <w:spacing w:after="0" w:line="240" w:lineRule="auto"/>
        <w:jc w:val="both"/>
        <w:rPr>
          <w:lang w:val="en-GB"/>
        </w:rPr>
      </w:pPr>
      <w:r w:rsidRPr="00CF7FAE">
        <w:rPr>
          <w:lang w:val="en-GB"/>
        </w:rPr>
        <w:lastRenderedPageBreak/>
        <w:t xml:space="preserve">Nutri-Score shows green </w:t>
      </w:r>
      <w:proofErr w:type="spellStart"/>
      <w:r w:rsidRPr="00CF7FAE">
        <w:rPr>
          <w:lang w:val="en-GB"/>
        </w:rPr>
        <w:t>colors</w:t>
      </w:r>
      <w:proofErr w:type="spellEnd"/>
      <w:r w:rsidRPr="00CF7FAE">
        <w:rPr>
          <w:lang w:val="en-GB"/>
        </w:rPr>
        <w:t xml:space="preserve"> for A and B products and that </w:t>
      </w:r>
      <w:r>
        <w:rPr>
          <w:lang w:val="en-GB"/>
        </w:rPr>
        <w:t>should</w:t>
      </w:r>
      <w:r w:rsidRPr="00CF7FAE">
        <w:rPr>
          <w:lang w:val="en-GB"/>
        </w:rPr>
        <w:t xml:space="preserve"> be considered as </w:t>
      </w:r>
      <w:r>
        <w:rPr>
          <w:lang w:val="en-GB"/>
        </w:rPr>
        <w:t xml:space="preserve">a </w:t>
      </w:r>
      <w:r w:rsidRPr="00CF7FAE">
        <w:rPr>
          <w:lang w:val="en-GB"/>
        </w:rPr>
        <w:t xml:space="preserve">“nutritional claim” </w:t>
      </w:r>
      <w:r>
        <w:rPr>
          <w:lang w:val="en-GB"/>
        </w:rPr>
        <w:t>as it meets the legal definition from</w:t>
      </w:r>
      <w:r w:rsidRPr="00CF7FAE">
        <w:rPr>
          <w:lang w:val="en-GB"/>
        </w:rPr>
        <w:t xml:space="preserve"> Regulation No. 1924/2006 of December 20, 2006. In this regulation, only allegations listed in annex are specifically authorized. Nutri-Score is not listed in the annex. </w:t>
      </w:r>
    </w:p>
    <w:p w14:paraId="745EF2FB" w14:textId="77777777" w:rsidR="00E37652" w:rsidRDefault="00E37652" w:rsidP="001C6796">
      <w:pPr>
        <w:spacing w:after="0" w:line="240" w:lineRule="auto"/>
        <w:jc w:val="both"/>
        <w:rPr>
          <w:lang w:val="en-GB"/>
        </w:rPr>
      </w:pPr>
    </w:p>
    <w:p w14:paraId="2CA7671C" w14:textId="77777777" w:rsidR="00AE4992" w:rsidRDefault="00AE4992" w:rsidP="001C6796">
      <w:pPr>
        <w:spacing w:after="0" w:line="240" w:lineRule="auto"/>
        <w:jc w:val="both"/>
        <w:rPr>
          <w:lang w:val="en-GB"/>
        </w:rPr>
      </w:pPr>
      <w:r w:rsidRPr="00CF7FAE">
        <w:rPr>
          <w:lang w:val="en-GB"/>
        </w:rPr>
        <w:t>We recall that this point ha</w:t>
      </w:r>
      <w:r>
        <w:rPr>
          <w:lang w:val="en-GB"/>
        </w:rPr>
        <w:t>d</w:t>
      </w:r>
      <w:r w:rsidRPr="00CF7FAE">
        <w:rPr>
          <w:lang w:val="en-GB"/>
        </w:rPr>
        <w:t xml:space="preserve"> already been raised by European Commission and Parliament in their report of 20th May 2020 on the use of additional forms of expression and presentation of the nutrition declaration, and by Germany and Italy during the notification 2017/0159/F. Moreover, the scores A or B of the new algorithm cannot be seen as equivalent to the nutrient claims “</w:t>
      </w:r>
      <w:r w:rsidRPr="00807EA8">
        <w:rPr>
          <w:i/>
          <w:iCs/>
          <w:lang w:val="en-GB"/>
        </w:rPr>
        <w:t>low in</w:t>
      </w:r>
      <w:r w:rsidRPr="00CF7FAE">
        <w:rPr>
          <w:lang w:val="en-GB"/>
        </w:rPr>
        <w:t>” (saturated, sugar and salt) as depending on the products concerned, the thresholds required for these claims are not always fulfilled.</w:t>
      </w:r>
      <w:r>
        <w:rPr>
          <w:lang w:val="en-GB"/>
        </w:rPr>
        <w:t xml:space="preserve"> </w:t>
      </w:r>
    </w:p>
    <w:p w14:paraId="02BE0CD7" w14:textId="77777777" w:rsidR="00E37652" w:rsidRDefault="00E37652" w:rsidP="001C6796">
      <w:pPr>
        <w:spacing w:after="0" w:line="240" w:lineRule="auto"/>
        <w:jc w:val="both"/>
        <w:rPr>
          <w:lang w:val="en-GB"/>
        </w:rPr>
      </w:pPr>
    </w:p>
    <w:p w14:paraId="2D2B6F5F" w14:textId="77777777" w:rsidR="00AE4992" w:rsidRDefault="00AE4992" w:rsidP="001C6796">
      <w:pPr>
        <w:spacing w:after="0" w:line="240" w:lineRule="auto"/>
        <w:jc w:val="both"/>
        <w:rPr>
          <w:lang w:val="en-GB"/>
        </w:rPr>
      </w:pPr>
      <w:r w:rsidRPr="00C845DD">
        <w:rPr>
          <w:lang w:val="en-GB"/>
        </w:rPr>
        <w:t xml:space="preserve">Therefore, this situation could imply misleading information to consumer due to inconsistency between nutritional claims and </w:t>
      </w:r>
      <w:r>
        <w:rPr>
          <w:lang w:val="en-GB"/>
        </w:rPr>
        <w:t>N</w:t>
      </w:r>
      <w:r w:rsidRPr="00C845DD">
        <w:rPr>
          <w:lang w:val="en-GB"/>
        </w:rPr>
        <w:t>utri</w:t>
      </w:r>
      <w:r>
        <w:rPr>
          <w:lang w:val="en-GB"/>
        </w:rPr>
        <w:t>-</w:t>
      </w:r>
      <w:r w:rsidRPr="00C845DD">
        <w:rPr>
          <w:lang w:val="en-GB"/>
        </w:rPr>
        <w:t>score scoring.</w:t>
      </w:r>
      <w:r>
        <w:rPr>
          <w:lang w:val="en-GB"/>
        </w:rPr>
        <w:t xml:space="preserve"> </w:t>
      </w:r>
    </w:p>
    <w:p w14:paraId="0EAC3958" w14:textId="77777777" w:rsidR="00E37652" w:rsidRPr="00CF7FAE" w:rsidRDefault="00E37652" w:rsidP="001C6796">
      <w:pPr>
        <w:spacing w:after="0" w:line="240" w:lineRule="auto"/>
        <w:jc w:val="both"/>
        <w:rPr>
          <w:lang w:val="en-GB"/>
        </w:rPr>
      </w:pPr>
    </w:p>
    <w:p w14:paraId="765C4CF3" w14:textId="77777777" w:rsidR="00AE4992" w:rsidRPr="00CF7FAE" w:rsidRDefault="00AE4992" w:rsidP="001C6796">
      <w:pPr>
        <w:spacing w:after="0" w:line="240" w:lineRule="auto"/>
        <w:jc w:val="both"/>
        <w:rPr>
          <w:lang w:val="en-GB"/>
        </w:rPr>
      </w:pPr>
      <w:r w:rsidRPr="00CF7FAE">
        <w:rPr>
          <w:lang w:val="en-GB"/>
        </w:rPr>
        <w:t xml:space="preserve">Finally, article 7 of the </w:t>
      </w:r>
      <w:r>
        <w:rPr>
          <w:lang w:val="en-GB"/>
        </w:rPr>
        <w:t>FIC</w:t>
      </w:r>
      <w:r w:rsidRPr="00CF7FAE">
        <w:rPr>
          <w:lang w:val="en-GB"/>
        </w:rPr>
        <w:t xml:space="preserve"> regulation provides that he information on food products should not mislead the consumer. The Italian competition authority estimated, on several occasions in 2022 and 2023, that the Nutri-Score provided “</w:t>
      </w:r>
      <w:r w:rsidRPr="00BB26A2">
        <w:rPr>
          <w:i/>
          <w:iCs/>
          <w:lang w:val="en-GB"/>
        </w:rPr>
        <w:t>an absolute judgment (…) without contextualizing it in relation to the consumer's overall diet</w:t>
      </w:r>
      <w:r w:rsidRPr="00CF7FAE">
        <w:rPr>
          <w:lang w:val="en-GB"/>
        </w:rPr>
        <w:t xml:space="preserve">” and that this lack of information </w:t>
      </w:r>
      <w:r w:rsidRPr="00BB26A2">
        <w:rPr>
          <w:i/>
          <w:iCs/>
          <w:lang w:val="en-GB"/>
        </w:rPr>
        <w:t xml:space="preserve">“does not allow the consumer to consciously use the evaluation expressed”. </w:t>
      </w:r>
    </w:p>
    <w:p w14:paraId="4E010462" w14:textId="77777777" w:rsidR="00AE4992" w:rsidRPr="003147A2" w:rsidRDefault="00AE4992" w:rsidP="001C6796">
      <w:pPr>
        <w:spacing w:after="0" w:line="240" w:lineRule="auto"/>
        <w:jc w:val="both"/>
        <w:rPr>
          <w:b/>
          <w:bCs/>
          <w:lang w:val="en-GB"/>
        </w:rPr>
      </w:pPr>
    </w:p>
    <w:p w14:paraId="1811F20E" w14:textId="77777777" w:rsidR="00AE4992" w:rsidRDefault="00AE4992" w:rsidP="001C6796">
      <w:pPr>
        <w:pStyle w:val="PargrafodaLista"/>
        <w:spacing w:after="0" w:line="240" w:lineRule="auto"/>
        <w:jc w:val="both"/>
        <w:rPr>
          <w:b/>
          <w:bCs/>
          <w:lang w:val="en-GB"/>
        </w:rPr>
      </w:pPr>
    </w:p>
    <w:p w14:paraId="037FBD62" w14:textId="77777777" w:rsidR="00AE4992" w:rsidRDefault="00AE4992" w:rsidP="001C6796">
      <w:pPr>
        <w:pStyle w:val="PargrafodaLista"/>
        <w:numPr>
          <w:ilvl w:val="0"/>
          <w:numId w:val="2"/>
        </w:numPr>
        <w:spacing w:after="0" w:line="240" w:lineRule="auto"/>
        <w:jc w:val="both"/>
        <w:rPr>
          <w:b/>
          <w:bCs/>
          <w:lang w:val="en-GB"/>
        </w:rPr>
      </w:pPr>
      <w:r w:rsidRPr="009C1FAE">
        <w:rPr>
          <w:b/>
          <w:bCs/>
          <w:lang w:val="en-GB"/>
        </w:rPr>
        <w:t xml:space="preserve">The European Commission and Members states have not been sufficiently informed on the impact of the new </w:t>
      </w:r>
      <w:proofErr w:type="gramStart"/>
      <w:r w:rsidRPr="009C1FAE">
        <w:rPr>
          <w:b/>
          <w:bCs/>
          <w:lang w:val="en-GB"/>
        </w:rPr>
        <w:t>algorithm</w:t>
      </w:r>
      <w:proofErr w:type="gramEnd"/>
      <w:r w:rsidRPr="009C1FAE">
        <w:rPr>
          <w:b/>
          <w:bCs/>
          <w:lang w:val="en-GB"/>
        </w:rPr>
        <w:t xml:space="preserve">    </w:t>
      </w:r>
    </w:p>
    <w:p w14:paraId="7BAAD46C" w14:textId="77777777" w:rsidR="00E37652" w:rsidRPr="009C1FAE" w:rsidRDefault="00E37652" w:rsidP="001C6796">
      <w:pPr>
        <w:pStyle w:val="PargrafodaLista"/>
        <w:spacing w:after="0" w:line="240" w:lineRule="auto"/>
        <w:jc w:val="both"/>
        <w:rPr>
          <w:b/>
          <w:bCs/>
          <w:lang w:val="en-GB"/>
        </w:rPr>
      </w:pPr>
    </w:p>
    <w:p w14:paraId="56911837" w14:textId="3449E760" w:rsidR="00AE4992" w:rsidRDefault="00AE4992" w:rsidP="001C6796">
      <w:pPr>
        <w:spacing w:after="0" w:line="240" w:lineRule="auto"/>
        <w:jc w:val="both"/>
        <w:rPr>
          <w:color w:val="000000" w:themeColor="text1"/>
          <w:lang w:val="en-GB"/>
        </w:rPr>
      </w:pPr>
      <w:r w:rsidRPr="005C29B7">
        <w:rPr>
          <w:color w:val="000000" w:themeColor="text1"/>
          <w:lang w:val="en-GB"/>
        </w:rPr>
        <w:t xml:space="preserve">The notification message states that: </w:t>
      </w:r>
      <w:r>
        <w:rPr>
          <w:i/>
          <w:iCs/>
          <w:color w:val="000000" w:themeColor="text1"/>
          <w:lang w:val="en-GB"/>
        </w:rPr>
        <w:t>“</w:t>
      </w:r>
      <w:r w:rsidRPr="00AE4493">
        <w:rPr>
          <w:i/>
          <w:iCs/>
          <w:lang w:val="en-GB"/>
        </w:rPr>
        <w:t>The developments allow harmonization of the algorithm with inclusion of all foods intended to be drun</w:t>
      </w:r>
      <w:r w:rsidR="00523D03">
        <w:rPr>
          <w:i/>
          <w:iCs/>
          <w:lang w:val="en-GB"/>
        </w:rPr>
        <w:t>k”</w:t>
      </w:r>
      <w:r w:rsidRPr="005C29B7">
        <w:rPr>
          <w:i/>
          <w:iCs/>
          <w:color w:val="000000" w:themeColor="text1"/>
          <w:lang w:val="en-GB"/>
        </w:rPr>
        <w:t xml:space="preserve">. </w:t>
      </w:r>
      <w:proofErr w:type="gramStart"/>
      <w:r w:rsidRPr="000408E5">
        <w:rPr>
          <w:color w:val="000000" w:themeColor="text1"/>
          <w:lang w:val="en-GB"/>
        </w:rPr>
        <w:t>However</w:t>
      </w:r>
      <w:proofErr w:type="gramEnd"/>
      <w:r w:rsidRPr="000408E5">
        <w:rPr>
          <w:color w:val="000000" w:themeColor="text1"/>
          <w:lang w:val="en-GB"/>
        </w:rPr>
        <w:t xml:space="preserve"> the notified draft text</w:t>
      </w:r>
      <w:r w:rsidR="00150CA1">
        <w:rPr>
          <w:color w:val="000000" w:themeColor="text1"/>
          <w:lang w:val="en-GB"/>
        </w:rPr>
        <w:t xml:space="preserve"> does not provide</w:t>
      </w:r>
      <w:r w:rsidR="00643EBA">
        <w:rPr>
          <w:color w:val="000000" w:themeColor="text1"/>
          <w:lang w:val="en-GB"/>
        </w:rPr>
        <w:t xml:space="preserve"> a proper list </w:t>
      </w:r>
      <w:r w:rsidRPr="000408E5">
        <w:rPr>
          <w:color w:val="000000" w:themeColor="text1"/>
          <w:lang w:val="en-GB"/>
        </w:rPr>
        <w:t>of the products included under this beverages category are not mentioned</w:t>
      </w:r>
      <w:r w:rsidRPr="000408E5">
        <w:rPr>
          <w:color w:val="000000" w:themeColor="text1"/>
          <w:kern w:val="0"/>
          <w:lang w:val="en-GB"/>
          <w14:ligatures w14:val="none"/>
        </w:rPr>
        <w:t xml:space="preserve">, </w:t>
      </w:r>
      <w:r>
        <w:rPr>
          <w:color w:val="000000" w:themeColor="text1"/>
          <w:kern w:val="0"/>
          <w:lang w:val="en-GB"/>
          <w14:ligatures w14:val="none"/>
        </w:rPr>
        <w:t>although</w:t>
      </w:r>
      <w:r w:rsidRPr="000408E5">
        <w:rPr>
          <w:color w:val="000000" w:themeColor="text1"/>
          <w:kern w:val="0"/>
          <w:lang w:val="en-GB"/>
          <w14:ligatures w14:val="none"/>
        </w:rPr>
        <w:t xml:space="preserve"> this substantial modification is directly linked to the new order</w:t>
      </w:r>
      <w:r w:rsidRPr="000408E5">
        <w:rPr>
          <w:color w:val="000000" w:themeColor="text1"/>
          <w:lang w:val="en-GB"/>
        </w:rPr>
        <w:t xml:space="preserve">. </w:t>
      </w:r>
    </w:p>
    <w:p w14:paraId="2BAFA2C2" w14:textId="77777777" w:rsidR="00E37652" w:rsidRPr="000408E5" w:rsidRDefault="00E37652" w:rsidP="001C6796">
      <w:pPr>
        <w:spacing w:after="0" w:line="240" w:lineRule="auto"/>
        <w:jc w:val="both"/>
        <w:rPr>
          <w:color w:val="000000" w:themeColor="text1"/>
          <w:lang w:val="en-GB"/>
        </w:rPr>
      </w:pPr>
    </w:p>
    <w:p w14:paraId="175AD7FD" w14:textId="18A8B572" w:rsidR="00AE4992" w:rsidRDefault="00AE4992" w:rsidP="001C6796">
      <w:pPr>
        <w:spacing w:after="0" w:line="240" w:lineRule="auto"/>
        <w:jc w:val="both"/>
        <w:rPr>
          <w:color w:val="000000" w:themeColor="text1"/>
          <w:lang w:val="en-GB"/>
        </w:rPr>
      </w:pPr>
      <w:r w:rsidRPr="000408E5">
        <w:rPr>
          <w:color w:val="000000" w:themeColor="text1"/>
          <w:lang w:val="en-GB"/>
        </w:rPr>
        <w:t xml:space="preserve">The scope of foodstuffs covered </w:t>
      </w:r>
      <w:proofErr w:type="gramStart"/>
      <w:r w:rsidRPr="000408E5">
        <w:rPr>
          <w:color w:val="000000" w:themeColor="text1"/>
          <w:lang w:val="en-GB"/>
        </w:rPr>
        <w:t>by the use of</w:t>
      </w:r>
      <w:proofErr w:type="gramEnd"/>
      <w:r w:rsidRPr="000408E5">
        <w:rPr>
          <w:color w:val="000000" w:themeColor="text1"/>
          <w:lang w:val="en-GB"/>
        </w:rPr>
        <w:t xml:space="preserve"> the Nutri-Score is specified in the rules (“</w:t>
      </w:r>
      <w:proofErr w:type="spellStart"/>
      <w:r w:rsidR="00E37652">
        <w:rPr>
          <w:color w:val="000000" w:themeColor="text1"/>
          <w:lang w:val="en-GB"/>
        </w:rPr>
        <w:t>R</w:t>
      </w:r>
      <w:r w:rsidRPr="000408E5">
        <w:rPr>
          <w:color w:val="000000" w:themeColor="text1"/>
          <w:lang w:val="en-GB"/>
        </w:rPr>
        <w:t>èglement</w:t>
      </w:r>
      <w:proofErr w:type="spellEnd"/>
      <w:r w:rsidRPr="000408E5">
        <w:rPr>
          <w:color w:val="000000" w:themeColor="text1"/>
          <w:lang w:val="en-GB"/>
        </w:rPr>
        <w:t xml:space="preserve"> </w:t>
      </w:r>
      <w:proofErr w:type="spellStart"/>
      <w:r w:rsidRPr="000408E5">
        <w:rPr>
          <w:color w:val="000000" w:themeColor="text1"/>
          <w:lang w:val="en-GB"/>
        </w:rPr>
        <w:t>d’usage</w:t>
      </w:r>
      <w:proofErr w:type="spellEnd"/>
      <w:r>
        <w:rPr>
          <w:color w:val="000000" w:themeColor="text1"/>
          <w:lang w:val="en-GB"/>
        </w:rPr>
        <w:t>”</w:t>
      </w:r>
      <w:r w:rsidRPr="000408E5">
        <w:rPr>
          <w:color w:val="000000" w:themeColor="text1"/>
          <w:lang w:val="en-GB"/>
        </w:rPr>
        <w:t>) governing the use of the Nutri-score collective trademark. This document refers to the Q&amp;A, which is the only document acting this modification of category, stat</w:t>
      </w:r>
      <w:r>
        <w:rPr>
          <w:color w:val="000000" w:themeColor="text1"/>
          <w:lang w:val="en-GB"/>
        </w:rPr>
        <w:t>ing</w:t>
      </w:r>
      <w:r w:rsidRPr="000408E5">
        <w:rPr>
          <w:color w:val="000000" w:themeColor="text1"/>
          <w:lang w:val="en-GB"/>
        </w:rPr>
        <w:t xml:space="preserve"> that: “</w:t>
      </w:r>
      <w:r w:rsidRPr="000408E5">
        <w:rPr>
          <w:i/>
          <w:iCs/>
          <w:color w:val="000000" w:themeColor="text1"/>
          <w:lang w:val="en-GB"/>
        </w:rPr>
        <w:t>In the Updated Nutri-Score algorithm: milk, drinkable yoghurt, flavoured or chocolate milk beverages whatever their content in milk</w:t>
      </w:r>
      <w:r w:rsidRPr="000408E5">
        <w:rPr>
          <w:color w:val="000000" w:themeColor="text1"/>
          <w:lang w:val="en-GB"/>
        </w:rPr>
        <w:t xml:space="preserve"> </w:t>
      </w:r>
      <w:r w:rsidRPr="000408E5">
        <w:rPr>
          <w:i/>
          <w:iCs/>
          <w:color w:val="000000" w:themeColor="text1"/>
          <w:lang w:val="en-GB"/>
        </w:rPr>
        <w:t>(…) are considered as beverage for the purpose of calculating the Nutri-Score</w:t>
      </w:r>
      <w:r w:rsidRPr="000408E5">
        <w:rPr>
          <w:color w:val="000000" w:themeColor="text1"/>
          <w:lang w:val="en-GB"/>
        </w:rPr>
        <w:t>”.</w:t>
      </w:r>
    </w:p>
    <w:p w14:paraId="05DF19FE" w14:textId="77777777" w:rsidR="00E37652" w:rsidRPr="000408E5" w:rsidRDefault="00E37652" w:rsidP="001C6796">
      <w:pPr>
        <w:spacing w:after="0" w:line="240" w:lineRule="auto"/>
        <w:jc w:val="both"/>
        <w:rPr>
          <w:color w:val="000000" w:themeColor="text1"/>
          <w:lang w:val="en-GB"/>
        </w:rPr>
      </w:pPr>
    </w:p>
    <w:p w14:paraId="131CCEDE" w14:textId="77777777" w:rsidR="00AE4992" w:rsidRDefault="00AE4992" w:rsidP="001C6796">
      <w:pPr>
        <w:spacing w:after="0" w:line="240" w:lineRule="auto"/>
        <w:jc w:val="both"/>
        <w:rPr>
          <w:color w:val="000000" w:themeColor="text1"/>
          <w:kern w:val="0"/>
          <w:lang w:val="en-GB"/>
          <w14:ligatures w14:val="none"/>
        </w:rPr>
      </w:pPr>
      <w:r w:rsidRPr="000408E5">
        <w:rPr>
          <w:color w:val="000000" w:themeColor="text1"/>
          <w:lang w:val="en-GB"/>
        </w:rPr>
        <w:t>Neither the rules nor the Q&amp;A were included in the notification, and they are not available in all the EU languages.</w:t>
      </w:r>
      <w:r w:rsidRPr="00B4401C">
        <w:rPr>
          <w:color w:val="000000" w:themeColor="text1"/>
          <w:kern w:val="0"/>
          <w:lang w:val="en-GB"/>
          <w14:ligatures w14:val="none"/>
        </w:rPr>
        <w:t xml:space="preserve"> </w:t>
      </w:r>
      <w:r>
        <w:rPr>
          <w:color w:val="000000" w:themeColor="text1"/>
          <w:kern w:val="0"/>
          <w:lang w:val="en-GB"/>
          <w14:ligatures w14:val="none"/>
        </w:rPr>
        <w:t>This Q&amp;A cannot be considered as a formal regulation.</w:t>
      </w:r>
    </w:p>
    <w:p w14:paraId="7E2EEF4A" w14:textId="77777777" w:rsidR="00E37652" w:rsidRPr="000408E5" w:rsidRDefault="00E37652" w:rsidP="001C6796">
      <w:pPr>
        <w:spacing w:after="0" w:line="240" w:lineRule="auto"/>
        <w:jc w:val="both"/>
        <w:rPr>
          <w:color w:val="000000" w:themeColor="text1"/>
          <w:lang w:val="en-GB"/>
        </w:rPr>
      </w:pPr>
    </w:p>
    <w:p w14:paraId="5338D8D7" w14:textId="77777777" w:rsidR="00AE4992" w:rsidRDefault="00AE4992" w:rsidP="001C6796">
      <w:pPr>
        <w:spacing w:after="0" w:line="240" w:lineRule="auto"/>
        <w:jc w:val="both"/>
        <w:rPr>
          <w:color w:val="000000" w:themeColor="text1"/>
          <w:lang w:val="en-GB"/>
        </w:rPr>
      </w:pPr>
      <w:r>
        <w:rPr>
          <w:color w:val="000000" w:themeColor="text1"/>
          <w:lang w:val="en-GB"/>
        </w:rPr>
        <w:t>T</w:t>
      </w:r>
      <w:r w:rsidRPr="000408E5">
        <w:rPr>
          <w:color w:val="000000" w:themeColor="text1"/>
          <w:lang w:val="en-GB"/>
        </w:rPr>
        <w:t>his lack of technical information in the notification</w:t>
      </w:r>
      <w:r>
        <w:rPr>
          <w:color w:val="000000" w:themeColor="text1"/>
          <w:lang w:val="en-GB"/>
        </w:rPr>
        <w:t xml:space="preserve"> shall</w:t>
      </w:r>
      <w:r w:rsidRPr="000408E5">
        <w:rPr>
          <w:color w:val="000000" w:themeColor="text1"/>
          <w:lang w:val="en-GB"/>
        </w:rPr>
        <w:t xml:space="preserve"> be considered</w:t>
      </w:r>
      <w:r>
        <w:rPr>
          <w:color w:val="000000" w:themeColor="text1"/>
          <w:lang w:val="en-GB"/>
        </w:rPr>
        <w:t xml:space="preserve"> as</w:t>
      </w:r>
      <w:r w:rsidRPr="000408E5">
        <w:rPr>
          <w:color w:val="000000" w:themeColor="text1"/>
          <w:lang w:val="en-GB"/>
        </w:rPr>
        <w:t xml:space="preserve"> a </w:t>
      </w:r>
      <w:r>
        <w:rPr>
          <w:color w:val="000000" w:themeColor="text1"/>
          <w:lang w:val="en-GB"/>
        </w:rPr>
        <w:t>violation</w:t>
      </w:r>
      <w:r w:rsidRPr="000408E5">
        <w:rPr>
          <w:color w:val="000000" w:themeColor="text1"/>
          <w:lang w:val="en-GB"/>
        </w:rPr>
        <w:t xml:space="preserve"> of the EU rules as Directive (EU) 2015/1535 applies to all draft technical regulations. Technical regulations include technical specifications which are specifications contained in a document which lays down the characteristics of a product such as dimension, labelling, packaging, level of quality, conformity assessment procedures etc. This term also covers production methods and processes.</w:t>
      </w:r>
    </w:p>
    <w:p w14:paraId="0FD7C7B5" w14:textId="77777777" w:rsidR="00E37652" w:rsidRPr="000408E5" w:rsidRDefault="00E37652" w:rsidP="001C6796">
      <w:pPr>
        <w:spacing w:after="0" w:line="240" w:lineRule="auto"/>
        <w:jc w:val="both"/>
        <w:rPr>
          <w:color w:val="000000" w:themeColor="text1"/>
          <w:lang w:val="en-GB"/>
        </w:rPr>
      </w:pPr>
    </w:p>
    <w:p w14:paraId="3B9391CA" w14:textId="46E380CE" w:rsidR="004712AA" w:rsidRDefault="00AE4992" w:rsidP="001C6796">
      <w:pPr>
        <w:spacing w:after="0" w:line="240" w:lineRule="auto"/>
        <w:rPr>
          <w:color w:val="000000" w:themeColor="text1"/>
          <w:lang w:val="en-GB"/>
        </w:rPr>
      </w:pPr>
      <w:r w:rsidRPr="000408E5">
        <w:rPr>
          <w:color w:val="000000" w:themeColor="text1"/>
          <w:lang w:val="en-GB"/>
        </w:rPr>
        <w:t xml:space="preserve">By not mentioning the list of products now </w:t>
      </w:r>
      <w:r>
        <w:rPr>
          <w:color w:val="000000" w:themeColor="text1"/>
          <w:lang w:val="en-GB"/>
        </w:rPr>
        <w:t>allocated</w:t>
      </w:r>
      <w:r w:rsidRPr="000408E5">
        <w:rPr>
          <w:color w:val="000000" w:themeColor="text1"/>
          <w:lang w:val="en-GB"/>
        </w:rPr>
        <w:t xml:space="preserve"> to the beverage category, the member states and the European commission may overlook the impacts of this change to the public health consequences of Nutri-Score, as explained in part 1, which is why we felt important to raise awareness on this issue.</w:t>
      </w:r>
    </w:p>
    <w:p w14:paraId="1DDD5B22" w14:textId="77777777" w:rsidR="00D60B6D" w:rsidRDefault="00D60B6D" w:rsidP="001C6796">
      <w:pPr>
        <w:spacing w:after="0" w:line="240" w:lineRule="auto"/>
        <w:rPr>
          <w:color w:val="000000" w:themeColor="text1"/>
          <w:lang w:val="en-GB"/>
        </w:rPr>
      </w:pPr>
    </w:p>
    <w:p w14:paraId="1EDF69B6" w14:textId="77777777" w:rsidR="00C97020" w:rsidRDefault="00C97020" w:rsidP="001C6796">
      <w:pPr>
        <w:spacing w:after="0" w:line="240" w:lineRule="auto"/>
        <w:rPr>
          <w:color w:val="000000" w:themeColor="text1"/>
          <w:lang w:val="en-GB"/>
        </w:rPr>
      </w:pPr>
    </w:p>
    <w:p w14:paraId="10AB78E4" w14:textId="2DC98B7E" w:rsidR="00C97020" w:rsidRDefault="00C97020" w:rsidP="001C6796">
      <w:pPr>
        <w:spacing w:after="0" w:line="240" w:lineRule="auto"/>
        <w:jc w:val="both"/>
        <w:rPr>
          <w:b/>
          <w:bCs/>
          <w:lang w:val="en-GB"/>
        </w:rPr>
      </w:pPr>
      <w:r>
        <w:rPr>
          <w:b/>
          <w:bCs/>
          <w:lang w:val="en-GB"/>
        </w:rPr>
        <w:lastRenderedPageBreak/>
        <w:t xml:space="preserve">Therefore, </w:t>
      </w:r>
      <w:r w:rsidR="00D60B6D" w:rsidRPr="00D60B6D">
        <w:rPr>
          <w:b/>
          <w:bCs/>
          <w:lang w:val="en-GB"/>
        </w:rPr>
        <w:t>UNION OF THE DAIRY INDUSTRY AND DERIVATIVE PRODUCTS OF THE STATE OF RIO GRANDE DO SUL</w:t>
      </w:r>
      <w:r w:rsidR="00D60B6D">
        <w:rPr>
          <w:b/>
          <w:bCs/>
          <w:lang w:val="en-GB"/>
        </w:rPr>
        <w:t xml:space="preserve"> – SINDILAT/</w:t>
      </w:r>
      <w:proofErr w:type="gramStart"/>
      <w:r w:rsidR="00D60B6D">
        <w:rPr>
          <w:b/>
          <w:bCs/>
          <w:lang w:val="en-GB"/>
        </w:rPr>
        <w:t xml:space="preserve">RS </w:t>
      </w:r>
      <w:r w:rsidR="00D60B6D">
        <w:rPr>
          <w:b/>
          <w:bCs/>
          <w:lang w:val="en-GB"/>
        </w:rPr>
        <w:t xml:space="preserve"> </w:t>
      </w:r>
      <w:r>
        <w:rPr>
          <w:b/>
          <w:bCs/>
          <w:lang w:val="en-GB"/>
        </w:rPr>
        <w:t>suggests</w:t>
      </w:r>
      <w:proofErr w:type="gramEnd"/>
      <w:r>
        <w:rPr>
          <w:b/>
          <w:bCs/>
          <w:lang w:val="en-GB"/>
        </w:rPr>
        <w:t xml:space="preserve"> that the European Commission blocks the draft technical regulation n°2023/0601/FR and announces its intention </w:t>
      </w:r>
      <w:r w:rsidRPr="006D173D">
        <w:rPr>
          <w:b/>
          <w:bCs/>
          <w:lang w:val="en-GB"/>
        </w:rPr>
        <w:t>of proposing</w:t>
      </w:r>
      <w:r>
        <w:rPr>
          <w:b/>
          <w:bCs/>
          <w:lang w:val="en-GB"/>
        </w:rPr>
        <w:t xml:space="preserve"> the revision of the FIC Regulation 1169/2011. </w:t>
      </w:r>
    </w:p>
    <w:p w14:paraId="75D11C0E" w14:textId="77777777" w:rsidR="00C97020" w:rsidRPr="00AE4992" w:rsidRDefault="00C97020" w:rsidP="001C6796">
      <w:pPr>
        <w:spacing w:after="0" w:line="240" w:lineRule="auto"/>
        <w:rPr>
          <w:lang w:val="en-GB"/>
        </w:rPr>
      </w:pPr>
    </w:p>
    <w:sectPr w:rsidR="00C97020" w:rsidRPr="00AE49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293F" w14:textId="77777777" w:rsidR="00B85727" w:rsidRDefault="00B85727" w:rsidP="00AE4992">
      <w:pPr>
        <w:spacing w:after="0" w:line="240" w:lineRule="auto"/>
      </w:pPr>
      <w:r>
        <w:separator/>
      </w:r>
    </w:p>
  </w:endnote>
  <w:endnote w:type="continuationSeparator" w:id="0">
    <w:p w14:paraId="2FD5E01F" w14:textId="77777777" w:rsidR="00B85727" w:rsidRDefault="00B85727" w:rsidP="00AE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181679"/>
      <w:docPartObj>
        <w:docPartGallery w:val="Page Numbers (Bottom of Page)"/>
        <w:docPartUnique/>
      </w:docPartObj>
    </w:sdtPr>
    <w:sdtContent>
      <w:sdt>
        <w:sdtPr>
          <w:id w:val="-1769616900"/>
          <w:docPartObj>
            <w:docPartGallery w:val="Page Numbers (Top of Page)"/>
            <w:docPartUnique/>
          </w:docPartObj>
        </w:sdtPr>
        <w:sdtContent>
          <w:p w14:paraId="6BE2B421" w14:textId="56286C00" w:rsidR="00E37652" w:rsidRDefault="00E37652">
            <w:pPr>
              <w:pStyle w:val="Rodap"/>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6B6C2E" w14:textId="77777777" w:rsidR="00E37652" w:rsidRDefault="00E376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53B6" w14:textId="77777777" w:rsidR="00B85727" w:rsidRDefault="00B85727" w:rsidP="00AE4992">
      <w:pPr>
        <w:spacing w:after="0" w:line="240" w:lineRule="auto"/>
      </w:pPr>
      <w:r>
        <w:separator/>
      </w:r>
    </w:p>
  </w:footnote>
  <w:footnote w:type="continuationSeparator" w:id="0">
    <w:p w14:paraId="3D2A4AA6" w14:textId="77777777" w:rsidR="00B85727" w:rsidRDefault="00B85727" w:rsidP="00AE4992">
      <w:pPr>
        <w:spacing w:after="0" w:line="240" w:lineRule="auto"/>
      </w:pPr>
      <w:r>
        <w:continuationSeparator/>
      </w:r>
    </w:p>
  </w:footnote>
  <w:footnote w:id="1">
    <w:p w14:paraId="1827B7A0" w14:textId="36DF40F6" w:rsidR="00A47040" w:rsidRPr="006963B9" w:rsidRDefault="00A47040">
      <w:pPr>
        <w:pStyle w:val="Textodenotaderodap"/>
        <w:rPr>
          <w:lang w:val="en-US"/>
        </w:rPr>
      </w:pPr>
      <w:r>
        <w:rPr>
          <w:rStyle w:val="Refdenotaderodap"/>
        </w:rPr>
        <w:footnoteRef/>
      </w:r>
      <w:r w:rsidRPr="006963B9">
        <w:rPr>
          <w:lang w:val="en-US"/>
        </w:rPr>
        <w:t xml:space="preserve"> </w:t>
      </w:r>
      <w:proofErr w:type="gramStart"/>
      <w:r w:rsidRPr="006963B9">
        <w:rPr>
          <w:lang w:val="en-US"/>
        </w:rPr>
        <w:t>ANSES :</w:t>
      </w:r>
      <w:proofErr w:type="gramEnd"/>
      <w:r w:rsidRPr="006963B9">
        <w:rPr>
          <w:lang w:val="en-US"/>
        </w:rPr>
        <w:t xml:space="preserve"> French </w:t>
      </w:r>
      <w:r w:rsidR="006963B9" w:rsidRPr="006963B9">
        <w:rPr>
          <w:lang w:val="en-US"/>
        </w:rPr>
        <w:t xml:space="preserve">Food Safety </w:t>
      </w:r>
      <w:r w:rsidR="006963B9">
        <w:rPr>
          <w:lang w:val="en-US"/>
        </w:rPr>
        <w:t>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65AB"/>
    <w:multiLevelType w:val="hybridMultilevel"/>
    <w:tmpl w:val="32EE3A12"/>
    <w:lvl w:ilvl="0" w:tplc="0164D094">
      <w:start w:val="2"/>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C501121"/>
    <w:multiLevelType w:val="hybridMultilevel"/>
    <w:tmpl w:val="9DF06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D6A488C"/>
    <w:multiLevelType w:val="hybridMultilevel"/>
    <w:tmpl w:val="D1F42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2A5B57"/>
    <w:multiLevelType w:val="hybridMultilevel"/>
    <w:tmpl w:val="1486A516"/>
    <w:lvl w:ilvl="0" w:tplc="50622724">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C108DB4A">
      <w:start w:val="4"/>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125079579">
    <w:abstractNumId w:val="0"/>
  </w:num>
  <w:num w:numId="2" w16cid:durableId="1046367594">
    <w:abstractNumId w:val="3"/>
  </w:num>
  <w:num w:numId="3" w16cid:durableId="796725293">
    <w:abstractNumId w:val="1"/>
  </w:num>
  <w:num w:numId="4" w16cid:durableId="320087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92"/>
    <w:rsid w:val="000025F7"/>
    <w:rsid w:val="00006F19"/>
    <w:rsid w:val="0003270F"/>
    <w:rsid w:val="00081139"/>
    <w:rsid w:val="0009241B"/>
    <w:rsid w:val="000A3F35"/>
    <w:rsid w:val="00105E58"/>
    <w:rsid w:val="00115B87"/>
    <w:rsid w:val="00150CA1"/>
    <w:rsid w:val="00160C19"/>
    <w:rsid w:val="001614B1"/>
    <w:rsid w:val="001A04EC"/>
    <w:rsid w:val="001C5DC4"/>
    <w:rsid w:val="001C6796"/>
    <w:rsid w:val="0020166C"/>
    <w:rsid w:val="00231E45"/>
    <w:rsid w:val="00235C0A"/>
    <w:rsid w:val="002478A3"/>
    <w:rsid w:val="002A5974"/>
    <w:rsid w:val="002D20DE"/>
    <w:rsid w:val="003A0ED8"/>
    <w:rsid w:val="003D147A"/>
    <w:rsid w:val="003D29C8"/>
    <w:rsid w:val="00407EEF"/>
    <w:rsid w:val="00447C3E"/>
    <w:rsid w:val="004712AA"/>
    <w:rsid w:val="00471BB9"/>
    <w:rsid w:val="00514F25"/>
    <w:rsid w:val="00523D03"/>
    <w:rsid w:val="00546181"/>
    <w:rsid w:val="00587743"/>
    <w:rsid w:val="00590141"/>
    <w:rsid w:val="00590B2F"/>
    <w:rsid w:val="0063122E"/>
    <w:rsid w:val="00643EBA"/>
    <w:rsid w:val="006963B9"/>
    <w:rsid w:val="006D173D"/>
    <w:rsid w:val="007500E4"/>
    <w:rsid w:val="00756636"/>
    <w:rsid w:val="007637D1"/>
    <w:rsid w:val="0077260D"/>
    <w:rsid w:val="00790076"/>
    <w:rsid w:val="007933B2"/>
    <w:rsid w:val="00840759"/>
    <w:rsid w:val="00873BC1"/>
    <w:rsid w:val="00896A6F"/>
    <w:rsid w:val="008B7481"/>
    <w:rsid w:val="00923F35"/>
    <w:rsid w:val="00923F7D"/>
    <w:rsid w:val="009952D0"/>
    <w:rsid w:val="009B63C6"/>
    <w:rsid w:val="009D534A"/>
    <w:rsid w:val="00A20080"/>
    <w:rsid w:val="00A47040"/>
    <w:rsid w:val="00A510EB"/>
    <w:rsid w:val="00A91504"/>
    <w:rsid w:val="00AC79E7"/>
    <w:rsid w:val="00AD267E"/>
    <w:rsid w:val="00AE4992"/>
    <w:rsid w:val="00B61DFA"/>
    <w:rsid w:val="00B85727"/>
    <w:rsid w:val="00BE2F72"/>
    <w:rsid w:val="00C01302"/>
    <w:rsid w:val="00C21A4F"/>
    <w:rsid w:val="00C40F42"/>
    <w:rsid w:val="00C53BD2"/>
    <w:rsid w:val="00C836BC"/>
    <w:rsid w:val="00C8765D"/>
    <w:rsid w:val="00C97020"/>
    <w:rsid w:val="00CA4A24"/>
    <w:rsid w:val="00CF5A54"/>
    <w:rsid w:val="00D03C83"/>
    <w:rsid w:val="00D110D4"/>
    <w:rsid w:val="00D14FB0"/>
    <w:rsid w:val="00D16A8D"/>
    <w:rsid w:val="00D60B6D"/>
    <w:rsid w:val="00DA5ABF"/>
    <w:rsid w:val="00DB3F80"/>
    <w:rsid w:val="00E37652"/>
    <w:rsid w:val="00EB33F2"/>
    <w:rsid w:val="00EB4470"/>
    <w:rsid w:val="00F0404A"/>
    <w:rsid w:val="00F33CB6"/>
    <w:rsid w:val="00F37F55"/>
    <w:rsid w:val="00F70667"/>
    <w:rsid w:val="00F9292B"/>
    <w:rsid w:val="00FD6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2119"/>
  <w15:chartTrackingRefBased/>
  <w15:docId w15:val="{09F5AE29-D16E-406C-ACBA-77A68183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9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4992"/>
    <w:pPr>
      <w:ind w:left="720"/>
      <w:contextualSpacing/>
    </w:pPr>
  </w:style>
  <w:style w:type="character" w:customStyle="1" w:styleId="rynqvb">
    <w:name w:val="rynqvb"/>
    <w:basedOn w:val="Fontepargpadro"/>
    <w:rsid w:val="00AE4992"/>
  </w:style>
  <w:style w:type="paragraph" w:styleId="Textodenotaderodap">
    <w:name w:val="footnote text"/>
    <w:basedOn w:val="Normal"/>
    <w:link w:val="TextodenotaderodapChar"/>
    <w:uiPriority w:val="99"/>
    <w:semiHidden/>
    <w:unhideWhenUsed/>
    <w:rsid w:val="00AE49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4992"/>
    <w:rPr>
      <w:sz w:val="20"/>
      <w:szCs w:val="20"/>
    </w:rPr>
  </w:style>
  <w:style w:type="character" w:styleId="Refdenotaderodap">
    <w:name w:val="footnote reference"/>
    <w:basedOn w:val="Fontepargpadro"/>
    <w:uiPriority w:val="99"/>
    <w:semiHidden/>
    <w:unhideWhenUsed/>
    <w:rsid w:val="00AE4992"/>
    <w:rPr>
      <w:vertAlign w:val="superscript"/>
    </w:rPr>
  </w:style>
  <w:style w:type="character" w:styleId="Hyperlink">
    <w:name w:val="Hyperlink"/>
    <w:basedOn w:val="Fontepargpadro"/>
    <w:uiPriority w:val="99"/>
    <w:unhideWhenUsed/>
    <w:rsid w:val="00AE4992"/>
    <w:rPr>
      <w:color w:val="0563C1"/>
      <w:u w:val="single"/>
    </w:rPr>
  </w:style>
  <w:style w:type="paragraph" w:styleId="Reviso">
    <w:name w:val="Revision"/>
    <w:hidden/>
    <w:uiPriority w:val="99"/>
    <w:semiHidden/>
    <w:rsid w:val="0063122E"/>
    <w:pPr>
      <w:spacing w:after="0" w:line="240" w:lineRule="auto"/>
    </w:pPr>
  </w:style>
  <w:style w:type="character" w:styleId="Refdecomentrio">
    <w:name w:val="annotation reference"/>
    <w:basedOn w:val="Fontepargpadro"/>
    <w:uiPriority w:val="99"/>
    <w:semiHidden/>
    <w:unhideWhenUsed/>
    <w:rsid w:val="00BE2F72"/>
    <w:rPr>
      <w:sz w:val="16"/>
      <w:szCs w:val="16"/>
    </w:rPr>
  </w:style>
  <w:style w:type="paragraph" w:styleId="Textodecomentrio">
    <w:name w:val="annotation text"/>
    <w:basedOn w:val="Normal"/>
    <w:link w:val="TextodecomentrioChar"/>
    <w:uiPriority w:val="99"/>
    <w:unhideWhenUsed/>
    <w:rsid w:val="00BE2F72"/>
    <w:pPr>
      <w:spacing w:line="240" w:lineRule="auto"/>
    </w:pPr>
    <w:rPr>
      <w:sz w:val="20"/>
      <w:szCs w:val="20"/>
    </w:rPr>
  </w:style>
  <w:style w:type="character" w:customStyle="1" w:styleId="TextodecomentrioChar">
    <w:name w:val="Texto de comentário Char"/>
    <w:basedOn w:val="Fontepargpadro"/>
    <w:link w:val="Textodecomentrio"/>
    <w:uiPriority w:val="99"/>
    <w:rsid w:val="00BE2F72"/>
    <w:rPr>
      <w:sz w:val="20"/>
      <w:szCs w:val="20"/>
    </w:rPr>
  </w:style>
  <w:style w:type="paragraph" w:styleId="Assuntodocomentrio">
    <w:name w:val="annotation subject"/>
    <w:basedOn w:val="Textodecomentrio"/>
    <w:next w:val="Textodecomentrio"/>
    <w:link w:val="AssuntodocomentrioChar"/>
    <w:uiPriority w:val="99"/>
    <w:semiHidden/>
    <w:unhideWhenUsed/>
    <w:rsid w:val="00BE2F72"/>
    <w:rPr>
      <w:b/>
      <w:bCs/>
    </w:rPr>
  </w:style>
  <w:style w:type="character" w:customStyle="1" w:styleId="AssuntodocomentrioChar">
    <w:name w:val="Assunto do comentário Char"/>
    <w:basedOn w:val="TextodecomentrioChar"/>
    <w:link w:val="Assuntodocomentrio"/>
    <w:uiPriority w:val="99"/>
    <w:semiHidden/>
    <w:rsid w:val="00BE2F72"/>
    <w:rPr>
      <w:b/>
      <w:bCs/>
      <w:sz w:val="20"/>
      <w:szCs w:val="20"/>
    </w:rPr>
  </w:style>
  <w:style w:type="character" w:styleId="MenoPendente">
    <w:name w:val="Unresolved Mention"/>
    <w:basedOn w:val="Fontepargpadro"/>
    <w:uiPriority w:val="99"/>
    <w:semiHidden/>
    <w:unhideWhenUsed/>
    <w:rsid w:val="00790076"/>
    <w:rPr>
      <w:color w:val="605E5C"/>
      <w:shd w:val="clear" w:color="auto" w:fill="E1DFDD"/>
    </w:rPr>
  </w:style>
  <w:style w:type="paragraph" w:styleId="Cabealho">
    <w:name w:val="header"/>
    <w:basedOn w:val="Normal"/>
    <w:link w:val="CabealhoChar"/>
    <w:uiPriority w:val="99"/>
    <w:unhideWhenUsed/>
    <w:rsid w:val="00E37652"/>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E37652"/>
  </w:style>
  <w:style w:type="paragraph" w:styleId="Rodap">
    <w:name w:val="footer"/>
    <w:basedOn w:val="Normal"/>
    <w:link w:val="RodapChar"/>
    <w:uiPriority w:val="99"/>
    <w:unhideWhenUsed/>
    <w:rsid w:val="00E37652"/>
    <w:pPr>
      <w:tabs>
        <w:tab w:val="center" w:pos="4536"/>
        <w:tab w:val="right" w:pos="9072"/>
      </w:tabs>
      <w:spacing w:after="0" w:line="240" w:lineRule="auto"/>
    </w:pPr>
  </w:style>
  <w:style w:type="character" w:customStyle="1" w:styleId="RodapChar">
    <w:name w:val="Rodapé Char"/>
    <w:basedOn w:val="Fontepargpadro"/>
    <w:link w:val="Rodap"/>
    <w:uiPriority w:val="99"/>
    <w:rsid w:val="00E3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785F-A57E-43C5-8E95-F1DC02E0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2600</Words>
  <Characters>14046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FOURCADE Mathieu</dc:creator>
  <cp:keywords/>
  <dc:description/>
  <cp:lastModifiedBy>Administrativo - 01</cp:lastModifiedBy>
  <cp:revision>2</cp:revision>
  <cp:lastPrinted>2024-01-12T14:30:00Z</cp:lastPrinted>
  <dcterms:created xsi:type="dcterms:W3CDTF">2024-01-22T19:12:00Z</dcterms:created>
  <dcterms:modified xsi:type="dcterms:W3CDTF">2024-01-22T19:12:00Z</dcterms:modified>
</cp:coreProperties>
</file>