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Raccolta di leggi e trattati internazionali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R</w:t>
      </w:r>
      <w:r>
        <w:rPr>
          <w:rFonts w:ascii="Courier New" w:hAnsi="Courier New"/>
          <w:b w:val="0"/>
          <w:sz w:val="34"/>
        </w:rPr>
        <w:t>EPUBBLICA CECA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Messa a disposizione il 5 marzo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Regolamento governativo n.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 xml:space="preserve">Regolamento governativo recante modifica del regolamento governativo </w:t>
      </w:r>
      <w:r>
        <w:br/>
        <w:t xml:space="preserve">n. 463/2013 relativo agli elenchi delle sostanze che creano dipendenza, </w:t>
      </w:r>
      <w:r>
        <w:br/>
        <w:t>come modificato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REGOLAMENTO GOVERNATIVO</w:t>
      </w:r>
      <w:r>
        <w:br/>
        <w:t>del 14 febbraio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che modifica il regolamento governativo n. 463/2013 Racc. relativo agli elenchi delle sostanze che creano dipendenza, come modificato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Ai sensi dell'articolo 44 quater, paragrafi 1 e 2, della legge n. 167/1998 Racc. sulle sostanze che creano dipendenza e sulle modifiche a talune altre leggi, modificata dalla legge n. 273/2013 Racc. e dalla legge n. 366/2021 Racc.: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Articolo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Il regolamento governativo n. 463/2013 relativo agli elenchi delle sostanze che creano dipendenza, modificato dal regolamento governativo n. 243/2015, dal regolamento governativo n. 46/2017, dal regolamento governativo n. 30/2018, dal regolamento governativo n. 242/2018, dal regolamento governativo n. 184/2021, dal regolamento governativo n. 159/2022 e dal regolamento governativo n. 228/2023, è modificato come segue: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Nella tabella dell'allegato 4, una nuova riga è inserita sotto la riga in cui il testo "FUB-PB-22" figura nella colonna intitolata "Altra denominazione comune internazionale (DCI)", che nella colonna intitolata "Altra denominazione comune internazionale (DCI) in lingua ceca/denominazione comune" contiene il termine "</w:t>
      </w:r>
      <w:proofErr w:type="spellStart"/>
      <w:r>
        <w:t>esaidrocannabinolo</w:t>
      </w:r>
      <w:proofErr w:type="spellEnd"/>
      <w:r>
        <w:t>", nella colonna intitolata "Altra denominazione comune internazionale o altra denominazione comune" contiene il testo "HHC", nella colonna intitolata "Denominazione chimica IUPAC" contiene il termine "(6aR,10aR)-6,6,9-trimetil-3-pentil-6a,7,8,9,10a-esaidrobenzo[c]cromen-1-olo" e nella colonna intitolata "Nota" riporta le diciture "Ad eccezione dell'HHC se è contenuto in una pianta di canapa tecnica, in canapa tecnica, in un estratto e una tintura di canapa e in una preparazione di canapa tecnica in quantità inferiori allo 0,3 %. Tale esenzione non si applica ai prodotti alimentari.".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Nella tabella dell'allegato 4, una nuova riga è inserita sopra la riga in cui la colonna intitolata "Denominazione comune internazionale (DCI) in lingua ceca/denominazione comune" contiene il termine "</w:t>
      </w:r>
      <w:proofErr w:type="spellStart"/>
      <w:r>
        <w:t>esedrone</w:t>
      </w:r>
      <w:proofErr w:type="spellEnd"/>
      <w:r>
        <w:t>", che nella colonna intitolata "Denominazione comune internazionale (DCI) in lingua ceca/denominazione comune" contiene il termine "</w:t>
      </w:r>
      <w:proofErr w:type="spellStart"/>
      <w:r>
        <w:t>esaidrocannabinol</w:t>
      </w:r>
      <w:proofErr w:type="spellEnd"/>
      <w:r>
        <w:t>-O-acetato", nella colonna intitolata "Altra denominazione comune internazionale o altra denominazione comune" contiene le parole "HHC-acetato, HHC-O", nella colonna intitolata "Denominazione chimica IUPAC" contiene il termine "[(6aR,10aR)-6,6,9-trimetil-3-pentil-6a,7,8,9,10a-esaidrobenzo[c]cromen-1-il] acetato".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Nella tabella dell'allegato 4, una nuova riga è inserita sopra la riga in cui la colonna intitolata "Denominazione comune internazionale (DCI) in lingua ceca/denominazione comune" contiene il termine "tetraidrocannabinolo", che nella colonna intitolata "Denominazione comune internazionale (DCI) in lingua ceca/denominazione comune" contiene il termine "</w:t>
      </w:r>
      <w:proofErr w:type="spellStart"/>
      <w:r>
        <w:t>tetraidrocannabifolo</w:t>
      </w:r>
      <w:proofErr w:type="spellEnd"/>
      <w:r>
        <w:t>", nella colonna intitolata "Altra denominazione comune internazionale (DCI) o altra denominazione comune" contiene il termine "THCP", nella colonna intitolata "Denominazione chimica IUPAC" contiene il termine "(6aR,10aR)-3-eptil-6,6,9-trimetil-6a,7,8,10a-tetraidrobenzo[c]cromen-1-olo" e nella colonna intitolata "Nota" riporta le diciture "Ad eccezione dell'HHC se è contenuto in una pianta di canapa tecnica, in canapa tecnica, in un estratto e una tintura di canapa e in una preparazione di canapa tecnica in quantità inferiori allo 0,3 %. Tale esenzione non si applica ai prodotti alimentari.".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Nella tabella dell'allegato 4, le righe contenenti i termini "</w:t>
      </w:r>
      <w:proofErr w:type="spellStart"/>
      <w:r>
        <w:t>esaidrocannabinolo</w:t>
      </w:r>
      <w:proofErr w:type="spellEnd"/>
      <w:r>
        <w:t>", "</w:t>
      </w:r>
      <w:proofErr w:type="spellStart"/>
      <w:r>
        <w:t>Esaidrocannabinolo</w:t>
      </w:r>
      <w:proofErr w:type="spellEnd"/>
      <w:r>
        <w:t>-O-acetato" e il termine "</w:t>
      </w:r>
      <w:proofErr w:type="spellStart"/>
      <w:r>
        <w:t>tetraidrocannabiforolo</w:t>
      </w:r>
      <w:proofErr w:type="spellEnd"/>
      <w:r>
        <w:t xml:space="preserve">" nella colonna intitolata "Denominazione comune internazionale (DCI) nella lingua </w:t>
      </w:r>
      <w:r>
        <w:lastRenderedPageBreak/>
        <w:t>ceca/denominazione comune" sono soppresse.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t>Articolo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Regolamentazione tecnica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Il presente regolamento è stato notificato ai sensi della direttiva (UE) 2015/1535 del Parlamento europeo e del Consiglio, del 9 settembre 2015, che prevede una procedura d'informazione nel settore delle regolamentazioni tecniche e delle regole relative ai servizi della società dell'informazione.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Articolo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Validità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Il presente regolamento governativo entra in vigore il giorno successivo alla data della sua promulgazione, ad eccezione delle disposizioni dell’articolo I, punto 4, che entra in vigore il 1° gennaio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Il primo ministro: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 xml:space="preserve">prof. </w:t>
      </w:r>
      <w:proofErr w:type="spellStart"/>
      <w:r>
        <w:t>PhDr</w:t>
      </w:r>
      <w:proofErr w:type="spellEnd"/>
      <w:r>
        <w:t>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vice primo ministro e ministro della Salute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Dr.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Pr="00391B18" w:rsidRDefault="009C0046">
      <w:pPr>
        <w:pStyle w:val="Zkladntext0"/>
        <w:spacing w:after="0" w:line="240" w:lineRule="auto"/>
        <w:jc w:val="both"/>
        <w:rPr>
          <w:sz w:val="16"/>
          <w:szCs w:val="16"/>
        </w:rPr>
      </w:pPr>
      <w:r w:rsidRPr="00391B18">
        <w:rPr>
          <w:sz w:val="16"/>
          <w:szCs w:val="16"/>
        </w:rPr>
        <w:t xml:space="preserve">Pubblicato da: Ministero dell'Interno, </w:t>
      </w:r>
      <w:proofErr w:type="spellStart"/>
      <w:r w:rsidRPr="00391B18">
        <w:rPr>
          <w:sz w:val="16"/>
          <w:szCs w:val="16"/>
        </w:rPr>
        <w:t>Nad</w:t>
      </w:r>
      <w:proofErr w:type="spellEnd"/>
      <w:r w:rsidRPr="00391B18">
        <w:rPr>
          <w:sz w:val="16"/>
          <w:szCs w:val="16"/>
        </w:rPr>
        <w:t xml:space="preserve"> </w:t>
      </w:r>
      <w:proofErr w:type="spellStart"/>
      <w:r w:rsidRPr="00391B18">
        <w:rPr>
          <w:sz w:val="16"/>
          <w:szCs w:val="16"/>
        </w:rPr>
        <w:t>Štolou</w:t>
      </w:r>
      <w:proofErr w:type="spellEnd"/>
      <w:r w:rsidRPr="00391B18">
        <w:rPr>
          <w:sz w:val="16"/>
          <w:szCs w:val="16"/>
        </w:rPr>
        <w:t xml:space="preserve"> 3, casella postale 21, 170 34 Praga 7• </w:t>
      </w:r>
      <w:r w:rsidRPr="00391B18">
        <w:rPr>
          <w:b/>
          <w:sz w:val="16"/>
          <w:szCs w:val="16"/>
        </w:rPr>
        <w:t>Ufficio editoriale della Raccolta di leggi e trattati internazionali</w:t>
      </w:r>
      <w:r w:rsidRPr="00391B18">
        <w:rPr>
          <w:sz w:val="16"/>
          <w:szCs w:val="16"/>
        </w:rPr>
        <w:t xml:space="preserve">: Ministero dell'Interno, </w:t>
      </w:r>
      <w:proofErr w:type="spellStart"/>
      <w:r w:rsidRPr="00391B18">
        <w:rPr>
          <w:sz w:val="16"/>
          <w:szCs w:val="16"/>
        </w:rPr>
        <w:t>nám</w:t>
      </w:r>
      <w:proofErr w:type="spellEnd"/>
      <w:r w:rsidRPr="00391B18">
        <w:rPr>
          <w:sz w:val="16"/>
          <w:szCs w:val="16"/>
        </w:rPr>
        <w:t xml:space="preserve">. </w:t>
      </w:r>
      <w:proofErr w:type="spellStart"/>
      <w:r w:rsidRPr="00391B18">
        <w:rPr>
          <w:sz w:val="16"/>
          <w:szCs w:val="16"/>
        </w:rPr>
        <w:t>Hrdinů</w:t>
      </w:r>
      <w:proofErr w:type="spellEnd"/>
      <w:r w:rsidRPr="00391B18">
        <w:rPr>
          <w:sz w:val="16"/>
          <w:szCs w:val="16"/>
        </w:rPr>
        <w:t xml:space="preserve"> 1634/3, casella postale 155/SB, 140 21 Praga 4, telefono: 974 817 289, indirizzo e-mail:</w:t>
      </w:r>
      <w:hyperlink r:id="rId10" w:history="1">
        <w:r w:rsidRPr="00391B18">
          <w:rPr>
            <w:sz w:val="16"/>
            <w:szCs w:val="16"/>
          </w:rPr>
          <w:t xml:space="preserve"> sbirka@mvcr.cz</w:t>
        </w:r>
      </w:hyperlink>
      <w:r w:rsidRPr="00391B18">
        <w:rPr>
          <w:sz w:val="16"/>
          <w:szCs w:val="16"/>
        </w:rPr>
        <w:t xml:space="preserve"> • Tipografia: </w:t>
      </w:r>
      <w:proofErr w:type="spellStart"/>
      <w:r w:rsidRPr="00391B18">
        <w:rPr>
          <w:sz w:val="16"/>
          <w:szCs w:val="16"/>
        </w:rPr>
        <w:t>Tiskárna</w:t>
      </w:r>
      <w:proofErr w:type="spellEnd"/>
      <w:r w:rsidRPr="00391B18">
        <w:rPr>
          <w:sz w:val="16"/>
          <w:szCs w:val="16"/>
        </w:rPr>
        <w:t xml:space="preserve"> </w:t>
      </w:r>
      <w:proofErr w:type="spellStart"/>
      <w:r w:rsidRPr="00391B18">
        <w:rPr>
          <w:sz w:val="16"/>
          <w:szCs w:val="16"/>
        </w:rPr>
        <w:t>Ministerstva</w:t>
      </w:r>
      <w:proofErr w:type="spellEnd"/>
      <w:r w:rsidRPr="00391B18">
        <w:rPr>
          <w:sz w:val="16"/>
          <w:szCs w:val="16"/>
        </w:rPr>
        <w:t xml:space="preserve"> </w:t>
      </w:r>
      <w:proofErr w:type="spellStart"/>
      <w:r w:rsidRPr="00391B18">
        <w:rPr>
          <w:sz w:val="16"/>
          <w:szCs w:val="16"/>
        </w:rPr>
        <w:t>vnitra</w:t>
      </w:r>
      <w:proofErr w:type="spellEnd"/>
      <w:r w:rsidRPr="00391B18">
        <w:rPr>
          <w:sz w:val="16"/>
          <w:szCs w:val="16"/>
        </w:rPr>
        <w:t xml:space="preserve"> [stampante del ministero dell'Interno], </w:t>
      </w:r>
      <w:proofErr w:type="spellStart"/>
      <w:r w:rsidRPr="00391B18">
        <w:rPr>
          <w:sz w:val="16"/>
          <w:szCs w:val="16"/>
        </w:rPr>
        <w:t>Bartyňkova</w:t>
      </w:r>
      <w:proofErr w:type="spellEnd"/>
      <w:r w:rsidRPr="00391B18">
        <w:rPr>
          <w:sz w:val="16"/>
          <w:szCs w:val="16"/>
        </w:rPr>
        <w:t xml:space="preserve"> 1159/4, casella di posta elettronica 10, 149 00 Praga 11-Chodov • </w:t>
      </w:r>
      <w:r w:rsidRPr="00391B18">
        <w:rPr>
          <w:b/>
          <w:sz w:val="16"/>
          <w:szCs w:val="16"/>
        </w:rPr>
        <w:t xml:space="preserve">La versione elettronica giuridicamente vincolante della raccolta di leggi e trattati internazionali è disponibile all'indirizzo: </w:t>
      </w:r>
      <w:hyperlink r:id="rId11" w:history="1">
        <w:r w:rsidRPr="00391B18">
          <w:rPr>
            <w:b/>
            <w:sz w:val="16"/>
            <w:szCs w:val="16"/>
          </w:rPr>
          <w:t>www.e-sbirka.cz</w:t>
        </w:r>
      </w:hyperlink>
      <w:r w:rsidRPr="00391B18">
        <w:rPr>
          <w:b/>
          <w:sz w:val="16"/>
          <w:szCs w:val="16"/>
        </w:rPr>
        <w:t xml:space="preserve"> </w:t>
      </w:r>
      <w:r w:rsidRPr="00391B18">
        <w:rPr>
          <w:sz w:val="16"/>
          <w:szCs w:val="16"/>
        </w:rPr>
        <w:t xml:space="preserve">• Una versione cartacea di una parte della raccolta di leggi e accordi internazionali può essere ordinata dal tipografo del ministero dell'Interno, telefono: 974 887 312, e-mail: </w:t>
      </w:r>
      <w:hyperlink r:id="rId12" w:history="1">
        <w:r w:rsidRPr="00391B18">
          <w:rPr>
            <w:sz w:val="16"/>
            <w:szCs w:val="16"/>
          </w:rPr>
          <w:t>info@tmv.cz</w:t>
        </w:r>
      </w:hyperlink>
      <w:r w:rsidRPr="00391B18">
        <w:rPr>
          <w:sz w:val="16"/>
          <w:szCs w:val="16"/>
        </w:rPr>
        <w:t xml:space="preserve">, </w:t>
      </w:r>
      <w:hyperlink r:id="rId13" w:history="1">
        <w:r w:rsidRPr="00391B18">
          <w:rPr>
            <w:sz w:val="16"/>
            <w:szCs w:val="16"/>
          </w:rPr>
          <w:t>www.tmv.cz</w:t>
        </w:r>
      </w:hyperlink>
      <w:r w:rsidRPr="00391B18">
        <w:rPr>
          <w:sz w:val="16"/>
          <w:szCs w:val="16"/>
        </w:rPr>
        <w:t xml:space="preserve"> • Gli abbonamenti sono terminati a partire dal 1.1.2024.</w:t>
      </w:r>
    </w:p>
    <w:sectPr w:rsidR="00CD3059" w:rsidRPr="00391B18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1EBD" w14:textId="77777777" w:rsidR="009A3FC5" w:rsidRDefault="009A3FC5">
      <w:r>
        <w:separator/>
      </w:r>
    </w:p>
  </w:endnote>
  <w:endnote w:type="continuationSeparator" w:id="0">
    <w:p w14:paraId="7849170B" w14:textId="77777777" w:rsidR="009A3FC5" w:rsidRDefault="009A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CE58" w14:textId="77777777" w:rsidR="009A3FC5" w:rsidRDefault="009A3FC5"/>
  </w:footnote>
  <w:footnote w:type="continuationSeparator" w:id="0">
    <w:p w14:paraId="78C1A3D8" w14:textId="77777777" w:rsidR="009A3FC5" w:rsidRDefault="009A3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Legge n.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Legge n.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Legge n. 52/2024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Legge n. 52/2024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391B18"/>
    <w:rsid w:val="009A3FC5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4978</Characters>
  <Application>Microsoft Office Word</Application>
  <DocSecurity>0</DocSecurity>
  <Lines>76</Lines>
  <Paragraphs>31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2024-05-16T11:51:00Z</dcterms:created>
  <dcterms:modified xsi:type="dcterms:W3CDTF">2024-05-16T11:51:00Z</dcterms:modified>
</cp:coreProperties>
</file>