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4713" w14:textId="7C759C20" w:rsidR="005852AA" w:rsidRDefault="006F1799" w:rsidP="00F9086F">
      <w:pPr>
        <w:tabs>
          <w:tab w:val="center" w:pos="4818"/>
          <w:tab w:val="right" w:pos="9922"/>
        </w:tabs>
        <w:spacing w:after="400" w:line="355" w:lineRule="auto"/>
        <w:ind w:left="-14" w:right="-14" w:firstLine="0"/>
        <w:jc w:val="left"/>
      </w:pPr>
      <w:r>
        <w:rPr>
          <w:noProof/>
        </w:rPr>
        <w:drawing>
          <wp:anchor distT="0" distB="0" distL="114300" distR="114300" simplePos="0" relativeHeight="251658240" behindDoc="1" locked="0" layoutInCell="1" allowOverlap="0" wp14:anchorId="704260B9" wp14:editId="032338E6">
            <wp:simplePos x="0" y="0"/>
            <wp:positionH relativeFrom="column">
              <wp:posOffset>-629920</wp:posOffset>
            </wp:positionH>
            <wp:positionV relativeFrom="paragraph">
              <wp:posOffset>-541655</wp:posOffset>
            </wp:positionV>
            <wp:extent cx="7562164" cy="10694162"/>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62164" cy="10694162"/>
                    </a:xfrm>
                    <a:prstGeom prst="rect">
                      <a:avLst/>
                    </a:prstGeom>
                  </pic:spPr>
                </pic:pic>
              </a:graphicData>
            </a:graphic>
          </wp:anchor>
        </w:drawing>
      </w:r>
      <w:r w:rsidR="00F9086F">
        <w:rPr>
          <w:rFonts w:ascii="Calibri" w:hAnsi="Calibri"/>
          <w:sz w:val="16"/>
        </w:rPr>
        <w:t xml:space="preserve">2024 m. rugsėjo 27 d. </w:t>
      </w:r>
      <w:r w:rsidR="00F9086F">
        <w:rPr>
          <w:rFonts w:ascii="Calibri" w:hAnsi="Calibri"/>
          <w:sz w:val="16"/>
        </w:rPr>
        <w:tab/>
      </w:r>
      <w:r w:rsidR="00F9086F">
        <w:rPr>
          <w:rFonts w:ascii="Calibri" w:hAnsi="Calibri"/>
          <w:color w:val="0060B0"/>
          <w:sz w:val="18"/>
        </w:rPr>
        <w:t>PRANCŪZIJOS RESPUBLIKOS OFICIALUSIS LEIDINYS</w:t>
      </w:r>
      <w:r w:rsidR="00F9086F">
        <w:rPr>
          <w:rFonts w:ascii="Calibri" w:hAnsi="Calibri"/>
          <w:color w:val="0060B0"/>
          <w:sz w:val="18"/>
        </w:rPr>
        <w:tab/>
      </w:r>
      <w:r w:rsidR="00F9086F">
        <w:rPr>
          <w:rFonts w:ascii="Calibri" w:hAnsi="Calibri"/>
          <w:sz w:val="16"/>
        </w:rPr>
        <w:t xml:space="preserve">38 dokumentas iš 87 </w:t>
      </w:r>
    </w:p>
    <w:p w14:paraId="43384F5C" w14:textId="4370BC30" w:rsidR="005852AA" w:rsidRDefault="00F9086F">
      <w:pPr>
        <w:pStyle w:val="Heading1"/>
      </w:pPr>
      <w:r>
        <w:t>Audiovizualinės ir skaitmeninės komunikacijos</w:t>
      </w:r>
      <w:r>
        <w:br/>
        <w:t>reguliavimo</w:t>
      </w:r>
      <w:r>
        <w:br/>
        <w:t xml:space="preserve">institucijos </w:t>
      </w:r>
    </w:p>
    <w:p w14:paraId="624963BF" w14:textId="77777777" w:rsidR="005852AA" w:rsidRDefault="00F9086F">
      <w:pPr>
        <w:spacing w:after="224" w:line="216" w:lineRule="auto"/>
        <w:ind w:right="1" w:hanging="215"/>
      </w:pPr>
      <w:r>
        <w:rPr>
          <w:rFonts w:ascii="Calibri" w:hAnsi="Calibri"/>
          <w:b/>
          <w:color w:val="5C5D61"/>
        </w:rPr>
        <w:t xml:space="preserve">2024 m. rugsėjo 25 d. Svarstymas Nr. 2024-19 dėl tinkamų bendrojo intereso paslaugų matomumo priemonių ir 1986 m. rugsėjo 30 d. Įstatymo Nr. 86-1067 dėl komunikacijos laisvės 20-7 straipsnyje nurodytos informacijos rinkimo tvarkos </w:t>
      </w:r>
    </w:p>
    <w:p w14:paraId="348482BC" w14:textId="77777777" w:rsidR="005852AA" w:rsidRDefault="00F9086F">
      <w:pPr>
        <w:spacing w:after="430" w:line="259" w:lineRule="auto"/>
        <w:ind w:left="0" w:firstLine="0"/>
        <w:jc w:val="center"/>
      </w:pPr>
      <w:r>
        <w:rPr>
          <w:rFonts w:ascii="Calibri" w:hAnsi="Calibri"/>
          <w:color w:val="2053A6"/>
          <w:sz w:val="16"/>
        </w:rPr>
        <w:t xml:space="preserve">NOR: </w:t>
      </w:r>
      <w:r>
        <w:rPr>
          <w:rFonts w:ascii="Calibri" w:hAnsi="Calibri"/>
          <w:i/>
          <w:sz w:val="16"/>
        </w:rPr>
        <w:t xml:space="preserve">RCAC2425589X </w:t>
      </w:r>
    </w:p>
    <w:p w14:paraId="5A9832CC" w14:textId="77777777" w:rsidR="005852AA" w:rsidRDefault="00F9086F">
      <w:pPr>
        <w:spacing w:after="91"/>
        <w:ind w:firstLine="0"/>
      </w:pPr>
      <w:r>
        <w:t xml:space="preserve">„Audiovizualinės ir skaitmeninės komunikacijos reguliavimo institucija, </w:t>
      </w:r>
    </w:p>
    <w:p w14:paraId="1BE1A769" w14:textId="77777777" w:rsidR="005852AA" w:rsidRDefault="00F9086F">
      <w:pPr>
        <w:spacing w:after="40"/>
        <w:ind w:left="-15"/>
      </w:pPr>
      <w:r>
        <w:t>atsižvelgdama į 2010 m. kovo 10 d. Europos Parlamento ir Tarybos direktyvą (ES) 2010/13 dėl valstybių narių įstatymuose ir kituose teisės aktuose išdėstytų tam tikrų nuostatų, susijusių su audiovizualinės žiniasklaidos paslaugų teikimu, derinimo (Audiovizualinės žiniasklaidos paslaugų direktyva), iš dalies pakeistą 2018 m. lapkričio 14 d. Europos Parlamento ir Tarybos direktyva 2018/1808, ypač į jos 4 straipsnio 7 ir 7</w:t>
      </w:r>
      <w:r>
        <w:rPr>
          <w:i/>
        </w:rPr>
        <w:t>a</w:t>
      </w:r>
      <w:r>
        <w:t xml:space="preserve"> dalį bei į Direktyvos (ES) 2018/1808 25 konstatuojamąją dalį, </w:t>
      </w:r>
    </w:p>
    <w:p w14:paraId="3AE01ED1" w14:textId="77777777" w:rsidR="005852AA" w:rsidRDefault="00F9086F">
      <w:pPr>
        <w:ind w:left="-15"/>
      </w:pPr>
      <w:r>
        <w:t xml:space="preserve">atsižvelgdama į 2015 m. rugsėjo 9 d. Europos Parlamento ir Tarybos direktyvą (ES) 2015/1535, kuria nustatoma informacijos apie techninius reglamentus ir informacinės visuomenės paslaugų taisykles teikimo tvarka, ir į 2024 m. vasario 20 d. pranešimą Nr. 2024/0093/FR, </w:t>
      </w:r>
    </w:p>
    <w:p w14:paraId="430B1031" w14:textId="77777777" w:rsidR="005852AA" w:rsidRDefault="00F9086F">
      <w:pPr>
        <w:spacing w:after="23"/>
        <w:ind w:left="-15"/>
      </w:pPr>
      <w:r>
        <w:t xml:space="preserve">atsižvelgdama į 2022 m. spalio 19 d. Europos Parlamento ir Tarybos reglamentą (ES) 2022/2065 dėl bendrosios skaitmeninių paslaugų rinkos, kuriuo iš dalies keičiama Direktyva 2000/31/EB (Skaitmeninių paslaugų įstatymas), ypač į jo 27 straipsnį; </w:t>
      </w:r>
    </w:p>
    <w:p w14:paraId="1A790098" w14:textId="77777777" w:rsidR="005852AA" w:rsidRDefault="00F9086F">
      <w:pPr>
        <w:spacing w:after="27"/>
        <w:ind w:left="-15"/>
      </w:pPr>
      <w:r>
        <w:t xml:space="preserve">atsižvelgdama į 1986 m. rugsėjo 30 d. Įstatymą Nr. 86-1067 dėl komunikacijos laisvės su pakeitimais, ypač į jo 20-7 straipsnį, </w:t>
      </w:r>
    </w:p>
    <w:p w14:paraId="2F188410" w14:textId="77777777" w:rsidR="005852AA" w:rsidRDefault="00F9086F">
      <w:pPr>
        <w:spacing w:after="38"/>
        <w:ind w:left="-15"/>
      </w:pPr>
      <w:r>
        <w:t xml:space="preserve">atsižvelgdama į 2022 m. gruodžio 7 d. Dekretą Nr. 2022-1541, kuriuo įgyvendinamas 1986 m. rugsėjo 30 d. Įstatymo Nr. 86-1067 dėl komunikacijos laisvės 20-7 straipsnis, nustatantis aktyvinimo ribas ir terminą, per kurį turi būti taikomas įpareigojimas teikti bendrojo intereso paslaugas, </w:t>
      </w:r>
    </w:p>
    <w:p w14:paraId="5A8F202B" w14:textId="77777777" w:rsidR="005852AA" w:rsidRDefault="00F9086F">
      <w:pPr>
        <w:spacing w:after="182"/>
        <w:ind w:left="-15"/>
      </w:pPr>
      <w:r>
        <w:t xml:space="preserve">atsižvelgdama į viešų konsultacijų, kurias nuo 2023 m. kovo 14 d. iki 2023 m. balandžio 21 d. vykdė Audiovizualinės ir skaitmeninės komunikacijos reguliavimo institucija, atsakymus dėl svarstymo dėl tinkamų bendrojo intereso paslaugų matomumo priemonių pagal minėto 1986 m. rugsėjo 30 d. Įstatymo 20-7 straipsnį projekto, </w:t>
      </w:r>
    </w:p>
    <w:p w14:paraId="3FD200F7" w14:textId="77777777" w:rsidR="005852AA" w:rsidRDefault="00F9086F">
      <w:pPr>
        <w:spacing w:after="91"/>
        <w:ind w:firstLine="0"/>
      </w:pPr>
      <w:r>
        <w:t xml:space="preserve">kadangi: </w:t>
      </w:r>
    </w:p>
    <w:p w14:paraId="767BDA6B" w14:textId="77777777" w:rsidR="005852AA" w:rsidRDefault="00F9086F">
      <w:pPr>
        <w:numPr>
          <w:ilvl w:val="0"/>
          <w:numId w:val="1"/>
        </w:numPr>
        <w:spacing w:after="25"/>
      </w:pPr>
      <w:r>
        <w:t xml:space="preserve">Pliuralizmo gynimas ir kultūrinės įvairovės skatinimas yra ES teisėje pripažinti bendrojo intereso tikslai. </w:t>
      </w:r>
    </w:p>
    <w:p w14:paraId="08774125" w14:textId="77777777" w:rsidR="005852AA" w:rsidRDefault="00F9086F">
      <w:pPr>
        <w:numPr>
          <w:ilvl w:val="0"/>
          <w:numId w:val="1"/>
        </w:numPr>
      </w:pPr>
      <w:r>
        <w:t xml:space="preserve">1986 m. rugsėjo 30 d. Įstatymo Nr. 86-1067 20-7 straipsnio II dalyje numatyta, kad Audiovizualinės ir skaitmeninės komunikacijos reguliavimo institucija nustato priemones, kuriomis užtikrinamas tinkamas bendrojo intereso paslaugų matomumas to paties straipsnio I dalyje apibrėžtose naudotojų sąsajose. Joje taip pat numatyta, kad </w:t>
      </w:r>
      <w:r>
        <w:rPr>
          <w:i/>
        </w:rPr>
        <w:t xml:space="preserve">„atsižvelgiant į naudotojų specializuotas parinktis, tinkamas matomumas gali būti užtikrintas visų pirma išryškinant: </w:t>
      </w:r>
    </w:p>
    <w:p w14:paraId="620AEF19" w14:textId="77777777" w:rsidR="005852AA" w:rsidRDefault="00F9086F">
      <w:pPr>
        <w:spacing w:after="34" w:line="259" w:lineRule="auto"/>
        <w:ind w:left="210" w:hanging="10"/>
        <w:jc w:val="left"/>
      </w:pPr>
      <w:r>
        <w:rPr>
          <w:i/>
        </w:rPr>
        <w:t xml:space="preserve">(1) Pradžios tinklalapyje arba ekrane; </w:t>
      </w:r>
    </w:p>
    <w:p w14:paraId="588376EF" w14:textId="77777777" w:rsidR="005852AA" w:rsidRDefault="00F9086F">
      <w:pPr>
        <w:spacing w:after="34" w:line="259" w:lineRule="auto"/>
        <w:ind w:left="210" w:hanging="10"/>
        <w:jc w:val="left"/>
      </w:pPr>
      <w:r>
        <w:rPr>
          <w:i/>
        </w:rPr>
        <w:t xml:space="preserve">(2) Rekomendacijose naudotojams; </w:t>
      </w:r>
    </w:p>
    <w:p w14:paraId="46769B65" w14:textId="77777777" w:rsidR="005852AA" w:rsidRDefault="00F9086F">
      <w:pPr>
        <w:spacing w:after="0" w:line="259" w:lineRule="auto"/>
        <w:ind w:left="210" w:hanging="10"/>
        <w:jc w:val="left"/>
      </w:pPr>
      <w:r>
        <w:rPr>
          <w:i/>
        </w:rPr>
        <w:t xml:space="preserve">(3) Naudotojo inicijuotų paieškų rezultatuose; </w:t>
      </w:r>
    </w:p>
    <w:p w14:paraId="4F345319" w14:textId="77777777" w:rsidR="005852AA" w:rsidRDefault="00F9086F">
      <w:pPr>
        <w:spacing w:after="34" w:line="259" w:lineRule="auto"/>
        <w:ind w:left="0" w:firstLine="215"/>
        <w:jc w:val="left"/>
      </w:pPr>
      <w:r>
        <w:rPr>
          <w:i/>
        </w:rPr>
        <w:t xml:space="preserve">(4) Įrangos nuotolinio valdymo įtaisuose, suteikiančiuose prieigą prie audiovizualinės komunikacijos paslaugų. </w:t>
      </w:r>
    </w:p>
    <w:p w14:paraId="2564C505" w14:textId="77777777" w:rsidR="005852AA" w:rsidRDefault="00F9086F">
      <w:pPr>
        <w:spacing w:after="0" w:line="259" w:lineRule="auto"/>
        <w:ind w:left="210" w:hanging="10"/>
        <w:jc w:val="left"/>
      </w:pPr>
      <w:r>
        <w:rPr>
          <w:i/>
        </w:rPr>
        <w:t xml:space="preserve">Pasirinktas pristatymo būdas taip pat turi užtikrinti siūlomos paslaugos leidėjo identifikavimą.“ </w:t>
      </w:r>
    </w:p>
    <w:p w14:paraId="25E7099D" w14:textId="77777777" w:rsidR="005852AA" w:rsidRDefault="00F9086F">
      <w:pPr>
        <w:spacing w:after="40"/>
        <w:ind w:left="-15"/>
      </w:pPr>
      <w:r>
        <w:t xml:space="preserve">1986 m. rugsėjo 30 d. Įstatymo Nr. 86-1067 20-7 straipsnio III dalyje taip pat numatyta, kad institucija nustato tvarką, pagal kurią naudotojų sąsajų operatoriai praneša jai apie priemones, kurias jie įgyvendina, kad užtikrintų šį matomumą. </w:t>
      </w:r>
    </w:p>
    <w:p w14:paraId="2B6899BD" w14:textId="77777777" w:rsidR="005852AA" w:rsidRDefault="00F9086F">
      <w:pPr>
        <w:numPr>
          <w:ilvl w:val="0"/>
          <w:numId w:val="1"/>
        </w:numPr>
        <w:spacing w:after="40"/>
      </w:pPr>
      <w:r>
        <w:t xml:space="preserve">Šio nutarimo tikslas – nustatyti priemones, kuriomis, viena vertus, sąsajų pradžios tinklalapiuose ir, kita vertus, rekomendacijose naudotojams ir naudotojo inicijuotų paieškų rezultatuose turėtų būti užtikrintas tinkamas bendrojo intereso paslaugų matomumas. </w:t>
      </w:r>
    </w:p>
    <w:p w14:paraId="66DEA8FF" w14:textId="77777777" w:rsidR="005852AA" w:rsidRDefault="00F9086F">
      <w:pPr>
        <w:numPr>
          <w:ilvl w:val="0"/>
          <w:numId w:val="1"/>
        </w:numPr>
        <w:spacing w:after="34"/>
      </w:pPr>
      <w:r>
        <w:t xml:space="preserve">Jame taip pat nustatoma 20-7 straipsnio III dalyje nurodytų ataskaitų teikimo tvarka. </w:t>
      </w:r>
    </w:p>
    <w:p w14:paraId="07062777" w14:textId="77F13B1C" w:rsidR="005852AA" w:rsidRDefault="00F9086F">
      <w:pPr>
        <w:numPr>
          <w:ilvl w:val="0"/>
          <w:numId w:val="1"/>
        </w:numPr>
      </w:pPr>
      <w:r>
        <w:t xml:space="preserve">Dėl įrangos, kuri rinkai jau buvo pateikta iki šio nutarimo paskelbimo dienos, Institucija, vertindama atitiktį šiam nutarimui, atsižvelgs į terminus, per kuriuos sąsajos operatoriams gali reikėti užtikrinti, kad tokia įranga atitiktų 20-7 straipsnyje nustatytus įpareigojimus, ir, jei taikoma, į visus technologinius trūkumus arba didelius aplinkos apsaugos apribojimus, kurie yra įrodyti ir pagrįsti. Tinkamai apsvarsčiusi, </w:t>
      </w:r>
    </w:p>
    <w:p w14:paraId="5E6DA3A9" w14:textId="77098005" w:rsidR="00F9086F" w:rsidRDefault="006F1799">
      <w:pPr>
        <w:spacing w:after="160" w:line="259" w:lineRule="auto"/>
        <w:ind w:left="0" w:firstLine="0"/>
        <w:jc w:val="left"/>
        <w:rPr>
          <w:rFonts w:ascii="Calibri" w:hAnsi="Calibri"/>
          <w:sz w:val="16"/>
        </w:rPr>
      </w:pPr>
      <w:r>
        <w:rPr>
          <w:noProof/>
        </w:rPr>
        <w:lastRenderedPageBreak/>
        <w:drawing>
          <wp:anchor distT="0" distB="0" distL="114300" distR="114300" simplePos="0" relativeHeight="251659264" behindDoc="1" locked="0" layoutInCell="1" allowOverlap="0" wp14:anchorId="48D9C8C9" wp14:editId="36C524CB">
            <wp:simplePos x="0" y="0"/>
            <wp:positionH relativeFrom="column">
              <wp:posOffset>-629920</wp:posOffset>
            </wp:positionH>
            <wp:positionV relativeFrom="paragraph">
              <wp:posOffset>-262255</wp:posOffset>
            </wp:positionV>
            <wp:extent cx="7562164" cy="10694162"/>
            <wp:effectExtent l="0" t="0" r="0" b="0"/>
            <wp:wrapNone/>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5"/>
                    <a:stretch>
                      <a:fillRect/>
                    </a:stretch>
                  </pic:blipFill>
                  <pic:spPr>
                    <a:xfrm>
                      <a:off x="0" y="0"/>
                      <a:ext cx="7562164" cy="10694162"/>
                    </a:xfrm>
                    <a:prstGeom prst="rect">
                      <a:avLst/>
                    </a:prstGeom>
                  </pic:spPr>
                </pic:pic>
              </a:graphicData>
            </a:graphic>
          </wp:anchor>
        </w:drawing>
      </w:r>
    </w:p>
    <w:p w14:paraId="1224B821" w14:textId="56F05EB1" w:rsidR="005852AA" w:rsidRDefault="00F9086F">
      <w:pPr>
        <w:tabs>
          <w:tab w:val="center" w:pos="4818"/>
          <w:tab w:val="right" w:pos="9922"/>
        </w:tabs>
        <w:spacing w:after="420" w:line="356" w:lineRule="auto"/>
        <w:ind w:left="-15" w:right="-15" w:firstLine="0"/>
        <w:jc w:val="left"/>
      </w:pPr>
      <w:r>
        <w:rPr>
          <w:rFonts w:ascii="Calibri" w:hAnsi="Calibri"/>
          <w:sz w:val="16"/>
        </w:rPr>
        <w:t xml:space="preserve">2024 m. rugsėjo 27 d. </w:t>
      </w:r>
      <w:r>
        <w:rPr>
          <w:rFonts w:ascii="Calibri" w:hAnsi="Calibri"/>
          <w:sz w:val="16"/>
        </w:rPr>
        <w:tab/>
      </w:r>
      <w:r>
        <w:rPr>
          <w:rFonts w:ascii="Calibri" w:hAnsi="Calibri"/>
          <w:color w:val="0060B0"/>
          <w:sz w:val="18"/>
        </w:rPr>
        <w:t>PRANCŪZIJOS RESPUBLIKOS OFICIALUSIS LEIDINYS</w:t>
      </w:r>
      <w:r>
        <w:rPr>
          <w:rFonts w:ascii="Calibri" w:hAnsi="Calibri"/>
          <w:color w:val="0060B0"/>
          <w:sz w:val="18"/>
        </w:rPr>
        <w:tab/>
      </w:r>
      <w:r>
        <w:rPr>
          <w:rFonts w:ascii="Calibri" w:hAnsi="Calibri"/>
          <w:sz w:val="16"/>
        </w:rPr>
        <w:t xml:space="preserve">38 dokumentas iš 87 </w:t>
      </w:r>
    </w:p>
    <w:p w14:paraId="25B890CC" w14:textId="77777777" w:rsidR="005852AA" w:rsidRDefault="00F9086F">
      <w:pPr>
        <w:spacing w:after="170"/>
        <w:ind w:left="1077" w:firstLine="0"/>
      </w:pPr>
      <w:r>
        <w:t xml:space="preserve">Nusprendžia: </w:t>
      </w:r>
    </w:p>
    <w:p w14:paraId="3497AE8A" w14:textId="77777777" w:rsidR="005852AA" w:rsidRDefault="00F9086F">
      <w:pPr>
        <w:pStyle w:val="Heading2"/>
      </w:pPr>
      <w:r>
        <w:rPr>
          <w:sz w:val="23"/>
        </w:rPr>
        <w:t>I</w:t>
      </w:r>
      <w:r>
        <w:t xml:space="preserve"> SKYRIU</w:t>
      </w:r>
      <w:r>
        <w:rPr>
          <w:sz w:val="23"/>
        </w:rPr>
        <w:t xml:space="preserve">S </w:t>
      </w:r>
    </w:p>
    <w:p w14:paraId="3A0FA219" w14:textId="77777777" w:rsidR="005852AA" w:rsidRDefault="00F9086F">
      <w:pPr>
        <w:pStyle w:val="Heading3"/>
      </w:pPr>
      <w:r>
        <w:t xml:space="preserve">SĄLYGOS, KURIOMIS UŽTIKRINAMAS TINKAMAS BENDROJO INTERESO PASLAUGŲ MATOMUMAS </w:t>
      </w:r>
    </w:p>
    <w:p w14:paraId="04CA7B3E" w14:textId="77777777" w:rsidR="005852AA" w:rsidRDefault="00F9086F">
      <w:pPr>
        <w:spacing w:after="18"/>
        <w:ind w:left="-15"/>
      </w:pPr>
      <w:r>
        <w:rPr>
          <w:rFonts w:ascii="Calibri" w:hAnsi="Calibri"/>
          <w:b/>
          <w:sz w:val="20"/>
        </w:rPr>
        <w:t xml:space="preserve">1 straipsnis. – </w:t>
      </w:r>
      <w:r>
        <w:t xml:space="preserve">Operacijų, būtinų tam, kad naudotojas galėtų naudotis bendrojo intereso paslauga arba aplinka, kurioje grupuojamos bendrojo intereso paslaugos, skaičius negali būti didesnis arba jos negali būti labiau ribojamojo pobūdžio nei tos, kurios būtinos norint gauti bet kurią kitą audiovizualinės komunikacijos paslaugą, prieinamą iš sąsajos, atsižvelgiant į pasekmes, kai tai atliekama pagal užsakymą vien naudotojo iniciatyva, kaip visų pirma numatyta pagal Europos skaitmeninių paslaugų įstatymo 27 straipsnį nustatytose priemonėse. </w:t>
      </w:r>
    </w:p>
    <w:p w14:paraId="66E6AB0D" w14:textId="77777777" w:rsidR="005852AA" w:rsidRDefault="00F9086F">
      <w:pPr>
        <w:ind w:left="-15"/>
      </w:pPr>
      <w:r>
        <w:t xml:space="preserve">Šių principų taip pat turi būti laikomasi, kai naudotojas turi prieigą prie programos, susijusios su bendrojo intereso paslauga. </w:t>
      </w:r>
    </w:p>
    <w:p w14:paraId="3A3CEE09" w14:textId="77777777" w:rsidR="005852AA" w:rsidRDefault="00F9086F">
      <w:pPr>
        <w:ind w:left="-15"/>
      </w:pPr>
      <w:r>
        <w:rPr>
          <w:rFonts w:ascii="Calibri" w:hAnsi="Calibri"/>
          <w:b/>
          <w:sz w:val="20"/>
        </w:rPr>
        <w:t xml:space="preserve">2 straipsnis. – </w:t>
      </w:r>
      <w:r>
        <w:t xml:space="preserve">Naudotojo sąsajoje bendrojo intereso paslaugos arba jas grupuojantis aplinkos prieigos taškas turi būti toje pačioje vietoje kaip ir dažniausiai rodomos paslaugos. </w:t>
      </w:r>
    </w:p>
    <w:p w14:paraId="4E84A0B7" w14:textId="77777777" w:rsidR="005852AA" w:rsidRDefault="00F9086F">
      <w:pPr>
        <w:spacing w:after="18"/>
        <w:ind w:left="-15"/>
      </w:pPr>
      <w:r>
        <w:rPr>
          <w:rFonts w:ascii="Calibri" w:hAnsi="Calibri"/>
          <w:b/>
          <w:sz w:val="20"/>
        </w:rPr>
        <w:t xml:space="preserve">3 straipsnis. – </w:t>
      </w:r>
      <w:r>
        <w:t xml:space="preserve">Naudotojų atliktų paieškų rezultatuose ir jiems skirtose rekomendacijose bendrojo intereso paslaugoms ir jų programoms taikomos sąžiningos ir nediskriminacinės sąlygos kitų paslaugų ir programų atžvilgiu; jas nustato leidėjas. </w:t>
      </w:r>
    </w:p>
    <w:p w14:paraId="51167754" w14:textId="77777777" w:rsidR="005852AA" w:rsidRDefault="00F9086F">
      <w:pPr>
        <w:ind w:left="-15"/>
      </w:pPr>
      <w:r>
        <w:t xml:space="preserve">Naudotojų atliktų paieškų, aiškiai susijusių su bendrojo intereso paslauga arba viena iš jos programų, nepažeidžiant pagal Europos skaitmeninių paslaugų įstatymo 27 straipsnį numatytų priemonių, rezultatuose naudotojų sąsajos pirmiausia parodo iš jų kylančią paslaugą ar programą, kurios srautą tiesiogiai teikia tos paslaugos leidėjas arba viena iš jo patronuojamųjų įmonių ar bendrovė, kontroliuojanti leidėją, kaip apibrėžta 1986 m. rugsėjo 30 d. Įstatymo 41-3 straipsnio 2 punkte, išskyrus atvejus, kai leidėjas ir sąsajos operatorius aiškiai susitaria dėl konkrečių sąlygų. </w:t>
      </w:r>
    </w:p>
    <w:p w14:paraId="65ECAC1A" w14:textId="77777777" w:rsidR="005852AA" w:rsidRDefault="00F9086F">
      <w:pPr>
        <w:ind w:left="-15"/>
      </w:pPr>
      <w:r>
        <w:rPr>
          <w:rFonts w:ascii="Calibri" w:hAnsi="Calibri"/>
          <w:b/>
          <w:sz w:val="20"/>
        </w:rPr>
        <w:t xml:space="preserve">4 straipsnis. - </w:t>
      </w:r>
      <w:r>
        <w:t xml:space="preserve">1–3 straipsnių nuostatos taikomos naudotojų sąsajoms, kurių operatoriai yra įsisteigę Prancūzijos teritorijoje arba už Europos Sąjungos ribų ir kurios yra įtrauktos į kasmet institucijos skelbiamą sąrašą. </w:t>
      </w:r>
    </w:p>
    <w:p w14:paraId="43935270" w14:textId="5B3ABA4A" w:rsidR="005852AA" w:rsidRDefault="00F9086F">
      <w:pPr>
        <w:spacing w:after="174"/>
        <w:ind w:left="-15"/>
      </w:pPr>
      <w:r>
        <w:rPr>
          <w:rFonts w:ascii="Calibri" w:hAnsi="Calibri"/>
          <w:b/>
          <w:sz w:val="20"/>
        </w:rPr>
        <w:t xml:space="preserve">5 straipsnis. – </w:t>
      </w:r>
      <w:r>
        <w:t xml:space="preserve">Kiekvienu konkrečiu atveju išnagrinėjusi kitoje Sąjungos valstybėje narėje įsisteigusio ir į pirmiau nurodytą sąrašą įtraukto paslaugų teikėjo naudotojo sąsajoje siūlomų bendrojo intereso paslaugų matomumo sąlygas, institucija gali kreiptis į valstybę narę, kurioje yra įsisteigęs atitinkamas sąsajos operatorius, jei šios sąlygos neatitinka reikalavimų ginti pliuralizmą ir skatinti kultūrų įvairovę. Pasibaigus šiam preliminariam procesui su įsisteigimo valstybe nare, institucija, prireikus, atskirai informuoja įsisteigimo valstybę narę ir Europos Komisiją apie priemones, kurias ji ketina įgyvendinti atitinkamo sąsajos operatoriaus atžvilgiu. </w:t>
      </w:r>
    </w:p>
    <w:p w14:paraId="05CE693C" w14:textId="77777777" w:rsidR="005852AA" w:rsidRDefault="00F9086F">
      <w:pPr>
        <w:pStyle w:val="Heading2"/>
      </w:pPr>
      <w:r>
        <w:rPr>
          <w:sz w:val="23"/>
        </w:rPr>
        <w:t>I</w:t>
      </w:r>
      <w:r>
        <w:t>I SKYRIU</w:t>
      </w:r>
      <w:r>
        <w:rPr>
          <w:sz w:val="23"/>
        </w:rPr>
        <w:t xml:space="preserve">S </w:t>
      </w:r>
    </w:p>
    <w:p w14:paraId="5AA7CE67" w14:textId="77777777" w:rsidR="005852AA" w:rsidRDefault="00F9086F">
      <w:pPr>
        <w:pStyle w:val="Heading3"/>
        <w:spacing w:after="107"/>
      </w:pPr>
      <w:r>
        <w:t xml:space="preserve">INFORMACIJOS APIE NAUDOTOJŲ SĄSAJAS RINKIMO METODAI </w:t>
      </w:r>
    </w:p>
    <w:p w14:paraId="72A63AAE" w14:textId="77777777" w:rsidR="005852AA" w:rsidRDefault="00F9086F">
      <w:pPr>
        <w:spacing w:after="171"/>
        <w:ind w:left="-15"/>
      </w:pPr>
      <w:r>
        <w:rPr>
          <w:rFonts w:ascii="Calibri" w:hAnsi="Calibri"/>
          <w:b/>
          <w:sz w:val="20"/>
        </w:rPr>
        <w:t xml:space="preserve">6 straipsnis. – </w:t>
      </w:r>
      <w:r>
        <w:t xml:space="preserve">Prancūzijos teritorijoje arba už Europos Sąjungos ribų įsisteigę operatoriai, įtraukti į kasmet skelbiamą sąsajų sąrašą, iki kiekvienų metų vasario 15 d. praneša institucijai apie praėjusiais metais įgyvendintas priemones, kuriomis siekiama užtikrinti bendrojo intereso paslaugų matomumą. Šios nuostatos taip pat taikomos šiame sąraše išvardytų sąsajų operatoriams, kuriems atskirai taikytos priemonės pagal šio svarstymo 5 straipsnyje nurodytas sąlygas. </w:t>
      </w:r>
    </w:p>
    <w:p w14:paraId="6E260950" w14:textId="77777777" w:rsidR="005852AA" w:rsidRDefault="00F9086F">
      <w:pPr>
        <w:pStyle w:val="Heading2"/>
      </w:pPr>
      <w:r>
        <w:rPr>
          <w:sz w:val="23"/>
        </w:rPr>
        <w:t>I</w:t>
      </w:r>
      <w:r>
        <w:t>II SKYRIU</w:t>
      </w:r>
      <w:r>
        <w:rPr>
          <w:sz w:val="23"/>
        </w:rPr>
        <w:t xml:space="preserve">S </w:t>
      </w:r>
    </w:p>
    <w:p w14:paraId="444035AD" w14:textId="77777777" w:rsidR="005852AA" w:rsidRDefault="00F9086F">
      <w:pPr>
        <w:pStyle w:val="Heading3"/>
        <w:spacing w:after="107"/>
        <w:ind w:right="0"/>
      </w:pPr>
      <w:r>
        <w:t xml:space="preserve">BAIGIAMOSIOS NUOSTATOS </w:t>
      </w:r>
    </w:p>
    <w:p w14:paraId="6E58122D" w14:textId="77777777" w:rsidR="005852AA" w:rsidRDefault="00F9086F">
      <w:pPr>
        <w:ind w:left="-15"/>
      </w:pPr>
      <w:r>
        <w:rPr>
          <w:rFonts w:ascii="Calibri" w:hAnsi="Calibri"/>
          <w:b/>
          <w:sz w:val="20"/>
        </w:rPr>
        <w:t xml:space="preserve">7 straipsnis. – </w:t>
      </w:r>
      <w:r>
        <w:t xml:space="preserve">Šio nutarimo nuostatos taikomos Naujojoje Kaledonijoje, Prancūzijos Polinezijoje, Volise ir Futūnoje, Prancūzijos Pietų ir Antarkties srityse. </w:t>
      </w:r>
    </w:p>
    <w:p w14:paraId="43BE2A81" w14:textId="77777777" w:rsidR="005852AA" w:rsidRDefault="00F9086F">
      <w:pPr>
        <w:ind w:left="-15"/>
      </w:pPr>
      <w:r>
        <w:rPr>
          <w:rFonts w:ascii="Calibri" w:hAnsi="Calibri"/>
          <w:b/>
          <w:sz w:val="20"/>
        </w:rPr>
        <w:t xml:space="preserve">8 straipsnis. – </w:t>
      </w:r>
      <w:r>
        <w:t xml:space="preserve">Apie šį svarstymą bus pranešta 2024 m. rugsėjo 25 d. svarstyme Nr. 2024-18 dėl paslaugų, klasifikuojamų kaip bendrojo intereso paslaugos, sąraše išvardytų paslaugų leidėjams pagal 1986 m. rugsėjo 30 d. Įstatymo Nr. 86-1067 dėl komunikacijos laisvės 20-7 straipsnio nuostatas ir naudotojų sąsajų operatorių, kuriems taikomi įpareigojimai, nuostatas. Jis bus paskelbtas Prancūzijos Respublikos </w:t>
      </w:r>
      <w:r>
        <w:rPr>
          <w:i/>
        </w:rPr>
        <w:t>oficialiajame leidinyje</w:t>
      </w:r>
      <w:r>
        <w:t xml:space="preserve">. </w:t>
      </w:r>
    </w:p>
    <w:p w14:paraId="71716EE7" w14:textId="77777777" w:rsidR="005852AA" w:rsidRDefault="00F9086F">
      <w:pPr>
        <w:ind w:firstLine="0"/>
      </w:pPr>
      <w:r>
        <w:t xml:space="preserve">Priimta Paryžiuje 2024 m. rugsėjo 25 d. </w:t>
      </w:r>
    </w:p>
    <w:p w14:paraId="27B87E2B" w14:textId="77777777" w:rsidR="005852AA" w:rsidRDefault="00F9086F">
      <w:pPr>
        <w:spacing w:after="0" w:line="259" w:lineRule="auto"/>
        <w:ind w:left="0" w:right="925" w:firstLine="0"/>
        <w:jc w:val="right"/>
      </w:pPr>
      <w:r>
        <w:t xml:space="preserve">Audiovizualinės ir skaitmeninės komunikacijos reguliavimo institucijai: </w:t>
      </w:r>
    </w:p>
    <w:p w14:paraId="6BCD00F9" w14:textId="77777777" w:rsidR="005852AA" w:rsidRDefault="00F9086F">
      <w:pPr>
        <w:spacing w:after="20" w:line="234" w:lineRule="auto"/>
        <w:ind w:left="5415" w:firstLine="0"/>
        <w:jc w:val="center"/>
      </w:pPr>
      <w:r>
        <w:t xml:space="preserve"> </w:t>
      </w:r>
      <w:r>
        <w:rPr>
          <w:i/>
        </w:rPr>
        <w:t xml:space="preserve">Pirmininkas </w:t>
      </w:r>
    </w:p>
    <w:p w14:paraId="32AB49FE" w14:textId="77777777" w:rsidR="005852AA" w:rsidRDefault="00F9086F">
      <w:pPr>
        <w:pStyle w:val="Heading4"/>
      </w:pPr>
      <w:r>
        <w:rPr>
          <w:sz w:val="22"/>
        </w:rPr>
        <w:t>R.-O. M</w:t>
      </w:r>
      <w:r>
        <w:t xml:space="preserve">AISTRE  </w:t>
      </w:r>
    </w:p>
    <w:sectPr w:rsidR="005852AA">
      <w:pgSz w:w="11906" w:h="16838"/>
      <w:pgMar w:top="747" w:right="992" w:bottom="782"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50620"/>
    <w:multiLevelType w:val="hybridMultilevel"/>
    <w:tmpl w:val="71566E50"/>
    <w:lvl w:ilvl="0" w:tplc="6FF801E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0E31EC">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8652A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8EE784">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7AE43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FC2D1E">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FF0">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6C0DD4">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3027DE">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AA"/>
    <w:rsid w:val="004435E7"/>
    <w:rsid w:val="005852AA"/>
    <w:rsid w:val="006F1799"/>
    <w:rsid w:val="00E42961"/>
    <w:rsid w:val="00E55103"/>
    <w:rsid w:val="00F90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0329"/>
  <w15:docId w15:val="{80234CC5-8E05-4661-9E62-D9698652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 w:line="224"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25" w:line="216" w:lineRule="auto"/>
      <w:ind w:left="61"/>
      <w:jc w:val="center"/>
      <w:outlineLvl w:val="0"/>
    </w:pPr>
    <w:rPr>
      <w:rFonts w:ascii="Calibri" w:eastAsia="Calibri" w:hAnsi="Calibri" w:cs="Calibri"/>
      <w:color w:val="0093D1"/>
      <w:sz w:val="28"/>
    </w:rPr>
  </w:style>
  <w:style w:type="paragraph" w:styleId="Heading2">
    <w:name w:val="heading 2"/>
    <w:next w:val="Normal"/>
    <w:link w:val="Heading2Char"/>
    <w:uiPriority w:val="9"/>
    <w:unhideWhenUsed/>
    <w:qFormat/>
    <w:pPr>
      <w:keepNext/>
      <w:keepLines/>
      <w:spacing w:after="41"/>
      <w:ind w:left="10" w:right="1" w:hanging="10"/>
      <w:jc w:val="center"/>
      <w:outlineLvl w:val="1"/>
    </w:pPr>
    <w:rPr>
      <w:rFonts w:ascii="Times New Roman" w:eastAsia="Times New Roman" w:hAnsi="Times New Roman" w:cs="Times New Roman"/>
      <w:b/>
      <w:color w:val="000000"/>
      <w:sz w:val="16"/>
    </w:rPr>
  </w:style>
  <w:style w:type="paragraph" w:styleId="Heading3">
    <w:name w:val="heading 3"/>
    <w:next w:val="Normal"/>
    <w:link w:val="Heading3Char"/>
    <w:uiPriority w:val="9"/>
    <w:unhideWhenUsed/>
    <w:qFormat/>
    <w:pPr>
      <w:keepNext/>
      <w:keepLines/>
      <w:spacing w:after="40"/>
      <w:ind w:left="10" w:right="1" w:hanging="10"/>
      <w:jc w:val="center"/>
      <w:outlineLvl w:val="2"/>
    </w:pPr>
    <w:rPr>
      <w:rFonts w:ascii="Times New Roman" w:eastAsia="Times New Roman" w:hAnsi="Times New Roman" w:cs="Times New Roman"/>
      <w:b/>
      <w:color w:val="000000"/>
      <w:sz w:val="15"/>
    </w:rPr>
  </w:style>
  <w:style w:type="paragraph" w:styleId="Heading4">
    <w:name w:val="heading 4"/>
    <w:next w:val="Normal"/>
    <w:link w:val="Heading4Char"/>
    <w:uiPriority w:val="9"/>
    <w:unhideWhenUsed/>
    <w:qFormat/>
    <w:pPr>
      <w:keepNext/>
      <w:keepLines/>
      <w:spacing w:after="0"/>
      <w:ind w:left="7088"/>
      <w:outlineLvl w:val="3"/>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5"/>
    </w:rPr>
  </w:style>
  <w:style w:type="character" w:customStyle="1" w:styleId="Heading4Char">
    <w:name w:val="Heading 4 Char"/>
    <w:link w:val="Heading4"/>
    <w:rPr>
      <w:rFonts w:ascii="Times New Roman" w:eastAsia="Times New Roman" w:hAnsi="Times New Roman" w:cs="Times New Roman"/>
      <w:color w:val="000000"/>
      <w:sz w:val="15"/>
    </w:rPr>
  </w:style>
  <w:style w:type="character" w:customStyle="1" w:styleId="Heading2Char">
    <w:name w:val="Heading 2 Char"/>
    <w:link w:val="Heading2"/>
    <w:rPr>
      <w:rFonts w:ascii="Times New Roman" w:eastAsia="Times New Roman" w:hAnsi="Times New Roman" w:cs="Times New Roman"/>
      <w:b/>
      <w:color w:val="000000"/>
      <w:sz w:val="16"/>
    </w:rPr>
  </w:style>
  <w:style w:type="character" w:customStyle="1" w:styleId="Heading1Char">
    <w:name w:val="Heading 1 Char"/>
    <w:link w:val="Heading1"/>
    <w:rPr>
      <w:rFonts w:ascii="Calibri" w:eastAsia="Calibri" w:hAnsi="Calibri" w:cs="Calibri"/>
      <w:color w:val="0093D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7164</Characters>
  <Application>Microsoft Office Word</Application>
  <DocSecurity>0</DocSecurity>
  <Lines>103</Lines>
  <Paragraphs>51</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230 du 27 septembre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2024-10-16T11:36:00Z</dcterms:created>
  <dcterms:modified xsi:type="dcterms:W3CDTF">2024-10-16T11:36:00Z</dcterms:modified>
</cp:coreProperties>
</file>