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Известие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Публикувано на понеделник, 2 септември BAnz 2024 г.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Страница 1 от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423B62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23B62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Федерален вестник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Публикувано от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Федералното министерство на правосъдието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423B62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23B62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Федерален вестник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Публикувано от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Федералното министерство на правосъдието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423B62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59546F">
        <w:rPr>
          <w:rFonts w:ascii="Arial" w:hAnsi="Arial"/>
          <w:b/>
          <w:color w:val="000000"/>
          <w:sz w:val="27"/>
        </w:rPr>
        <w:t>Федерална агенция по околна среда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Трето изменение</w:t>
      </w:r>
      <w:r>
        <w:rPr>
          <w:rFonts w:ascii="Arial" w:hAnsi="Arial"/>
          <w:b/>
          <w:color w:val="000000"/>
          <w:sz w:val="20"/>
        </w:rPr>
        <w:br/>
        <w:t>към насоки за оценка на емайлови покрития и керамични материали в контакт с питейна вода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от 19 август 2024 г.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Известието на основата за оценка на емайлови покрития и керамични материали в контакт с питейна вода от 5 август 2019 г. (BAnz AT 12.09.2019 B8) и последно изменена с второто изменение на основата за оценка на емайли и керамични материали в контакт с питейна вода от 17 октомври 2023 г. (BAnz AT 25.8.2023 B5), се изменя както следва: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Изменения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В точка 6.1.1 таблица 1 се изменя, както следва: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Таблица 1: Положителен списък на възможните съставки на емайли и други подобни на стъкло материали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Неорганичните видове сяра като примеси с общо съдържание до 0,5 % могат да бъдат пренебрегнати. Хлорид като примес с общо съдържание до 0,5 % може да бъде пренебрегнат.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Таблица 3 в точка 6.2.1 се изменя, както следва: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 xml:space="preserve">Таблица 3: </w:t>
      </w:r>
      <w:r>
        <w:rPr>
          <w:rFonts w:ascii="Arial" w:hAnsi="Arial"/>
          <w:color w:val="000000"/>
        </w:rPr>
        <w:t xml:space="preserve">Положителен списък на разрешените съставки на керамиката </w:t>
      </w:r>
      <w:r>
        <w:rPr>
          <w:rFonts w:ascii="Arial" w:hAnsi="Arial"/>
          <w:color w:val="000000"/>
          <w:sz w:val="18"/>
        </w:rPr>
        <w:t>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  <w:sz w:val="18"/>
        </w:rPr>
        <w:t xml:space="preserve"> и SiO</w:t>
      </w:r>
      <w:r>
        <w:rPr>
          <w:rFonts w:ascii="Arial" w:hAnsi="Arial"/>
          <w:color w:val="000000"/>
          <w:sz w:val="12"/>
        </w:rPr>
        <w:t>2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423B62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59546F">
        <w:rPr>
          <w:rFonts w:ascii="Arial" w:hAnsi="Arial"/>
          <w:color w:val="000000"/>
          <w:sz w:val="10"/>
        </w:rPr>
        <w:t xml:space="preserve">1 </w:t>
      </w:r>
      <w:r w:rsidR="0059546F">
        <w:rPr>
          <w:rFonts w:ascii="Arial" w:hAnsi="Arial"/>
          <w:color w:val="000000"/>
          <w:sz w:val="14"/>
        </w:rPr>
        <w:t xml:space="preserve">  Нотифицирано по Директива (ЕС) 2015/1535 на Европейския парламент и на Съвета от 9 септември 2015 г. за определяне на процедура за предоставяне на информация в областта на техническите регламенти и правилата за услугите на информационното общество (ОВ L 241, 17 септември 2015 г., стр. 1).“.</w:t>
      </w:r>
    </w:p>
    <w:p w14:paraId="70AC31A8" w14:textId="77777777" w:rsidR="00C4698F" w:rsidRDefault="00423B62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59546F">
        <w:rPr>
          <w:rFonts w:ascii="Arial" w:hAnsi="Arial"/>
          <w:color w:val="000000"/>
          <w:sz w:val="10"/>
        </w:rPr>
        <w:t xml:space="preserve">2 </w:t>
      </w:r>
      <w:r w:rsidR="0059546F">
        <w:rPr>
          <w:rFonts w:ascii="Arial" w:hAnsi="Arial"/>
          <w:color w:val="000000"/>
          <w:sz w:val="14"/>
        </w:rPr>
        <w:t>Нотифицирано под номер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Известие</w:t>
            </w:r>
          </w:p>
          <w:p w14:paraId="3EAF332B" w14:textId="77777777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Публикувано на понеделник, 2 септември BAnz 2024 г.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Страница 2 от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423B62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23B62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Федерален вестник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Публикувано от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Федералното министерство на правосъдието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423B62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23B62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Федерален вестник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Публикувано от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Федералното министерство на правосъдието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423B62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59546F">
        <w:rPr>
          <w:rFonts w:ascii="Arial" w:hAnsi="Arial"/>
          <w:color w:val="000000"/>
          <w:sz w:val="18"/>
        </w:rPr>
        <w:t>В точка 6.2.1 таблица 5 се изменя, както следва: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Таблица 5: Положителен списък на разрешените съставки на твърдата феритна керамика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Таблица 6 в точка 6.2.1 се изменя, както следва: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Таблица 6: Положителен списък на разрешените съставки на керамиката със силициев карбид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Вещество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Съдържание в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Минимална</w:t>
            </w:r>
            <w:r>
              <w:rPr>
                <w:rFonts w:ascii="Arial" w:hAnsi="Arial"/>
                <w:color w:val="000000"/>
                <w:sz w:val="16"/>
              </w:rPr>
              <w:tab/>
              <w:t>Максимална стойност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В точка 7.1 в таблица 10 заглавието на четвъртата колона се изменя, както следва: „Изискване за освобождаване на елементи или органични съединения“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Таблица 11 в точка 7.3 се преформулира, както следва: </w:t>
      </w:r>
      <w:r>
        <w:rPr>
          <w:rFonts w:ascii="Arial" w:hAnsi="Arial"/>
          <w:color w:val="000000"/>
          <w:sz w:val="18"/>
        </w:rPr>
        <w:br/>
        <w:t>Таблица 11: Критерии (PW) за различни елементи</w:t>
      </w:r>
    </w:p>
    <w:p w14:paraId="7E2C7BB6" w14:textId="77777777" w:rsidR="00C4698F" w:rsidRPr="00F7040A" w:rsidRDefault="00423B62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Елемент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Референтна стойност за критерия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Критерий като дял от граничната/указателната стойност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Критерий в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Алуминий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Антимон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Барий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Бисмут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Олово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Бор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Кадмий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Церий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Хром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Хафний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Кобалт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Мед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2B748E3C" w:rsidR="00C4698F" w:rsidRDefault="00423B62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76562E4" wp14:editId="292BA3F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-3810</wp:posOffset>
                      </wp:positionV>
                      <wp:extent cx="2558415" cy="762000"/>
                      <wp:effectExtent l="0" t="0" r="0" b="0"/>
                      <wp:wrapNone/>
                      <wp:docPr id="3175630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84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44CCB" w14:textId="77777777" w:rsidR="00423B62" w:rsidRPr="00423B62" w:rsidRDefault="00423B62" w:rsidP="00423B62">
                                  <w:pPr>
                                    <w:spacing w:line="100" w:lineRule="atLeast"/>
                                    <w:rPr>
                                      <w:rFonts w:eastAsia="Times New Roman"/>
                                      <w:sz w:val="36"/>
                                      <w:szCs w:val="36"/>
                                    </w:rPr>
                                  </w:pPr>
                                  <w:r w:rsidRPr="00423B62"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Федерален вестник</w:t>
                                  </w:r>
                                </w:p>
                                <w:p w14:paraId="7AA2E22E" w14:textId="77777777" w:rsidR="00423B62" w:rsidRPr="00183F04" w:rsidRDefault="00423B62" w:rsidP="00423B62">
                                  <w:pPr>
                                    <w:spacing w:line="120" w:lineRule="atLeast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t>Публикувано от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br/>
                                    <w:t>Федералното министерство на правосъдието</w:t>
                                  </w:r>
                                </w:p>
                                <w:p w14:paraId="55CC0821" w14:textId="77777777" w:rsidR="00423B62" w:rsidRPr="00183F04" w:rsidRDefault="00423B62" w:rsidP="00423B62">
                                  <w:pPr>
                                    <w:spacing w:line="12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  <w:b/>
                                        <w:sz w:val="12"/>
                                      </w:rPr>
                                      <w:t>www.bundesanzelger.de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62E4" id="_x0000_s1028" type="#_x0000_t202" style="position:absolute;left:0;text-align:left;margin-left:51.75pt;margin-top:-.3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UwJwIAAEsEAAAOAAAAZHJzL2Uyb0RvYy54bWysVE2P2jAQvVfqf7B8LwFa6CoirCgrqkqr&#10;3ZXYas/GsUkkx+OODQn99R07BLbbnqpenLFnPB/vPWdx2zWGHRX6GmzBJ6MxZ8pKKGu7L/j3582H&#10;G858ELYUBqwq+El5frt8/27RulxNoQJTKmSUxPq8dQWvQnB5lnlZqUb4EThlyakBGxFoi/usRNFS&#10;9sZk0/F4nrWApUOQyns6veudfJnya61keNTaq8BMwam3kFZM6y6u2XIh8j0KV9Xy3Ib4hy4aUVsq&#10;ekl1J4JgB6z/SNXUEsGDDiMJTQZa11KlGWiayfjNNNtKOJVmIXC8u8Dk/19a+XDcuidkofsCHREY&#10;AWmdzz0dxnk6jU38UqeM/ATh6QKb6gKTdDidzW4+TWacSfJ9nhMtCdfsetuhD18VNCwaBUeiJaEl&#10;jvc+UEUKHUJiMQ+mLje1MWkTpaDWBtlREIkmpB7pxm9RxrK24POPs3FKbCFe7zMbSwWuM0UrdLuO&#10;1SW1Psy7g/JEMCD0CvFObmrq9V748CSQJEGTk8zDIy3aANWCs8VZBfjzb+cxnpgiL2ctSazg/sdB&#10;oOLMfLPEYdTjYOBg7AbDHpo10MATekBOJpMuYDCDqRGaF1L/KlYhl7CSahU8DOY69EKn1yPVapWC&#10;SHVOhHu7dTKmjgBH5J+7F4HuTE8gYh9gEJ/I37DUx8abFlaHALpOFEZcexTPcJNiE7Pn1xWfxOt9&#10;irr+A5a/AAAA//8DAFBLAwQUAAYACAAAACEAlUx3AOAAAAAJAQAADwAAAGRycy9kb3ducmV2Lnht&#10;bEyPwU7DMBBE70j8g7VIXFBrF9JQQpwKkDggFaG2qGc3NnGovQ6x26Z8PcsJjqM3mn1bzgfv2MH0&#10;sQ0oYTIWwAzWQbfYSHhfP49mwGJSqJULaCScTIR5dX5WqkKHIy7NYZUaRiMYCyXBptQVnMfaGq/i&#10;OHQGiX2E3qtEsW+47tWRxr3j10Lk3KsW6YJVnXmypt6t9l7C7JS9Xm3y282ne3t5tN/NFy52SsrL&#10;i+HhHlgyQ/orw68+qUNFTtuwRx2ZoyxuplSVMMqBEZ+KPAO2JTC5y4BXJf//QfUDAAD//wMAUEsB&#10;Ai0AFAAGAAgAAAAhALaDOJL+AAAA4QEAABMAAAAAAAAAAAAAAAAAAAAAAFtDb250ZW50X1R5cGVz&#10;XS54bWxQSwECLQAUAAYACAAAACEAOP0h/9YAAACUAQAACwAAAAAAAAAAAAAAAAAvAQAAX3JlbHMv&#10;LnJlbHNQSwECLQAUAAYACAAAACEAv5q1MCcCAABLBAAADgAAAAAAAAAAAAAAAAAuAgAAZHJzL2Uy&#10;b0RvYy54bWxQSwECLQAUAAYACAAAACEAlUx3AOAAAAAJAQAADwAAAAAAAAAAAAAAAACBBAAAZHJz&#10;L2Rvd25yZXYueG1sUEsFBgAAAAAEAAQA8wAAAI4FAAAAAA==&#10;" fillcolor="white [3201]" stroked="f" strokeweight=".5pt">
                      <v:textbox inset="0,0,0,0">
                        <w:txbxContent>
                          <w:p w14:paraId="3B244CCB" w14:textId="77777777" w:rsidR="00423B62" w:rsidRPr="00423B62" w:rsidRDefault="00423B62" w:rsidP="00423B62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23B62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Федерален вестник</w:t>
                            </w:r>
                          </w:p>
                          <w:p w14:paraId="7AA2E22E" w14:textId="77777777" w:rsidR="00423B62" w:rsidRPr="00183F04" w:rsidRDefault="00423B62" w:rsidP="00423B62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Публикувано от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Федералното министерство на правосъдието</w:t>
                            </w:r>
                          </w:p>
                          <w:p w14:paraId="55CC0821" w14:textId="77777777" w:rsidR="00423B62" w:rsidRPr="00183F04" w:rsidRDefault="00423B62" w:rsidP="00423B62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40A">
              <w:rPr>
                <w:noProof/>
              </w:rPr>
              <w:drawing>
                <wp:inline distT="0" distB="0" distL="0" distR="0" wp14:anchorId="56F37C08" wp14:editId="55EA246F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2669D8A1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Известие</w:t>
            </w:r>
          </w:p>
          <w:p w14:paraId="27D535C4" w14:textId="778E5C36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Публикувано на понеделник, 2 септември BAnz 2024 г. AT 02.09.2024 B4</w:t>
            </w:r>
          </w:p>
          <w:p w14:paraId="397C6E6E" w14:textId="77777777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Страница 3 от 4</w:t>
            </w:r>
          </w:p>
        </w:tc>
      </w:tr>
    </w:tbl>
    <w:p w14:paraId="5F3D6175" w14:textId="77777777" w:rsidR="00C4698F" w:rsidRDefault="00C4698F">
      <w:pPr>
        <w:spacing w:after="49" w:line="20" w:lineRule="exact"/>
      </w:pPr>
    </w:p>
    <w:p w14:paraId="50D0A689" w14:textId="77777777" w:rsidR="00C4698F" w:rsidRDefault="00423B62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Елемент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Референтна стойност за критерия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Критерий като дял от граничната/указателната стойност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Критерий в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Лантан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Манган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Молибден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Никел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Паладий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Празеодим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Стронций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Титан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Волфрам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Итрий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Цирконий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В точка 8.2.1, третото изречение се изменя, както следва: </w:t>
      </w:r>
      <w:r>
        <w:rPr>
          <w:rFonts w:ascii="Arial" w:hAnsi="Arial"/>
          <w:color w:val="000000"/>
          <w:sz w:val="18"/>
        </w:rPr>
        <w:br/>
        <w:t>„Целта на прегледа на състава е да се: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провери дали емайлите/другите подобни на стъкло материали съдържат само съставките, изброени в таблица 1 (вж. точка 6.1); и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определят елементите, които следва да бъдат оценени в миграционните води, и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идентифицира продуктът.“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Бележка под линия 4 се актуализира, както следва: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„Изпитвателните образци съответстват на образците съгласно DIN 4753—3: 2017-08.“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Десетото и единадесетото изречение на точка 8.3.3 се разменят, както следва: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„Фигура 2 показва изпитвателна постановка, при която фунии, съдържащи миграционна вода, се притискат към плочите на емайла. Възможни са обаче и други структури за изпитване.“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Точка 8.3.4 се преформулира, както следва: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„Приложение 1 показва миграционните води за съответните миграционни периоди, които трябва да се вземат за анализ за изпитване на студена вода. В приложение 2 се определят миграционните води за анализ за изпитване на топла и гореща вода. Миграционните води трябва незабавно да бъдат подкиселени с концентриран HNO</w:t>
      </w:r>
      <w:r>
        <w:rPr>
          <w:rFonts w:ascii="Arial" w:hAnsi="Arial"/>
          <w:color w:val="000000"/>
          <w:sz w:val="13"/>
        </w:rPr>
        <w:t>3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sz w:val="18"/>
        </w:rPr>
        <w:t>за определяне на елементите (не за определяне на ПАВ) до 2 % (v/v) киселинност.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Емайли/други подобни на стъкло материали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Определят се елементи от емайл/други подобни на стъкло материали с критерий в съответствие с таблица 11. Следва също да се определи съдържанието на олово и кадмий в изследваните количества на миграционните води. Анализът се извършва посредством подходящ метод за измерване, например ICP-MS в съответствие с DIN EN ISO 17294-1.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Боросиликатно стъкло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Определят се елементи от боросиликатно стъкло с критерий в съответствие с таблица 11. Следва също да се определи съдържанието на олово и кадмий в изследваните количества на миграционните води. Анализът се извършва посредством подходящ метод за измерване, например ICP-MS в съответствие с DIN EN ISO 17294-1.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Керамични материали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Определят се елементите на керамичния материал с критерий в съответствие с таблица 11. Следва също да се определи съдържанието на олово и кадмий в изследваните количества на миграционните води. Анализът се извършва посредством подходящ метод за измерване, например ICP-MS в съответствие с DIN EN ISO 17294-1.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Керамични материали, изработени от въглерод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За изпитването на съдържащи въглерод керамични материали, ПАВ се определят в миграционните води, които се анализират в съответствие с таблица 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Покрития със смесен метален оксид (СМО)</w:t>
      </w:r>
    </w:p>
    <w:p w14:paraId="392E2A31" w14:textId="77777777" w:rsidR="00C4698F" w:rsidRDefault="00423B62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59546F">
        <w:rPr>
          <w:rFonts w:ascii="Arial" w:hAnsi="Arial"/>
          <w:color w:val="000000"/>
          <w:sz w:val="18"/>
        </w:rPr>
        <w:t>Ако покритията от смесения метален оксид са произведени, както е описано в точка 6.3, не са необходими изпитвания за миграция.“</w:t>
      </w:r>
    </w:p>
    <w:p w14:paraId="3B15779D" w14:textId="77777777" w:rsidR="00C4698F" w:rsidRPr="00423B62" w:rsidRDefault="00C4698F">
      <w:pPr>
        <w:sectPr w:rsidR="00C4698F" w:rsidRPr="00423B62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387DB24F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302CEF6" wp14:editId="0FD60E85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624BA16C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Известие</w:t>
            </w:r>
          </w:p>
          <w:p w14:paraId="6EE9388C" w14:textId="64A62490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Публикувано на понеделник, 2 септември BAnz 2024 г.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Страница 4 от 4</w:t>
            </w:r>
          </w:p>
        </w:tc>
      </w:tr>
    </w:tbl>
    <w:p w14:paraId="1E605B73" w14:textId="54D59509" w:rsidR="00C4698F" w:rsidRDefault="00423B62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796309" wp14:editId="5B7AD5B6">
                <wp:simplePos x="0" y="0"/>
                <wp:positionH relativeFrom="column">
                  <wp:posOffset>647700</wp:posOffset>
                </wp:positionH>
                <wp:positionV relativeFrom="paragraph">
                  <wp:posOffset>-701675</wp:posOffset>
                </wp:positionV>
                <wp:extent cx="2558415" cy="762000"/>
                <wp:effectExtent l="0" t="0" r="0" b="0"/>
                <wp:wrapNone/>
                <wp:docPr id="291963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16F23" w14:textId="77777777" w:rsidR="00423B62" w:rsidRPr="00423B62" w:rsidRDefault="00423B62" w:rsidP="00423B62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23B62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Федерален вестник</w:t>
                            </w:r>
                          </w:p>
                          <w:p w14:paraId="4D91554D" w14:textId="77777777" w:rsidR="00423B62" w:rsidRPr="00183F04" w:rsidRDefault="00423B62" w:rsidP="00423B62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Публикувано от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Федералното министерство на правосъдието</w:t>
                            </w:r>
                          </w:p>
                          <w:p w14:paraId="5B823EAB" w14:textId="77777777" w:rsidR="00423B62" w:rsidRPr="00183F04" w:rsidRDefault="00423B62" w:rsidP="00423B62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6309" id="_x0000_s1029" type="#_x0000_t202" style="position:absolute;margin-left:51pt;margin-top:-55.25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EVKAIAAEsEAAAOAAAAZHJzL2Uyb0RvYy54bWysVE2P2jAQvVfqf7B8LwG20FVEWFFWVJVW&#10;uyux1Z6NY5NIjscdGxL66zt2CLTbnqpenLFnPB/vPWdx1zWGHRX6GmzBJ6MxZ8pKKGu7L/i3l82H&#10;W858ELYUBqwq+El5frd8/27RulxNoQJTKmSUxPq8dQWvQnB5lnlZqUb4EThlyakBGxFoi/usRNFS&#10;9sZk0/F4nrWApUOQyns6ve+dfJnya61keNLaq8BMwam3kFZM6y6u2XIh8j0KV9Xy3Ib4hy4aUVsq&#10;ekl1L4JgB6z/SNXUEsGDDiMJTQZa11KlGWiayfjNNNtKOJVmIXC8u8Dk/19a+XjcumdkofsMHREY&#10;AWmdzz0dxnk6jU38UqeM/ATh6QKb6gKTdDidzW4/TmacSfJ9mhMtCdfsetuhD18UNCwaBUeiJaEl&#10;jg8+UEUKHUJiMQ+mLje1MWkTpaDWBtlREIkmpB7pxm9RxrK24POb2TglthCv95mNpQLXmaIVul3H&#10;6rLgN8O8OyhPBANCrxDv5KamXh+ED88CSRI0Ock8PNGiDVAtOFucVYA//nYe44kp8nLWksQK7r8f&#10;BCrOzFdLHEY9DgYOxm4w7KFZAw08oQfkZDLpAgYzmBqheSX1r2IVcgkrqVbBw2CuQy90ej1SrVYp&#10;iFTnRHiwWydj6ghwRP6lexXozvQEIvYRBvGJ/A1LfWy8aWF1CKDrRGHEtUfxDDcpNjF7fl3xSfy6&#10;T1HXf8DyJwAAAP//AwBQSwMEFAAGAAgAAAAhAPojty3iAAAACgEAAA8AAABkcnMvZG93bnJldi54&#10;bWxMj0FPAjEUhO8m/ofmmXgx0C5hEdbtEjXxYIIxouFcts/tSvu6bgss/nrrCY+Tmcx8Uy4HZ9kB&#10;+9B6kpCNBTCk2uuWGgkf70+jObAQFWllPaGEEwZYVpcXpSq0P9IbHtaxYamEQqEkmBi7gvNQG3Qq&#10;jH2HlLxP3zsVk+wbrnt1TOXO8okQM+5US2nBqA4fDda79d5JmJ+mLzeb2e3my74+P5if5ptWOyXl&#10;9dVwfwcs4hDPYfjDT+hQJaat35MOzCYtJulLlDDKMpEDS5FcTBfAthIWOfCq5P8vVL8AAAD//wMA&#10;UEsBAi0AFAAGAAgAAAAhALaDOJL+AAAA4QEAABMAAAAAAAAAAAAAAAAAAAAAAFtDb250ZW50X1R5&#10;cGVzXS54bWxQSwECLQAUAAYACAAAACEAOP0h/9YAAACUAQAACwAAAAAAAAAAAAAAAAAvAQAAX3Jl&#10;bHMvLnJlbHNQSwECLQAUAAYACAAAACEAPj2RFSgCAABLBAAADgAAAAAAAAAAAAAAAAAuAgAAZHJz&#10;L2Uyb0RvYy54bWxQSwECLQAUAAYACAAAACEA+iO3LeIAAAAKAQAADwAAAAAAAAAAAAAAAACCBAAA&#10;ZHJzL2Rvd25yZXYueG1sUEsFBgAAAAAEAAQA8wAAAJEFAAAAAA==&#10;" fillcolor="white [3201]" stroked="f" strokeweight=".5pt">
                <v:textbox inset="0,0,0,0">
                  <w:txbxContent>
                    <w:p w14:paraId="31816F23" w14:textId="77777777" w:rsidR="00423B62" w:rsidRPr="00423B62" w:rsidRDefault="00423B62" w:rsidP="00423B62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23B62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Федерален вестник</w:t>
                      </w:r>
                    </w:p>
                    <w:p w14:paraId="4D91554D" w14:textId="77777777" w:rsidR="00423B62" w:rsidRPr="00183F04" w:rsidRDefault="00423B62" w:rsidP="00423B62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Публикувано от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Федералното министерство на правосъдието</w:t>
                      </w:r>
                    </w:p>
                    <w:p w14:paraId="5B823EAB" w14:textId="77777777" w:rsidR="00423B62" w:rsidRPr="00183F04" w:rsidRDefault="00423B62" w:rsidP="00423B62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A112C8" w14:textId="77777777" w:rsidR="00C4698F" w:rsidRDefault="00423B62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59546F">
        <w:rPr>
          <w:rFonts w:ascii="Arial" w:hAnsi="Arial"/>
          <w:color w:val="000000"/>
          <w:sz w:val="18"/>
        </w:rPr>
        <w:t xml:space="preserve">11. В края на точка 8.3.5 се добавя следното: </w:t>
      </w:r>
      <w:r w:rsidR="0059546F">
        <w:rPr>
          <w:rFonts w:ascii="Arial" w:hAnsi="Arial"/>
          <w:color w:val="000000"/>
          <w:sz w:val="18"/>
        </w:rPr>
        <w:br/>
        <w:t>„БЕЛЕЖКА: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Наблюдава се тенденция към увеличаване на измерените критерии, ако например са изпълнени едновременно следните условия: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измерената концентрация в свързания с оценката миграционен период е над 1/10 от ограничението на миграцията; и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измерената концентрация по време на съответния за оценката период на миграция значително се е удвоила в сравнение с най-ниската измерена концентрация (по-висока от неопределеността на измерването); и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измерената концентрация в съответния за оценката период на миграция е най-високата измерена стойност от серията на миграция.“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Влизане в сила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Тези изменения влизат в сила в деня след обнародването им във Федералния вестник.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 август 2024 г.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Федерална агенция по околна среда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В представителството</w:t>
      </w:r>
    </w:p>
    <w:p w14:paraId="5E269ED4" w14:textId="77777777" w:rsidR="00C4698F" w:rsidRDefault="00423B62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59546F">
        <w:rPr>
          <w:rFonts w:ascii="Arial" w:hAnsi="Arial"/>
          <w:color w:val="000000"/>
          <w:sz w:val="18"/>
        </w:rPr>
        <w:t>Проф. д-р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9B53" w14:textId="77777777" w:rsidR="0059546F" w:rsidRDefault="0059546F">
      <w:r>
        <w:separator/>
      </w:r>
    </w:p>
  </w:endnote>
  <w:endnote w:type="continuationSeparator" w:id="0">
    <w:p w14:paraId="26A78AF2" w14:textId="77777777" w:rsidR="0059546F" w:rsidRDefault="0059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17B9" w14:textId="77777777" w:rsidR="0059546F" w:rsidRDefault="0059546F"/>
  </w:footnote>
  <w:footnote w:type="continuationSeparator" w:id="0">
    <w:p w14:paraId="571E9885" w14:textId="77777777" w:rsidR="0059546F" w:rsidRDefault="0059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2177943">
    <w:abstractNumId w:val="1"/>
  </w:num>
  <w:num w:numId="2" w16cid:durableId="208263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183F04"/>
    <w:rsid w:val="002377CC"/>
    <w:rsid w:val="00325D7A"/>
    <w:rsid w:val="003510F0"/>
    <w:rsid w:val="003A4307"/>
    <w:rsid w:val="00423B62"/>
    <w:rsid w:val="004510A7"/>
    <w:rsid w:val="004668A2"/>
    <w:rsid w:val="004B2D0E"/>
    <w:rsid w:val="00542983"/>
    <w:rsid w:val="0059546F"/>
    <w:rsid w:val="008F28EA"/>
    <w:rsid w:val="008F48C5"/>
    <w:rsid w:val="00C4698F"/>
    <w:rsid w:val="00D76B33"/>
    <w:rsid w:val="00EB515C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2024-10-07T12:20:00Z</dcterms:created>
  <dcterms:modified xsi:type="dcterms:W3CDTF">2024-10-10T11:39:00Z</dcterms:modified>
</cp:coreProperties>
</file>