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083890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Укази, заповеди, циркулярни писма </w:t>
      </w:r>
    </w:p>
    <w:p w14:paraId="4AC62185" w14:textId="77777777" w:rsidR="00BB5F5A" w:rsidRDefault="00083890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ОБЩИ ТЕКСТОВЕ </w:t>
      </w:r>
    </w:p>
    <w:p w14:paraId="2E00BDAA" w14:textId="77777777" w:rsidR="00BB5F5A" w:rsidRDefault="00083890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МИНИСТЕРСТВО НА ИКОНОМИКАТА, ФИНАНСИТЕ И ПРОМИШЛЕНОСТТА </w:t>
      </w:r>
    </w:p>
    <w:p w14:paraId="6D78EE22" w14:textId="77777777" w:rsidR="00BB5F5A" w:rsidRDefault="00083890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Заповед № 2024-978 от 6 ноември 2024 г. за изменение на Закон № 2023-451 от 9 юни 2023 г., насочен към регулиране на търговското влияние и борба със злоупотребите с инфлуенсъри в социалните мрежи </w:t>
      </w:r>
    </w:p>
    <w:p w14:paraId="53548437" w14:textId="77777777" w:rsidR="00BB5F5A" w:rsidRDefault="00083890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Реф. №: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083890">
      <w:pPr>
        <w:ind w:firstLine="0"/>
      </w:pPr>
      <w:r>
        <w:t xml:space="preserve">Президентът на Републиката, </w:t>
      </w:r>
    </w:p>
    <w:p w14:paraId="60771B53" w14:textId="77777777" w:rsidR="00BB5F5A" w:rsidRDefault="00083890">
      <w:pPr>
        <w:spacing w:after="88"/>
        <w:ind w:firstLine="0"/>
      </w:pPr>
      <w:r>
        <w:t xml:space="preserve">Относно </w:t>
      </w:r>
      <w:r>
        <w:t xml:space="preserve">доклада на министър-председателя и министъра на икономиката, финансите и промишлеността, </w:t>
      </w:r>
    </w:p>
    <w:p w14:paraId="54602248" w14:textId="77777777" w:rsidR="00BB5F5A" w:rsidRDefault="00083890">
      <w:pPr>
        <w:spacing w:after="30"/>
        <w:ind w:firstLine="0"/>
      </w:pPr>
      <w:r>
        <w:t xml:space="preserve">като взе предвид Конституцията, по-специално член 38 от нея, </w:t>
      </w:r>
    </w:p>
    <w:p w14:paraId="071009EA" w14:textId="77777777" w:rsidR="00BB5F5A" w:rsidRDefault="00083890">
      <w:pPr>
        <w:spacing w:after="24"/>
        <w:ind w:left="-15"/>
      </w:pPr>
      <w:r>
        <w:t>като взе предвид Директива 2000/31/ЕО на Европейския парламент и на Съвета от 8 юни 2000 г. за някои пра</w:t>
      </w:r>
      <w:r>
        <w:t xml:space="preserve">вни аспекти на услугите на информационното общество, и по-специално на електронната търговия на вътрешния пазар (Директива за електронната търговия), </w:t>
      </w:r>
    </w:p>
    <w:p w14:paraId="0D58FCC0" w14:textId="77777777" w:rsidR="00BB5F5A" w:rsidRDefault="00083890">
      <w:pPr>
        <w:spacing w:after="24"/>
        <w:ind w:left="-15"/>
      </w:pPr>
      <w:r>
        <w:t>като взе предвид Директива 2005/29/ЕО на Европейския Парламент и на Съвета от 11 май 2005 г. относно нело</w:t>
      </w:r>
      <w:r>
        <w:t>ялни търговски практики от страна на търговци към потребители на вътрешния пазар и изменение на Директива 84/450/ЕИО на Съвета, Директиви 97/7/EО, 98/27/EО и 2002/65/EО на Европейския парламент и на Съвета, и Регламент (EО) № 2006/2004 на Европейския парла</w:t>
      </w:r>
      <w:r>
        <w:t xml:space="preserve">мент и на Съвета („Директива за нелоялни търговски практики“), </w:t>
      </w:r>
    </w:p>
    <w:p w14:paraId="29E501B5" w14:textId="77777777" w:rsidR="00BB5F5A" w:rsidRDefault="00083890">
      <w:pPr>
        <w:spacing w:after="23"/>
        <w:ind w:left="-15"/>
      </w:pPr>
      <w:r>
        <w:t>като взе предвид Директива 2010/13/ЕС на Европейския парламент и на Съвета от 10 март 2010 г. за координирането на някои разпоредби, установени в закони, подзаконови и административни актове н</w:t>
      </w:r>
      <w:r>
        <w:t xml:space="preserve">а държавите членки, отнасящи се до предоставянето на аудиовизуални медийни услуги (Директива за аудиовизуалните медийни услуги), </w:t>
      </w:r>
    </w:p>
    <w:p w14:paraId="517F39D2" w14:textId="77777777" w:rsidR="00BB5F5A" w:rsidRDefault="00083890">
      <w:pPr>
        <w:ind w:left="-15"/>
      </w:pPr>
      <w:r>
        <w:t>като взе предвид Директива (ЕС) 2015/1535 на Европейския парламент и на Съвета от 9 септември 2015 г. установяваща процедура з</w:t>
      </w:r>
      <w:r>
        <w:t xml:space="preserve">а предоставянето на информация в сферата на техническите регламенти и правила относно услугите на информационното общество, </w:t>
      </w:r>
    </w:p>
    <w:p w14:paraId="18DA088E" w14:textId="77777777" w:rsidR="00BB5F5A" w:rsidRDefault="00083890">
      <w:pPr>
        <w:spacing w:after="30"/>
        <w:ind w:firstLine="0"/>
      </w:pPr>
      <w:r>
        <w:t xml:space="preserve">като взе предвид Кодекса на административното правосъдие, по-специално член R. 123-20 от него, </w:t>
      </w:r>
    </w:p>
    <w:p w14:paraId="7F86EC33" w14:textId="77777777" w:rsidR="00BB5F5A" w:rsidRDefault="00083890">
      <w:pPr>
        <w:spacing w:after="25"/>
        <w:ind w:left="-15"/>
      </w:pPr>
      <w:r>
        <w:t xml:space="preserve">като взе предвид Закон № 2023-451 от 9 юни 2023 г., насочен към регулиране на търговското влияние и борба със злоупотребите с инфлуенсъри в социалните мрежи, </w:t>
      </w:r>
    </w:p>
    <w:p w14:paraId="76205EB4" w14:textId="77777777" w:rsidR="00BB5F5A" w:rsidRDefault="00083890">
      <w:pPr>
        <w:ind w:left="-15"/>
      </w:pPr>
      <w:r>
        <w:t>като взе предвид Закон № 2024-364 от 22 април 2024 г. за определяне на различни разпоредби за ада</w:t>
      </w:r>
      <w:r>
        <w:t xml:space="preserve">птиране на въпроси към правото на Европейския съюз в областта на икономиката, финансите, екологичния преход, наказателното право, социалното право и селскостопанските въпроси, по-специално член 3 от него, </w:t>
      </w:r>
    </w:p>
    <w:p w14:paraId="52DE1B19" w14:textId="77777777" w:rsidR="00BB5F5A" w:rsidRDefault="00083890">
      <w:pPr>
        <w:ind w:firstLine="0"/>
      </w:pPr>
      <w:r>
        <w:t>като взе предвид Нотификация № 2024/0379/F, изпрат</w:t>
      </w:r>
      <w:r>
        <w:t xml:space="preserve">ена до Европейската комисия на 3 юли 2024 г., </w:t>
      </w:r>
    </w:p>
    <w:p w14:paraId="2DC263BA" w14:textId="77777777" w:rsidR="00BB5F5A" w:rsidRDefault="00083890">
      <w:pPr>
        <w:spacing w:after="214"/>
        <w:ind w:right="5040" w:firstLine="0"/>
      </w:pPr>
      <w:r>
        <w:t xml:space="preserve">след изслушване на Държавния съвет (отдел „Финанси“), след изслушване на Министерския съвет, </w:t>
      </w:r>
    </w:p>
    <w:p w14:paraId="1578A1A7" w14:textId="77777777" w:rsidR="00BB5F5A" w:rsidRDefault="00083890">
      <w:pPr>
        <w:spacing w:after="146"/>
        <w:ind w:left="1077" w:firstLine="0"/>
      </w:pPr>
      <w:r>
        <w:t xml:space="preserve">Нарежда: </w:t>
      </w:r>
    </w:p>
    <w:p w14:paraId="4FDE374B" w14:textId="77777777" w:rsidR="00BB5F5A" w:rsidRDefault="00083890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Член 1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083890">
      <w:pPr>
        <w:spacing w:after="119"/>
        <w:ind w:left="-15"/>
      </w:pPr>
      <w:r>
        <w:t>Закон № 2023-451 от 9 юни 2023 г., насочен към регулиране на търговското влияние и борба със злоу</w:t>
      </w:r>
      <w:r>
        <w:t xml:space="preserve">потребите с инфлуенсъри в социалните мрежи се изменя, както следва: </w:t>
      </w:r>
    </w:p>
    <w:p w14:paraId="542BFDB4" w14:textId="77777777" w:rsidR="00BB5F5A" w:rsidRDefault="00083890">
      <w:pPr>
        <w:numPr>
          <w:ilvl w:val="0"/>
          <w:numId w:val="1"/>
        </w:numPr>
        <w:spacing w:after="85"/>
        <w:ind w:hanging="305"/>
      </w:pPr>
      <w:r>
        <w:t xml:space="preserve">– Член 1 се заменя със следните разпоредби: </w:t>
      </w:r>
    </w:p>
    <w:p w14:paraId="36B0D7BB" w14:textId="77777777" w:rsidR="00BB5F5A" w:rsidRDefault="00083890">
      <w:pPr>
        <w:spacing w:after="135"/>
        <w:ind w:left="-15"/>
      </w:pPr>
      <w:r>
        <w:t xml:space="preserve">„ </w:t>
      </w:r>
      <w:r>
        <w:rPr>
          <w:i/>
        </w:rPr>
        <w:t xml:space="preserve">„Член 1. – </w:t>
      </w:r>
      <w:r>
        <w:t>Физически или юридически лица, които срещу заплащане използват репутацията си сред своята аудиторията, за да разгласяват публично</w:t>
      </w:r>
      <w:r>
        <w:t xml:space="preserve"> чрез електронни средства съдържание, предназначено да рекламира, пряко или косвено, стоки, услуги или каквато и да е причина, упражняващи дейността „търговско влияние“ чрез електронни средства.“; </w:t>
      </w:r>
    </w:p>
    <w:p w14:paraId="3950E5A5" w14:textId="77777777" w:rsidR="00BB5F5A" w:rsidRDefault="00083890">
      <w:pPr>
        <w:numPr>
          <w:ilvl w:val="0"/>
          <w:numId w:val="1"/>
        </w:numPr>
        <w:spacing w:after="79"/>
        <w:ind w:hanging="305"/>
      </w:pPr>
      <w:r>
        <w:t xml:space="preserve">– Член 4 се заменя със следните разпоредби: </w:t>
      </w:r>
    </w:p>
    <w:p w14:paraId="6F86B412" w14:textId="77777777" w:rsidR="00BB5F5A" w:rsidRDefault="00083890">
      <w:pPr>
        <w:ind w:left="-15"/>
      </w:pPr>
      <w:r>
        <w:lastRenderedPageBreak/>
        <w:t xml:space="preserve">„ </w:t>
      </w:r>
      <w:r>
        <w:rPr>
          <w:i/>
        </w:rPr>
        <w:t xml:space="preserve">Член 4. – </w:t>
      </w:r>
      <w:r>
        <w:t>I</w:t>
      </w:r>
      <w:r>
        <w:t>. – Забранява се всяко пряко или косвено насърчаване на действия, процеси, техники и методи с естетическа цел, които могат да изложат на риск здравето на лицата, посочени в член L. 1151-2 от Кодекса за общественото здраве, и интервенциите, посочени в член </w:t>
      </w:r>
      <w:r>
        <w:t xml:space="preserve">L. 6322-1 от този кодекс, на лицата, упражняващи дейността „търговско влияние“ чрез електронни средства. </w:t>
      </w:r>
    </w:p>
    <w:p w14:paraId="1DB6FB2C" w14:textId="77777777" w:rsidR="00BB5F5A" w:rsidRDefault="00083890">
      <w:pPr>
        <w:ind w:left="-15"/>
      </w:pPr>
      <w:r>
        <w:t>„II. – Всяко пряко или косвено рекламиране на нетерапевтични продукти, действия, процеси, техники и методи, представени като сравними или предпочитани</w:t>
      </w:r>
      <w:r>
        <w:t xml:space="preserve"> или заместващи терапевтични действия, протоколи или рецепти, се забранява на лица, упражняващи дейността „търговско влияние“ чрез електронни средства. </w:t>
      </w:r>
    </w:p>
    <w:p w14:paraId="0FCE785E" w14:textId="77777777" w:rsidR="00BB5F5A" w:rsidRDefault="00083890">
      <w:pPr>
        <w:ind w:left="-15"/>
      </w:pPr>
      <w:r>
        <w:t>„III. – Всяко рекламиране, пряко или косвено, на изделия, считани за никотинови изделия, които могат да</w:t>
      </w:r>
      <w:r>
        <w:t xml:space="preserve"> се консумират и са изработени, дори частично, от никотин, се забранява на лица, упражняващи дейността „търговско влияние“ чрез електронни средства. </w:t>
      </w:r>
    </w:p>
    <w:p w14:paraId="7EEC5628" w14:textId="77777777" w:rsidR="00BB5F5A" w:rsidRDefault="00083890">
      <w:pPr>
        <w:spacing w:after="130"/>
        <w:ind w:left="-15"/>
      </w:pPr>
      <w:r>
        <w:t>„IV. – Забранява се всяко пряко или косвено рекламиране на животни, които не са включени в списъка, посоче</w:t>
      </w:r>
      <w:r>
        <w:t>н в член L. 413-1 A от Кодекса за околната среда, на лица, упражняващи дейността „търговско влияние“ чрез електронни средства. Тази забрана не се прилага за животновъдни обекти, на които е разрешено да отглеждат тези животни в съответствие с член L 413-3 о</w:t>
      </w:r>
      <w:r>
        <w:t xml:space="preserve">т посочения кодекс. </w:t>
      </w:r>
    </w:p>
    <w:p w14:paraId="4BB23C95" w14:textId="77777777" w:rsidR="00BB5F5A" w:rsidRDefault="00083890">
      <w:pPr>
        <w:spacing w:after="77"/>
        <w:ind w:left="-15"/>
      </w:pPr>
      <w:r>
        <w:t xml:space="preserve">„V. – Забранява се всяко пряко или косвено рекламиране на следните финансови продукти и услуги за лица, упражняващи дейността „търговско влияние“ чрез електронни средства:  </w:t>
      </w:r>
    </w:p>
    <w:p w14:paraId="0FCB0A4E" w14:textId="77777777" w:rsidR="00BB5F5A" w:rsidRDefault="00083890">
      <w:pPr>
        <w:ind w:firstLine="0"/>
      </w:pPr>
      <w:r>
        <w:t xml:space="preserve">„1) Финансовите договори, определени в член L. 533-12-7 от Паричния и финансов кодекс; </w:t>
      </w:r>
    </w:p>
    <w:p w14:paraId="7B571492" w14:textId="77777777" w:rsidR="00BB5F5A" w:rsidRDefault="00083890">
      <w:pPr>
        <w:spacing w:after="34"/>
        <w:ind w:left="-15"/>
      </w:pPr>
      <w:r>
        <w:t>„2) Предоставянето на услуги, свързани с цифрови активи, по смисъла на член L. 54-10-2 от този кодекс, с изключение на услугите, за които рекламодателят е регистриран п</w:t>
      </w:r>
      <w:r>
        <w:t xml:space="preserve">ри условията, предвидени в член L. 54-10-3 от посочения кодекс или разрешени при условията, предвидени в член L. 54-10-5 от същия кодекс; </w:t>
      </w:r>
    </w:p>
    <w:p w14:paraId="56BD14C2" w14:textId="77777777" w:rsidR="00BB5F5A" w:rsidRDefault="00083890">
      <w:pPr>
        <w:spacing w:after="31"/>
        <w:ind w:left="-15"/>
      </w:pPr>
      <w:r>
        <w:t xml:space="preserve">„3) Публично предлагане на токени по смисъла на член L. 552-3 от същия кодекс, освен когато рекламодателят е получил визата, предвидена в член L. 552-4 от същия кодекс; </w:t>
      </w:r>
    </w:p>
    <w:p w14:paraId="2ED229B9" w14:textId="77777777" w:rsidR="00BB5F5A" w:rsidRDefault="00083890">
      <w:pPr>
        <w:ind w:left="-15"/>
      </w:pPr>
      <w:r>
        <w:t>„4) Цифрови активи, с изключение на тези, свързани с услуги, за предоставянето на коит</w:t>
      </w:r>
      <w:r>
        <w:t>о рекламодателят е регистриран при условията, определени в член L. 54-10-3 от този кодекс или одобрени при условията, предвидени в член L. 54-10-5 от този кодекс, а именно когато рекламодателят не попада в приложното поле на членове L. 54-10-3 и L. 54-10-5</w:t>
      </w:r>
      <w:r>
        <w:t xml:space="preserve"> от същия кодекс. </w:t>
      </w:r>
    </w:p>
    <w:p w14:paraId="4F97707A" w14:textId="77777777" w:rsidR="00BB5F5A" w:rsidRDefault="00083890">
      <w:pPr>
        <w:ind w:left="-15"/>
      </w:pPr>
      <w:r>
        <w:t xml:space="preserve">„ </w:t>
      </w:r>
      <w:r>
        <w:rPr>
          <w:i/>
          <w:iCs/>
        </w:rPr>
        <w:t>Нарушенията</w:t>
      </w:r>
      <w:r>
        <w:t xml:space="preserve"> на разпоредбите на настоящата точка V подлежат на санкциите, предвидени в член L. 222-16-1, пета алинея и в член L. 222-16-1 и в предпоследната алинея на член L. 222-16-2 от Кодекса за потребителите. </w:t>
      </w:r>
    </w:p>
    <w:p w14:paraId="7FC2E317" w14:textId="77777777" w:rsidR="00BB5F5A" w:rsidRDefault="00083890">
      <w:pPr>
        <w:ind w:left="-15"/>
      </w:pPr>
      <w:r>
        <w:t>„ VI. – Всяко пряко ил</w:t>
      </w:r>
      <w:r>
        <w:t xml:space="preserve">и косвено рекламиране на абонаменти за спортни съвети и залагания се забранява на лица, упражняващи дейността „търговско влияние“ чрез електронни средства </w:t>
      </w:r>
    </w:p>
    <w:p w14:paraId="728EE356" w14:textId="77777777" w:rsidR="00BB5F5A" w:rsidRDefault="00083890">
      <w:pPr>
        <w:ind w:left="-15"/>
      </w:pPr>
      <w:r>
        <w:t>„VII. – Търговските съобщения чрез електронни средства на лицата, посочени в член 1 от настоящия зак</w:t>
      </w:r>
      <w:r>
        <w:t>он относно хазартните игри, определени в членове L. 320-1 и L. 320-6 от Кодекса за вътрешна сигурност, се разрешават само на онлайн платформи, които предлагат техническа възможност за изключване от аудиторията на такова съдържание на всички ползватели на в</w:t>
      </w:r>
      <w:r>
        <w:t xml:space="preserve">ъзраст под осемнадесет години и ако този механизъм за изключване действително е задействан от тези лица. </w:t>
      </w:r>
    </w:p>
    <w:p w14:paraId="6EB44F5A" w14:textId="77777777" w:rsidR="00BB5F5A" w:rsidRDefault="00083890">
      <w:pPr>
        <w:ind w:left="-15"/>
      </w:pPr>
      <w:r>
        <w:t>„Тези търговски съобщения се придружават от позоваване към забраната за такова съдържание за лица под 18-годишна възраст.  Това указание трябва да бъд</w:t>
      </w:r>
      <w:r>
        <w:t xml:space="preserve">е ясно, четливо и разбираемо на всеки използван носител. </w:t>
      </w:r>
    </w:p>
    <w:p w14:paraId="16552C4E" w14:textId="77777777" w:rsidR="00BB5F5A" w:rsidRDefault="00083890">
      <w:pPr>
        <w:ind w:left="-15"/>
      </w:pPr>
      <w:r>
        <w:t>„Механизмите за изключване, предвидени в настоящата точка VII, са в съответствие с референтна рамка, изготвена от Регулаторния орган за аудиовизуални и цифрови комуникации след консултация с Национа</w:t>
      </w:r>
      <w:r>
        <w:t xml:space="preserve">лния орган по хазарта и Националната комисия по информатика и свободи.  </w:t>
      </w:r>
    </w:p>
    <w:p w14:paraId="5C916282" w14:textId="77777777" w:rsidR="00BB5F5A" w:rsidRDefault="00083890">
      <w:pPr>
        <w:ind w:left="-15"/>
      </w:pPr>
      <w:r>
        <w:t>„Договорите за реклама с оператори на хазартни игри включват клауза, съгласно която лицата, определени в член 1 от настоящия закон, удостоверяват, че са запознати със законовите и под</w:t>
      </w:r>
      <w:r>
        <w:t xml:space="preserve">законовите разпоредби, приложими към търговските съобщения в областта на хазартните игри, и се задължават да ги спазват.  </w:t>
      </w:r>
    </w:p>
    <w:p w14:paraId="507CFB94" w14:textId="77777777" w:rsidR="00BB5F5A" w:rsidRDefault="00083890">
      <w:pPr>
        <w:spacing w:after="122"/>
        <w:ind w:left="-15"/>
      </w:pPr>
      <w:r>
        <w:t>„Нарушенията на разпоредбите на настоящата точка VII се наказват с глобата, предвидена в член L. 324-8-1 от Кодекса за вътрешна сигур</w:t>
      </w:r>
      <w:r>
        <w:t xml:space="preserve">ност.  </w:t>
      </w:r>
    </w:p>
    <w:p w14:paraId="65CC3B40" w14:textId="77777777" w:rsidR="00BB5F5A" w:rsidRDefault="00083890">
      <w:pPr>
        <w:spacing w:after="93"/>
        <w:ind w:firstLine="0"/>
      </w:pPr>
      <w:r>
        <w:t xml:space="preserve">„ VIII. – След точка 2 на член L. 6323-8-1 от Кодекса на труда се добавя следната алинея: </w:t>
      </w:r>
    </w:p>
    <w:p w14:paraId="6709E1F6" w14:textId="77777777" w:rsidR="00BB5F5A" w:rsidRDefault="00083890">
      <w:pPr>
        <w:ind w:left="-15"/>
      </w:pPr>
      <w:r>
        <w:t>„Също така се забранява и всяка продажба или промоционално предлагане на стока или заплащане срещу абонамент за програмите, посочени в същия член L. 6323-6“.</w:t>
      </w:r>
      <w:r>
        <w:t xml:space="preserve"> </w:t>
      </w:r>
    </w:p>
    <w:p w14:paraId="012E80CC" w14:textId="77777777" w:rsidR="00BB5F5A" w:rsidRDefault="00083890">
      <w:pPr>
        <w:ind w:left="-15"/>
      </w:pPr>
      <w:r>
        <w:t xml:space="preserve">„ IX. – Нарушението на разпоредбите на точки I—IV и VI от настоящия член се наказва с наказанието, предвидено в член L. 132-2 от Кодекса за потребителите. </w:t>
      </w:r>
    </w:p>
    <w:p w14:paraId="700FD132" w14:textId="77777777" w:rsidR="00BB5F5A" w:rsidRDefault="00083890">
      <w:pPr>
        <w:spacing w:after="143"/>
        <w:ind w:left="-15"/>
      </w:pPr>
      <w:r>
        <w:t xml:space="preserve">„ За тези престъпления и за престъплението, предвидено в точка VII, на извършителя може също така </w:t>
      </w:r>
      <w:r>
        <w:t xml:space="preserve">да бъде забранено, окончателно или временно, по реда на член 131-27 от Наказателния кодекс, да </w:t>
      </w:r>
      <w:r>
        <w:lastRenderedPageBreak/>
        <w:t>упражнява професионалната или социалната дейност, в рамките на която е извършено престъплението, или дейността „търговско влияние“ чрез електронни средства, опре</w:t>
      </w:r>
      <w:r>
        <w:t xml:space="preserve">делена в член 1 от настоящия закон. </w:t>
      </w:r>
    </w:p>
    <w:p w14:paraId="29D9691F" w14:textId="77777777" w:rsidR="00BB5F5A" w:rsidRDefault="00083890">
      <w:pPr>
        <w:spacing w:after="81"/>
        <w:ind w:firstLine="0"/>
      </w:pPr>
      <w:r>
        <w:t xml:space="preserve">„ X. – След точка 31 на член L. 511-7 от Кодекса за потребителите се добавя точка 32, както следва: </w:t>
      </w:r>
    </w:p>
    <w:p w14:paraId="14A29651" w14:textId="77777777" w:rsidR="00BB5F5A" w:rsidRDefault="00083890">
      <w:pPr>
        <w:spacing w:after="0" w:line="302" w:lineRule="auto"/>
        <w:ind w:left="-15" w:right="-15"/>
        <w:jc w:val="left"/>
      </w:pPr>
      <w:r>
        <w:t>„32. С V от член 4 от Закон № 2023-451 от 9 юни 2023 г., насочен към регулиране на търговското влияние и борба със зло</w:t>
      </w:r>
      <w:r>
        <w:t xml:space="preserve">употребите с инфлуенсъри в социалните мрежи.“; III. – Член 5 се заменя със следните разпоредби: </w:t>
      </w:r>
    </w:p>
    <w:p w14:paraId="3C6D62EA" w14:textId="77777777" w:rsidR="00BB5F5A" w:rsidRDefault="00083890">
      <w:pPr>
        <w:ind w:left="-15"/>
      </w:pPr>
      <w:r>
        <w:t xml:space="preserve">„ </w:t>
      </w:r>
      <w:r>
        <w:rPr>
          <w:i/>
        </w:rPr>
        <w:t xml:space="preserve">Член 5. – </w:t>
      </w:r>
      <w:r>
        <w:t xml:space="preserve">I. – Съдържание, съобщено от лицата по член 1 от настоящия закон, включващо изображения, които са били подложени на: </w:t>
      </w:r>
    </w:p>
    <w:p w14:paraId="4B787B68" w14:textId="77777777" w:rsidR="00BB5F5A" w:rsidRDefault="00083890">
      <w:pPr>
        <w:spacing w:after="31"/>
        <w:ind w:left="-15"/>
      </w:pPr>
      <w:r>
        <w:t xml:space="preserve">„1) Промяна при всеки процес </w:t>
      </w:r>
      <w:r>
        <w:t xml:space="preserve">на обработка на изображението с цел прецизиране или уплътняване на силуета или промяна на външния вид на лицето се придружава от понятията: „Редактирани изображения“; </w:t>
      </w:r>
    </w:p>
    <w:p w14:paraId="68231ACC" w14:textId="77777777" w:rsidR="00BB5F5A" w:rsidRDefault="00083890">
      <w:pPr>
        <w:ind w:left="-15"/>
      </w:pPr>
      <w:r>
        <w:t>„2) Създаването на изображение с всеки един процес, използващ изкуствен интелект, за пре</w:t>
      </w:r>
      <w:r>
        <w:t xml:space="preserve">дставяне на лице или силует се придружава от понятията: „Виртуални изображения“. </w:t>
      </w:r>
    </w:p>
    <w:p w14:paraId="25C7F208" w14:textId="77777777" w:rsidR="00BB5F5A" w:rsidRDefault="00083890">
      <w:pPr>
        <w:ind w:left="-15"/>
      </w:pPr>
      <w:r>
        <w:t xml:space="preserve">„ </w:t>
      </w:r>
      <w:r>
        <w:t>Понятията, предвидени в настоящата точка I, трябва да бъдат ясни, четливи и разбираеми на всеки използван носител. Те могат да бъдат заменени с еквивалентно понятие, адаптирано към характеристиките на дейността на влияние и формата на използвания носител з</w:t>
      </w:r>
      <w:r>
        <w:t xml:space="preserve">а комуникация. </w:t>
      </w:r>
    </w:p>
    <w:p w14:paraId="029CE24B" w14:textId="77777777" w:rsidR="00BB5F5A" w:rsidRDefault="00083890">
      <w:pPr>
        <w:ind w:left="-15"/>
      </w:pPr>
      <w:r>
        <w:t>„ II. – Когато рекламата се извършва от лицата, посочени в член 1 от настоящия закон и се отнася до регистрацията за дейност по професионално обучение, посочена в член L. 6313-1 от Кодекса на труда, финансирана от една от организациите, пос</w:t>
      </w:r>
      <w:r>
        <w:t>очени в член L. 6316-1 от този кодекс, посочената в член 5-2 от настоящия закон информация включва информация относно финансирането, ангажиментите и правилата за допустимост, идентификацията на доставчика(ците), който(които) отговаря(т) за тези програми за</w:t>
      </w:r>
      <w:r>
        <w:t xml:space="preserve"> обучение, и доставчика, посочен в електронната услуга, посочена в член L. 6323-9 от същия кодекс. </w:t>
      </w:r>
    </w:p>
    <w:p w14:paraId="57A2125D" w14:textId="77777777" w:rsidR="00BB5F5A" w:rsidRDefault="00083890">
      <w:pPr>
        <w:ind w:left="-15"/>
      </w:pPr>
      <w:r>
        <w:t xml:space="preserve">„ III. – Нарушението на разпоредбите на точки I и II от настоящия член се наказва с една година лишаване от свобода и глоба в размер на 4500 EUR. </w:t>
      </w:r>
    </w:p>
    <w:p w14:paraId="7FA75FB0" w14:textId="77777777" w:rsidR="00BB5F5A" w:rsidRDefault="00083890">
      <w:pPr>
        <w:spacing w:after="143"/>
        <w:ind w:firstLine="0"/>
      </w:pPr>
      <w:r>
        <w:t>„ IV. – Р</w:t>
      </w:r>
      <w:r>
        <w:t xml:space="preserve">едът и условията за прилагане на точки I и II от настоящия член се определят с указ, приет след изслушване на Държавния съвет.“; </w:t>
      </w:r>
    </w:p>
    <w:p w14:paraId="530ED4FA" w14:textId="77777777" w:rsidR="00BB5F5A" w:rsidRDefault="00083890">
      <w:pPr>
        <w:spacing w:after="92"/>
        <w:ind w:firstLine="0"/>
      </w:pPr>
      <w:r>
        <w:t xml:space="preserve">IV. – След член 5 се вмъкват два члена: 5-1 и 5-2, както следва: </w:t>
      </w:r>
    </w:p>
    <w:p w14:paraId="7B0D6657" w14:textId="77777777" w:rsidR="00BB5F5A" w:rsidRDefault="00083890">
      <w:pPr>
        <w:ind w:left="-15"/>
      </w:pPr>
      <w:r>
        <w:t xml:space="preserve">„ </w:t>
      </w:r>
      <w:r>
        <w:rPr>
          <w:i/>
        </w:rPr>
        <w:t xml:space="preserve">Член 5-1. – </w:t>
      </w:r>
      <w:r>
        <w:t xml:space="preserve">I. – Разпоредбите на точки I—III от член 4 не </w:t>
      </w:r>
      <w:r>
        <w:t>се прилагат за доставчиците на медийни услуги по смисъла на Директива 2010/13/ЕС на Европейския парламент и на Съвета от 10 март 2010 г., които попадат в областта на компетентност на друга държава членка на Европейското икономическо пространство по смисъла</w:t>
      </w:r>
      <w:r>
        <w:t xml:space="preserve"> на член 2, параграф 2 от тази директива. От друга страна, те се прилагат за такива доставчици, когато те попадат в областта на компетентност на Франция. </w:t>
      </w:r>
    </w:p>
    <w:p w14:paraId="4C1C0A8C" w14:textId="77777777" w:rsidR="00BB5F5A" w:rsidRDefault="00083890">
      <w:pPr>
        <w:ind w:left="-15"/>
      </w:pPr>
      <w:r>
        <w:t>„ Когато условията, посочени в член 3, параграфи 2—3 или член 4, параграфи 2—5 от тази директива, оба</w:t>
      </w:r>
      <w:r>
        <w:t xml:space="preserve">че са изпълнени и след края на процедурата, определена в тези разпоредби, административният орган посочва на съответното лице приложимите за него или нея разпоредби, при спазване на съответните санкции, както и съответната услуга. </w:t>
      </w:r>
    </w:p>
    <w:p w14:paraId="6ACD68E9" w14:textId="77777777" w:rsidR="00BB5F5A" w:rsidRDefault="00083890">
      <w:pPr>
        <w:ind w:left="-15"/>
      </w:pPr>
      <w:r>
        <w:t xml:space="preserve">„ II. – При спазване на </w:t>
      </w:r>
      <w:r>
        <w:t>точка I, по отношение на прилагането на разпоредбите на член 4, точки от I—III за доставчиците на медийни услуги, разпоредбите на членове 4 и 5 не се прилагат за лица, установени в друга държава, която е страна по споразумението за Европейското икономическ</w:t>
      </w:r>
      <w:r>
        <w:t xml:space="preserve">о пространство. </w:t>
      </w:r>
    </w:p>
    <w:p w14:paraId="653E9A7E" w14:textId="77777777" w:rsidR="00BB5F5A" w:rsidRDefault="00083890">
      <w:pPr>
        <w:ind w:left="-15"/>
      </w:pPr>
      <w:r>
        <w:t>„ Когато условията, посочени в член 3, параграфи 4 и 5 от Директива 2000/31/ЕО на Европейския парламент и на Съвета от 8 юни 2000 г., обаче са изпълнени и след края на процедурата, определена в тези разпоредби, административният орган посо</w:t>
      </w:r>
      <w:r>
        <w:t xml:space="preserve">чва на съответното лице приложимите за него или нея разпоредби, при спазване на съответните санкции, както и съответната услуга. </w:t>
      </w:r>
    </w:p>
    <w:p w14:paraId="2DB9CAB0" w14:textId="77777777" w:rsidR="00BB5F5A" w:rsidRDefault="00083890">
      <w:pPr>
        <w:spacing w:after="92"/>
        <w:ind w:firstLine="0"/>
      </w:pPr>
      <w:r>
        <w:t xml:space="preserve">„ III. – Процедурите за прилагане на този член се определят с указ на Държавния съвет. </w:t>
      </w:r>
    </w:p>
    <w:p w14:paraId="4BA17F87" w14:textId="77777777" w:rsidR="00BB5F5A" w:rsidRDefault="00083890">
      <w:pPr>
        <w:ind w:left="-15"/>
      </w:pPr>
      <w:r>
        <w:t xml:space="preserve">„ </w:t>
      </w:r>
      <w:r>
        <w:rPr>
          <w:i/>
        </w:rPr>
        <w:t xml:space="preserve">Член 5-2. – </w:t>
      </w:r>
      <w:r>
        <w:t>Това е заблуждаваща търг</w:t>
      </w:r>
      <w:r>
        <w:t>овска практика по смисъла на член L. 121-3 от Кодекса за потребителите и при условията, предвидени в този член, за физическо или юридическо лице, упражняващо дейност по оказване на влияние по смисъла на член 1 от настоящия закон, да не посочва по ясен, чет</w:t>
      </w:r>
      <w:r>
        <w:t xml:space="preserve">лив и разбираем начин върху какъвто и да е използван носител неговото търговското намерение, ако това намерение не е очевидно от контекста. </w:t>
      </w:r>
    </w:p>
    <w:p w14:paraId="0DA643B9" w14:textId="77777777" w:rsidR="00BB5F5A" w:rsidRDefault="00083890">
      <w:pPr>
        <w:spacing w:after="149"/>
        <w:ind w:left="-15"/>
      </w:pPr>
      <w:r>
        <w:t>„ Търговското намерение може да бъде изрично посочено чрез използването на термините „реклама“ или „търговско сътру</w:t>
      </w:r>
      <w:r>
        <w:t xml:space="preserve">дничество“ или чрез еквивалентен термин, адаптиран към характеристиките на дейността по оказване на влияние и формата на използвания носител.“; </w:t>
      </w:r>
    </w:p>
    <w:p w14:paraId="3E80D657" w14:textId="77777777" w:rsidR="00BB5F5A" w:rsidRDefault="00083890">
      <w:pPr>
        <w:spacing w:after="86"/>
        <w:ind w:firstLine="0"/>
      </w:pPr>
      <w:r>
        <w:t xml:space="preserve">V. – Член 9 се заменя със следните разпоредби: </w:t>
      </w:r>
    </w:p>
    <w:p w14:paraId="6FABA20B" w14:textId="77777777" w:rsidR="00BB5F5A" w:rsidRDefault="00083890">
      <w:pPr>
        <w:ind w:left="-15"/>
      </w:pPr>
      <w:r>
        <w:lastRenderedPageBreak/>
        <w:t xml:space="preserve">„ </w:t>
      </w:r>
      <w:r>
        <w:rPr>
          <w:i/>
        </w:rPr>
        <w:t xml:space="preserve">Член 9. – </w:t>
      </w:r>
      <w:r>
        <w:t>I. – Когато извършват дейността, определена в член </w:t>
      </w:r>
      <w:r>
        <w:t>1, и не са установени на територията на държава — членка на Европейския съюз, Конфедерация Швейцария или Европейското икономическо пространство, и са насочени към аудитория във Франция, към юридически лица или физически лица, упражняващи независима дейност</w:t>
      </w:r>
      <w:r>
        <w:t xml:space="preserve"> със статута, определен в членове L. 526-6 — L. 526-21 от Търговския кодекс или в членове L. 52622 — L. 526-26 от този кодекс, определят писмено юридическо или физическо лице, което да осигури тяхното представителство на територията на Европейския съюз. </w:t>
      </w:r>
    </w:p>
    <w:p w14:paraId="2674630E" w14:textId="77777777" w:rsidR="00BB5F5A" w:rsidRDefault="00083890">
      <w:pPr>
        <w:ind w:left="-15"/>
      </w:pPr>
      <w:r>
        <w:t>„</w:t>
      </w:r>
      <w:r>
        <w:t xml:space="preserve"> Това представителство е предназначено да осигурява съответствието на договорите, които имат за предмет или резултат осъществяването чрез електронни средства на дейността „търговско влияние“, насочена по-специално към аудиторията, установена на френска тер</w:t>
      </w:r>
      <w:r>
        <w:t xml:space="preserve">итория. Определеното представителство отговаря също така, в допълнение към или вместо лицата, посочени в първа алинея от точка I, на всички искания от компетентните административни или съдебни органи за спазването на настоящия закон. </w:t>
      </w:r>
    </w:p>
    <w:p w14:paraId="5A08C8A8" w14:textId="77777777" w:rsidR="00BB5F5A" w:rsidRDefault="00083890">
      <w:pPr>
        <w:ind w:left="-15"/>
      </w:pPr>
      <w:r>
        <w:t xml:space="preserve">„ Лицата, посочени в </w:t>
      </w:r>
      <w:r>
        <w:t xml:space="preserve">първа алинея, предоставят на така определеното лице необходимите правомощия и достатъчно средства за осигуряване на ефективно сътрудничество с компетентните органи за спазване на настоящия закон. </w:t>
      </w:r>
    </w:p>
    <w:p w14:paraId="1E06B431" w14:textId="77777777" w:rsidR="00BB5F5A" w:rsidRDefault="00083890">
      <w:pPr>
        <w:ind w:left="-15"/>
      </w:pPr>
      <w:r>
        <w:t xml:space="preserve">„ При поискване лицата, посочени в първа алинея, съобщават </w:t>
      </w:r>
      <w:r>
        <w:t xml:space="preserve">на компетентните административни органи името, пощенския адрес, адреса на електронната поща и телефонния номер на лицето, определено съгласно тази първа алинея. </w:t>
      </w:r>
    </w:p>
    <w:p w14:paraId="023B8981" w14:textId="77777777" w:rsidR="00BB5F5A" w:rsidRDefault="00083890">
      <w:pPr>
        <w:ind w:firstLine="0"/>
      </w:pPr>
      <w:r>
        <w:t xml:space="preserve">„Това посочване не е обект в Европейския съюз.  </w:t>
      </w:r>
    </w:p>
    <w:p w14:paraId="4116DB33" w14:textId="77777777" w:rsidR="00BB5F5A" w:rsidRDefault="00083890">
      <w:pPr>
        <w:ind w:left="-15"/>
      </w:pPr>
      <w:r>
        <w:t>„ II. – Лице, което упражнява посочената в чл</w:t>
      </w:r>
      <w:r>
        <w:t xml:space="preserve">ен 1 дейност и е установено извън Европейския съюз, Конфедерация Швейцария или Европейското икономическо пространство, е длъжно да сключи застраховка „Гражданска отговорност“ срещу финансовите последици от своята гражданска и професионална отговорност със </w:t>
      </w:r>
      <w:r>
        <w:t>застраховател, установен в Европейския съюз, гарантираща финансовите последици от своята професионална отговорност, когато тази дейност е насочена, дори случайно, към аудитория, установена на френска територия. „III. – Редът и условията за прилагане на нас</w:t>
      </w:r>
      <w:r>
        <w:t xml:space="preserve">тоящия член се определят с указ, приет след консултация с Държавния съвет.“ </w:t>
      </w:r>
    </w:p>
    <w:p w14:paraId="24E41C5B" w14:textId="77777777" w:rsidR="00BB5F5A" w:rsidRDefault="00083890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Член 2 </w:t>
      </w:r>
    </w:p>
    <w:p w14:paraId="5E209DF5" w14:textId="77777777" w:rsidR="00BB5F5A" w:rsidRDefault="00083890">
      <w:pPr>
        <w:spacing w:after="76" w:line="216" w:lineRule="auto"/>
        <w:ind w:left="-15" w:right="-15"/>
        <w:jc w:val="left"/>
      </w:pPr>
      <w:r>
        <w:t xml:space="preserve">Министър-председателят и министърът на икономиката, финансите и промишлеността отговарят, всеки в рамките на неговата или нейната компетентност, за прилагането на настоящата Заповед, която следва да бъде публикувана в </w:t>
      </w:r>
      <w:r>
        <w:rPr>
          <w:i/>
        </w:rPr>
        <w:t xml:space="preserve">Официален вестник </w:t>
      </w:r>
      <w:r>
        <w:t>на Френската републи</w:t>
      </w:r>
      <w:r>
        <w:t xml:space="preserve">ка. </w:t>
      </w:r>
    </w:p>
    <w:p w14:paraId="2458A41C" w14:textId="77777777" w:rsidR="00BB5F5A" w:rsidRDefault="00083890">
      <w:pPr>
        <w:ind w:firstLine="0"/>
      </w:pPr>
      <w:r>
        <w:t xml:space="preserve">Изготвено на 6 ноември 2024 г. </w:t>
      </w:r>
    </w:p>
    <w:p w14:paraId="779C936B" w14:textId="77777777" w:rsidR="00BB5F5A" w:rsidRDefault="00083890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083890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От Президента на Републиката: </w:t>
      </w:r>
    </w:p>
    <w:p w14:paraId="74F7E8BF" w14:textId="77777777" w:rsidR="00BB5F5A" w:rsidRDefault="00083890">
      <w:pPr>
        <w:spacing w:after="8" w:line="259" w:lineRule="auto"/>
        <w:ind w:left="0" w:firstLine="0"/>
        <w:jc w:val="left"/>
      </w:pPr>
      <w:r>
        <w:rPr>
          <w:i/>
        </w:rPr>
        <w:t xml:space="preserve">Министър-председател, </w:t>
      </w:r>
    </w:p>
    <w:p w14:paraId="65A8D155" w14:textId="77777777" w:rsidR="00BB5F5A" w:rsidRDefault="00083890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083890">
      <w:pPr>
        <w:spacing w:after="54" w:line="216" w:lineRule="auto"/>
        <w:ind w:left="7307" w:firstLine="0"/>
        <w:jc w:val="center"/>
      </w:pPr>
      <w:r>
        <w:rPr>
          <w:i/>
        </w:rPr>
        <w:t xml:space="preserve">Министър на икономиката, финансите и промишлеността, </w:t>
      </w:r>
    </w:p>
    <w:p w14:paraId="276AC3A6" w14:textId="23F96FBD" w:rsidR="00BB5F5A" w:rsidRDefault="00083890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F0D3" w14:textId="77777777" w:rsidR="00083890" w:rsidRDefault="00083890">
      <w:pPr>
        <w:spacing w:after="0" w:line="240" w:lineRule="auto"/>
      </w:pPr>
      <w:r>
        <w:separator/>
      </w:r>
    </w:p>
  </w:endnote>
  <w:endnote w:type="continuationSeparator" w:id="0">
    <w:p w14:paraId="3EED91F3" w14:textId="77777777" w:rsidR="00083890" w:rsidRDefault="0008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A5F" w14:textId="77777777" w:rsidR="00083890" w:rsidRDefault="00083890">
      <w:pPr>
        <w:spacing w:after="0" w:line="240" w:lineRule="auto"/>
      </w:pPr>
      <w:r>
        <w:separator/>
      </w:r>
    </w:p>
  </w:footnote>
  <w:footnote w:type="continuationSeparator" w:id="0">
    <w:p w14:paraId="49E7C214" w14:textId="77777777" w:rsidR="00083890" w:rsidRDefault="0008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083890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07 Ноември 2024 г.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ОФИЦИАЛЕН ВЕСТНИК НА ФРЕНСКАТА РЕПУБЛИКА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Текст 18 от 120 </w:t>
    </w:r>
  </w:p>
  <w:p w14:paraId="7D2344F0" w14:textId="77777777" w:rsidR="00BB5F5A" w:rsidRDefault="00083890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083890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07 Ноември 2024 г.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ОФИЦИАЛЕН ВЕСТНИК НА ФРЕНСКАТА РЕПУБЛИКА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Текст 18 от 120 </w:t>
    </w:r>
  </w:p>
  <w:p w14:paraId="03F43403" w14:textId="77777777" w:rsidR="00BB5F5A" w:rsidRDefault="00083890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083890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07 Ноември 2024 г.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ОФИЦИАЛЕН ВЕСТНИК НА ФРЕНСКАТА РЕПУБЛИКА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Текст 18 от 120 </w:t>
    </w:r>
  </w:p>
  <w:p w14:paraId="3D44B973" w14:textId="77777777" w:rsidR="00BB5F5A" w:rsidRDefault="00083890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083890"/>
    <w:rsid w:val="00523092"/>
    <w:rsid w:val="00AC55CF"/>
    <w:rsid w:val="00BB5F5A"/>
    <w:rsid w:val="00C256E0"/>
    <w:rsid w:val="00D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2257</Words>
  <Characters>12847</Characters>
  <Application>Microsoft Office Word</Application>
  <DocSecurity>0</DocSecurity>
  <Lines>197</Lines>
  <Paragraphs>89</Paragraphs>
  <ScaleCrop>false</ScaleCrop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2024-12-17T14:30:00Z</dcterms:created>
  <dcterms:modified xsi:type="dcterms:W3CDTF">2024-12-17T14:30:00Z</dcterms:modified>
</cp:coreProperties>
</file>