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C4407" w14:textId="77777777" w:rsidR="0016323E" w:rsidRPr="00F75F53" w:rsidRDefault="0016323E">
      <w:r>
        <w:rPr>
          <w:rFonts w:ascii="Georgia Pro" w:hAnsi="Georgia Pro"/>
          <w:noProof/>
          <w:color w:val="BA7A57"/>
          <w:sz w:val="72"/>
        </w:rPr>
        <mc:AlternateContent>
          <mc:Choice Requires="wps">
            <w:drawing>
              <wp:inline distT="0" distB="0" distL="0" distR="0" wp14:anchorId="3D58CE58" wp14:editId="47FF2B71">
                <wp:extent cx="6545580" cy="3749040"/>
                <wp:effectExtent l="0" t="0" r="0" b="3810"/>
                <wp:docPr id="391074730" name="Text Box 1"/>
                <wp:cNvGraphicFramePr/>
                <a:graphic xmlns:a="http://schemas.openxmlformats.org/drawingml/2006/main">
                  <a:graphicData uri="http://schemas.microsoft.com/office/word/2010/wordprocessingShape">
                    <wps:wsp>
                      <wps:cNvSpPr txBox="1"/>
                      <wps:spPr>
                        <a:xfrm>
                          <a:off x="0" y="0"/>
                          <a:ext cx="6545580" cy="3749040"/>
                        </a:xfrm>
                        <a:prstGeom prst="rect">
                          <a:avLst/>
                        </a:prstGeom>
                        <a:noFill/>
                        <a:ln w="6350">
                          <a:noFill/>
                        </a:ln>
                      </wps:spPr>
                      <wps:txbx>
                        <w:txbxContent>
                          <w:p w14:paraId="3368E101" w14:textId="77777777" w:rsidR="00CE35E3" w:rsidRPr="00265440" w:rsidRDefault="00CE35E3" w:rsidP="00CE35E3">
                            <w:pPr>
                              <w:pStyle w:val="a7"/>
                              <w:rPr>
                                <w:b/>
                              </w:rPr>
                            </w:pPr>
                            <w:r>
                              <w:rPr>
                                <w:b/>
                              </w:rPr>
                              <w:t xml:space="preserve">Tervezet </w:t>
                            </w:r>
                          </w:p>
                          <w:p w14:paraId="598CBC9A" w14:textId="77777777" w:rsidR="00CE35E3" w:rsidRPr="00265440" w:rsidRDefault="00CE35E3" w:rsidP="00CE35E3">
                            <w:pPr>
                              <w:pStyle w:val="a7"/>
                              <w:rPr>
                                <w:b/>
                              </w:rPr>
                            </w:pPr>
                            <w:r>
                              <w:rPr>
                                <w:b/>
                              </w:rPr>
                              <w:t xml:space="preserve">Médiaszolgáltatási kódex és </w:t>
                            </w:r>
                          </w:p>
                          <w:p w14:paraId="072C469A" w14:textId="77777777" w:rsidR="00CE35E3" w:rsidRPr="00265440" w:rsidRDefault="00CE35E3" w:rsidP="00CE35E3">
                            <w:pPr>
                              <w:pStyle w:val="a7"/>
                              <w:rPr>
                                <w:b/>
                              </w:rPr>
                            </w:pPr>
                            <w:r>
                              <w:rPr>
                                <w:b/>
                              </w:rPr>
                              <w:t xml:space="preserve">médiaszolgáltatási szabályzat </w:t>
                            </w:r>
                          </w:p>
                          <w:p w14:paraId="489D2F94" w14:textId="77777777" w:rsidR="00CE35E3" w:rsidRPr="00265440" w:rsidRDefault="00CE35E3" w:rsidP="00CE35E3">
                            <w:pPr>
                              <w:pStyle w:val="a7"/>
                              <w:rPr>
                                <w:b/>
                              </w:rPr>
                            </w:pPr>
                          </w:p>
                          <w:p w14:paraId="51370BFE" w14:textId="77777777" w:rsidR="0016323E" w:rsidRPr="00265440" w:rsidRDefault="00CE35E3" w:rsidP="00CE35E3">
                            <w:pPr>
                              <w:pStyle w:val="a7"/>
                              <w:rPr>
                                <w:rStyle w:val="Char2"/>
                                <w:rFonts w:ascii="Arial" w:eastAsiaTheme="minorEastAsia" w:hAnsi="Arial" w:cs="Arial"/>
                                <w:color w:val="222222"/>
                                <w:spacing w:val="0"/>
                                <w:kern w:val="2"/>
                                <w:sz w:val="20"/>
                                <w:szCs w:val="24"/>
                                <w:shd w:val="clear" w:color="auto" w:fill="FFFFFF"/>
                              </w:rPr>
                            </w:pPr>
                            <w:r>
                              <w:rPr>
                                <w:b/>
                              </w:rPr>
                              <w:t>Lekérhető audiovizuális médiaszolgáltatást nyújtó szolgáltatók</w:t>
                            </w:r>
                            <w:r>
                              <w:br/>
                            </w:r>
                          </w:p>
                          <w:p w14:paraId="47D3F733" w14:textId="77777777" w:rsidR="0016323E" w:rsidRPr="00265440" w:rsidRDefault="0016323E" w:rsidP="00163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58CE58" id="_x0000_t202" coordsize="21600,21600" o:spt="202" path="m,l,21600r21600,l21600,xe">
                <v:stroke joinstyle="miter"/>
                <v:path gradientshapeok="t" o:connecttype="rect"/>
              </v:shapetype>
              <v:shape id="Text Box 1" o:spid="_x0000_s1026" type="#_x0000_t202" style="width:515.4pt;height:29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" filled="f" stroked="f" strokeweight=".5pt">
                <v:textbox>
                  <w:txbxContent>
                    <w:p w14:paraId="3368E101" w14:textId="77777777" w:rsidR="00CE35E3" w:rsidRPr="00265440" w:rsidRDefault="00CE35E3" w:rsidP="00CE35E3">
                      <w:pPr>
                        <w:pStyle w:val="a7"/>
                        <w:rPr>
                          <w:b/>
                        </w:rPr>
                      </w:pPr>
                      <w:r>
                        <w:rPr>
                          <w:b/>
                        </w:rPr>
                        <w:t xml:space="preserve">Tervezet </w:t>
                      </w:r>
                    </w:p>
                    <w:p w14:paraId="598CBC9A" w14:textId="77777777" w:rsidR="00CE35E3" w:rsidRPr="00265440" w:rsidRDefault="00CE35E3" w:rsidP="00CE35E3">
                      <w:pPr>
                        <w:pStyle w:val="a7"/>
                        <w:rPr>
                          <w:b/>
                        </w:rPr>
                      </w:pPr>
                      <w:r>
                        <w:rPr>
                          <w:b/>
                        </w:rPr>
                        <w:t xml:space="preserve">Médiaszolgáltatási kódex és </w:t>
                      </w:r>
                    </w:p>
                    <w:p w14:paraId="072C469A" w14:textId="77777777" w:rsidR="00CE35E3" w:rsidRPr="00265440" w:rsidRDefault="00CE35E3" w:rsidP="00CE35E3">
                      <w:pPr>
                        <w:pStyle w:val="a7"/>
                        <w:rPr>
                          <w:b/>
                        </w:rPr>
                      </w:pPr>
                      <w:r>
                        <w:rPr>
                          <w:b/>
                        </w:rPr>
                        <w:t xml:space="preserve">médiaszolgáltatási szabályzat </w:t>
                      </w:r>
                    </w:p>
                    <w:p w14:paraId="489D2F94" w14:textId="77777777" w:rsidR="00CE35E3" w:rsidRPr="00265440" w:rsidRDefault="00CE35E3" w:rsidP="00CE35E3">
                      <w:pPr>
                        <w:pStyle w:val="a7"/>
                        <w:rPr>
                          <w:b/>
                        </w:rPr>
                      </w:pPr>
                    </w:p>
                    <w:p w14:paraId="51370BFE" w14:textId="77777777" w:rsidR="0016323E" w:rsidRPr="00265440" w:rsidRDefault="00CE35E3" w:rsidP="00CE35E3">
                      <w:pPr>
                        <w:pStyle w:val="a7"/>
                        <w:rPr>
                          <w:rStyle w:val="Char2"/>
                          <w:rFonts w:ascii="Arial" w:eastAsiaTheme="minorEastAsia" w:hAnsi="Arial" w:cs="Arial"/>
                          <w:color w:val="222222"/>
                          <w:spacing w:val="0"/>
                          <w:kern w:val="2"/>
                          <w:sz w:val="20"/>
                          <w:szCs w:val="24"/>
                          <w:shd w:val="clear" w:color="auto" w:fill="FFFFFF"/>
                        </w:rPr>
                      </w:pPr>
                      <w:r>
                        <w:rPr>
                          <w:b/>
                        </w:rPr>
                        <w:t>Lekérhető audiovizuális médiaszolgáltatást nyújtó szolgáltatók</w:t>
                      </w:r>
                      <w:r>
                        <w:br/>
                      </w:r>
                    </w:p>
                    <w:p w14:paraId="47D3F733" w14:textId="77777777" w:rsidR="0016323E" w:rsidRPr="00265440" w:rsidRDefault="0016323E" w:rsidP="0016323E"/>
                  </w:txbxContent>
                </v:textbox>
                <w10:anchorlock/>
              </v:shape>
            </w:pict>
          </mc:Fallback>
        </mc:AlternateContent>
      </w:r>
      <w:r>
        <w:rPr>
          <w:rFonts w:ascii="Georgia Pro" w:hAnsi="Georgia Pro"/>
          <w:noProof/>
          <w:color w:val="BA7A57"/>
          <w:sz w:val="72"/>
        </w:rPr>
        <mc:AlternateContent>
          <mc:Choice Requires="wps">
            <w:drawing>
              <wp:inline distT="0" distB="0" distL="0" distR="0" wp14:anchorId="3F8185F5" wp14:editId="66FCCC90">
                <wp:extent cx="4419600" cy="952500"/>
                <wp:effectExtent l="0" t="0" r="0" b="0"/>
                <wp:docPr id="334482624" name="Text Box 1"/>
                <wp:cNvGraphicFramePr/>
                <a:graphic xmlns:a="http://schemas.openxmlformats.org/drawingml/2006/main">
                  <a:graphicData uri="http://schemas.microsoft.com/office/word/2010/wordprocessingShape">
                    <wps:wsp>
                      <wps:cNvSpPr txBox="1"/>
                      <wps:spPr>
                        <a:xfrm>
                          <a:off x="0" y="0"/>
                          <a:ext cx="4419600" cy="952500"/>
                        </a:xfrm>
                        <a:prstGeom prst="rect">
                          <a:avLst/>
                        </a:prstGeom>
                        <a:noFill/>
                        <a:ln w="6350">
                          <a:noFill/>
                        </a:ln>
                      </wps:spPr>
                      <wps:txbx>
                        <w:txbxContent>
                          <w:p w14:paraId="3661574A" w14:textId="1DE9F173" w:rsidR="007C19BB" w:rsidRPr="00265440" w:rsidRDefault="007C19BB" w:rsidP="007C19B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8185F5" id="_x0000_s1027" type="#_x0000_t202" style="width:34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6DGAIAADM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" filled="f" stroked="f" strokeweight=".5pt">
                <v:textbox>
                  <w:txbxContent>
                    <w:p w14:paraId="3661574A" w14:textId="1DE9F173" w:rsidR="007C19BB" w:rsidRPr="00265440" w:rsidRDefault="007C19BB" w:rsidP="007C19BB">
                      <w:pPr>
                        <w:rPr>
                          <w:color w:val="FFFFFF" w:themeColor="background1"/>
                        </w:rPr>
                      </w:pPr>
                    </w:p>
                  </w:txbxContent>
                </v:textbox>
                <w10:anchorlock/>
              </v:shape>
            </w:pict>
          </mc:Fallback>
        </mc:AlternateContent>
      </w:r>
    </w:p>
    <w:p w14:paraId="7A5A8EFD" w14:textId="77777777" w:rsidR="00210997" w:rsidRPr="00F75F53" w:rsidRDefault="00210997" w:rsidP="00210997"/>
    <w:p w14:paraId="7F2C86ED" w14:textId="77777777" w:rsidR="00210997" w:rsidRPr="00F75F53" w:rsidRDefault="00210997" w:rsidP="00210997"/>
    <w:p w14:paraId="6A413E96" w14:textId="77777777" w:rsidR="00210997" w:rsidRPr="00F75F53" w:rsidRDefault="00210997" w:rsidP="00210997"/>
    <w:p w14:paraId="640AF082" w14:textId="77777777" w:rsidR="00210997" w:rsidRPr="00F75F53" w:rsidRDefault="00210997" w:rsidP="00210997"/>
    <w:p w14:paraId="12B99A46" w14:textId="77777777" w:rsidR="00210997" w:rsidRPr="00F75F53" w:rsidRDefault="00210997" w:rsidP="00210997"/>
    <w:p w14:paraId="75602A3F" w14:textId="77777777" w:rsidR="00210997" w:rsidRPr="00F75F53" w:rsidRDefault="00210997" w:rsidP="00210997"/>
    <w:p w14:paraId="0541A348" w14:textId="77777777" w:rsidR="00210997" w:rsidRPr="00F75F53" w:rsidRDefault="00210997" w:rsidP="00210997"/>
    <w:p w14:paraId="4221C651" w14:textId="77777777" w:rsidR="00210997" w:rsidRPr="00F75F53" w:rsidRDefault="00210997" w:rsidP="00210997"/>
    <w:p w14:paraId="24C1DE01" w14:textId="77777777" w:rsidR="00210997" w:rsidRPr="00F75F53" w:rsidRDefault="00210997" w:rsidP="00210997"/>
    <w:p w14:paraId="3C6E9844" w14:textId="77777777" w:rsidR="00210997" w:rsidRPr="00F75F53" w:rsidRDefault="00210997" w:rsidP="00210997"/>
    <w:p w14:paraId="79D4429D" w14:textId="77777777" w:rsidR="00210997" w:rsidRPr="00F75F53" w:rsidRDefault="00210997" w:rsidP="00210997"/>
    <w:p w14:paraId="5F0C8009" w14:textId="77777777" w:rsidR="00210997" w:rsidRPr="00F75F53" w:rsidRDefault="00210997" w:rsidP="00210997"/>
    <w:p w14:paraId="7D98D4F9" w14:textId="77777777" w:rsidR="00210997" w:rsidRPr="00F75F53" w:rsidRDefault="00210997" w:rsidP="00210997"/>
    <w:p w14:paraId="6B2F5063" w14:textId="77777777" w:rsidR="00210997" w:rsidRPr="00F75F53" w:rsidRDefault="00210997" w:rsidP="00210997"/>
    <w:p w14:paraId="112BD097" w14:textId="77777777" w:rsidR="00210997" w:rsidRPr="00F75F53" w:rsidRDefault="00210997" w:rsidP="00210997"/>
    <w:p w14:paraId="58EDF69D" w14:textId="77777777" w:rsidR="00210997" w:rsidRPr="00F75F53" w:rsidRDefault="00210997" w:rsidP="00210997"/>
    <w:p w14:paraId="3C1AC2FF" w14:textId="77777777" w:rsidR="00210997" w:rsidRPr="00F75F53" w:rsidRDefault="00210997" w:rsidP="00210997"/>
    <w:p w14:paraId="69B781EF" w14:textId="77777777" w:rsidR="00210997" w:rsidRPr="00F75F53" w:rsidRDefault="00210997" w:rsidP="00210997"/>
    <w:p w14:paraId="40008ABC" w14:textId="77777777" w:rsidR="00210997" w:rsidRPr="00F75F53" w:rsidRDefault="00210997" w:rsidP="00210997"/>
    <w:p w14:paraId="6FD73120" w14:textId="77777777" w:rsidR="00210997" w:rsidRPr="00F75F53" w:rsidRDefault="00210997" w:rsidP="00210997"/>
    <w:p w14:paraId="2D8488DE" w14:textId="77777777" w:rsidR="00210997" w:rsidRPr="00F75F53" w:rsidRDefault="00210997" w:rsidP="00210997">
      <w:pPr>
        <w:tabs>
          <w:tab w:val="left" w:pos="8422"/>
        </w:tabs>
      </w:pPr>
      <w:r>
        <w:tab/>
      </w:r>
    </w:p>
    <w:p w14:paraId="50838A62" w14:textId="77777777" w:rsidR="00210997" w:rsidRPr="00F75F53" w:rsidRDefault="00210997" w:rsidP="00210997">
      <w:pPr>
        <w:tabs>
          <w:tab w:val="left" w:pos="8422"/>
        </w:tabs>
        <w:sectPr w:rsidR="00210997" w:rsidRPr="00F75F53" w:rsidSect="00DB2437">
          <w:headerReference w:type="default" r:id="rId11"/>
          <w:footerReference w:type="even" r:id="rId12"/>
          <w:footerReference w:type="default" r:id="rId13"/>
          <w:headerReference w:type="first" r:id="rId14"/>
          <w:footerReference w:type="first" r:id="rId15"/>
          <w:pgSz w:w="11906" w:h="16838"/>
          <w:pgMar w:top="2041" w:right="680" w:bottom="2370" w:left="680" w:header="709" w:footer="709" w:gutter="0"/>
          <w:cols w:space="708"/>
          <w:titlePg/>
          <w:docGrid w:linePitch="360"/>
        </w:sectPr>
      </w:pPr>
      <w:r>
        <w:lastRenderedPageBreak/>
        <w:tab/>
      </w:r>
    </w:p>
    <w:sdt>
      <w:sdtPr>
        <w:rPr>
          <w:rFonts w:ascii="Arial" w:eastAsiaTheme="minorEastAsia" w:hAnsi="Arial" w:cstheme="minorBidi"/>
          <w:bCs w:val="0"/>
          <w:color w:val="auto"/>
          <w:kern w:val="2"/>
          <w:sz w:val="20"/>
          <w:szCs w:val="24"/>
          <w:lang w:eastAsia="zh-CN"/>
          <w14:ligatures w14:val="standardContextual"/>
        </w:rPr>
        <w:id w:val="-328219420"/>
        <w:docPartObj>
          <w:docPartGallery w:val="Table of Contents"/>
          <w:docPartUnique/>
        </w:docPartObj>
      </w:sdtPr>
      <w:sdtEndPr>
        <w:rPr>
          <w:b/>
          <w:noProof/>
        </w:rPr>
      </w:sdtEndPr>
      <w:sdtContent>
        <w:p w14:paraId="6160B45B" w14:textId="77777777" w:rsidR="00664D9B" w:rsidRPr="007A1F9D" w:rsidRDefault="00664D9B">
          <w:pPr>
            <w:pStyle w:val="a9"/>
            <w:rPr>
              <w:b/>
              <w:bCs w:val="0"/>
            </w:rPr>
          </w:pPr>
          <w:r w:rsidRPr="007A1F9D">
            <w:rPr>
              <w:b/>
              <w:bCs w:val="0"/>
            </w:rPr>
            <w:t>Tartalomjegyzék</w:t>
          </w:r>
        </w:p>
        <w:p w14:paraId="5DB2A9B4" w14:textId="118AFA68" w:rsidR="007A1F9D" w:rsidRPr="007A1F9D" w:rsidRDefault="00664D9B">
          <w:pPr>
            <w:pStyle w:val="20"/>
            <w:rPr>
              <w:rFonts w:asciiTheme="minorHAnsi" w:hAnsiTheme="minorHAnsi" w:cstheme="minorBidi"/>
              <w:bCs w:val="0"/>
              <w:iCs w:val="0"/>
              <w:sz w:val="24"/>
              <w:szCs w:val="24"/>
              <w:lang w:val="el-GR" w:eastAsia="el-GR"/>
            </w:rPr>
          </w:pPr>
          <w:r w:rsidRPr="007A1F9D">
            <w:rPr>
              <w:bCs w:val="0"/>
              <w:sz w:val="24"/>
            </w:rPr>
            <w:fldChar w:fldCharType="begin"/>
          </w:r>
          <w:r w:rsidRPr="007A1F9D">
            <w:rPr>
              <w:bCs w:val="0"/>
              <w:sz w:val="24"/>
            </w:rPr>
            <w:instrText xml:space="preserve"> TOC \o "1-3" \h \z \u </w:instrText>
          </w:r>
          <w:r w:rsidRPr="007A1F9D">
            <w:rPr>
              <w:bCs w:val="0"/>
              <w:sz w:val="24"/>
            </w:rPr>
            <w:fldChar w:fldCharType="separate"/>
          </w:r>
          <w:hyperlink w:anchor="_Toc172814421" w:history="1">
            <w:r w:rsidR="007A1F9D" w:rsidRPr="007A1F9D">
              <w:rPr>
                <w:rStyle w:val="-"/>
                <w:bCs w:val="0"/>
              </w:rPr>
              <w:t>1.</w:t>
            </w:r>
            <w:r w:rsidR="007A1F9D" w:rsidRPr="007A1F9D">
              <w:rPr>
                <w:rFonts w:asciiTheme="minorHAnsi" w:hAnsiTheme="minorHAnsi" w:cstheme="minorBidi"/>
                <w:bCs w:val="0"/>
                <w:iCs w:val="0"/>
                <w:sz w:val="24"/>
                <w:szCs w:val="24"/>
                <w:lang w:val="el-GR" w:eastAsia="el-GR"/>
              </w:rPr>
              <w:tab/>
            </w:r>
            <w:r w:rsidR="007A1F9D" w:rsidRPr="007A1F9D">
              <w:rPr>
                <w:rStyle w:val="-"/>
                <w:bCs w:val="0"/>
              </w:rPr>
              <w:t>Bevezetés</w:t>
            </w:r>
            <w:r w:rsidR="007A1F9D" w:rsidRPr="007A1F9D">
              <w:rPr>
                <w:bCs w:val="0"/>
                <w:webHidden/>
              </w:rPr>
              <w:tab/>
            </w:r>
            <w:r w:rsidR="007A1F9D" w:rsidRPr="007A1F9D">
              <w:rPr>
                <w:bCs w:val="0"/>
                <w:webHidden/>
              </w:rPr>
              <w:fldChar w:fldCharType="begin"/>
            </w:r>
            <w:r w:rsidR="007A1F9D" w:rsidRPr="007A1F9D">
              <w:rPr>
                <w:bCs w:val="0"/>
                <w:webHidden/>
              </w:rPr>
              <w:instrText xml:space="preserve"> PAGEREF _Toc172814421 \h </w:instrText>
            </w:r>
            <w:r w:rsidR="007A1F9D" w:rsidRPr="007A1F9D">
              <w:rPr>
                <w:bCs w:val="0"/>
                <w:webHidden/>
              </w:rPr>
            </w:r>
            <w:r w:rsidR="007A1F9D" w:rsidRPr="007A1F9D">
              <w:rPr>
                <w:bCs w:val="0"/>
                <w:webHidden/>
              </w:rPr>
              <w:fldChar w:fldCharType="separate"/>
            </w:r>
            <w:r w:rsidR="007A1F9D" w:rsidRPr="007A1F9D">
              <w:rPr>
                <w:bCs w:val="0"/>
                <w:webHidden/>
              </w:rPr>
              <w:t>4</w:t>
            </w:r>
            <w:r w:rsidR="007A1F9D" w:rsidRPr="007A1F9D">
              <w:rPr>
                <w:bCs w:val="0"/>
                <w:webHidden/>
              </w:rPr>
              <w:fldChar w:fldCharType="end"/>
            </w:r>
          </w:hyperlink>
        </w:p>
        <w:p w14:paraId="2A2549C4" w14:textId="5A2EA328" w:rsidR="007A1F9D" w:rsidRPr="007A1F9D" w:rsidRDefault="00A3551A">
          <w:pPr>
            <w:pStyle w:val="20"/>
            <w:rPr>
              <w:rFonts w:asciiTheme="minorHAnsi" w:hAnsiTheme="minorHAnsi" w:cstheme="minorBidi"/>
              <w:bCs w:val="0"/>
              <w:iCs w:val="0"/>
              <w:sz w:val="24"/>
              <w:szCs w:val="24"/>
              <w:lang w:val="el-GR" w:eastAsia="el-GR"/>
            </w:rPr>
          </w:pPr>
          <w:hyperlink w:anchor="_Toc172814422" w:history="1">
            <w:r w:rsidR="007A1F9D" w:rsidRPr="007A1F9D">
              <w:rPr>
                <w:rStyle w:val="-"/>
                <w:bCs w:val="0"/>
              </w:rPr>
              <w:t>2.</w:t>
            </w:r>
            <w:r w:rsidR="007A1F9D" w:rsidRPr="007A1F9D">
              <w:rPr>
                <w:rFonts w:asciiTheme="minorHAnsi" w:hAnsiTheme="minorHAnsi" w:cstheme="minorBidi"/>
                <w:bCs w:val="0"/>
                <w:iCs w:val="0"/>
                <w:sz w:val="24"/>
                <w:szCs w:val="24"/>
                <w:lang w:val="el-GR" w:eastAsia="el-GR"/>
              </w:rPr>
              <w:tab/>
            </w:r>
            <w:r w:rsidR="007A1F9D" w:rsidRPr="007A1F9D">
              <w:rPr>
                <w:rStyle w:val="-"/>
                <w:bCs w:val="0"/>
              </w:rPr>
              <w:t>Alkalmazási kör és joghatóság</w:t>
            </w:r>
            <w:r w:rsidR="007A1F9D" w:rsidRPr="007A1F9D">
              <w:rPr>
                <w:bCs w:val="0"/>
                <w:webHidden/>
              </w:rPr>
              <w:tab/>
            </w:r>
            <w:r w:rsidR="007A1F9D" w:rsidRPr="007A1F9D">
              <w:rPr>
                <w:bCs w:val="0"/>
                <w:webHidden/>
              </w:rPr>
              <w:fldChar w:fldCharType="begin"/>
            </w:r>
            <w:r w:rsidR="007A1F9D" w:rsidRPr="007A1F9D">
              <w:rPr>
                <w:bCs w:val="0"/>
                <w:webHidden/>
              </w:rPr>
              <w:instrText xml:space="preserve"> PAGEREF _Toc172814422 \h </w:instrText>
            </w:r>
            <w:r w:rsidR="007A1F9D" w:rsidRPr="007A1F9D">
              <w:rPr>
                <w:bCs w:val="0"/>
                <w:webHidden/>
              </w:rPr>
            </w:r>
            <w:r w:rsidR="007A1F9D" w:rsidRPr="007A1F9D">
              <w:rPr>
                <w:bCs w:val="0"/>
                <w:webHidden/>
              </w:rPr>
              <w:fldChar w:fldCharType="separate"/>
            </w:r>
            <w:r w:rsidR="007A1F9D" w:rsidRPr="007A1F9D">
              <w:rPr>
                <w:bCs w:val="0"/>
                <w:webHidden/>
              </w:rPr>
              <w:t>4</w:t>
            </w:r>
            <w:r w:rsidR="007A1F9D" w:rsidRPr="007A1F9D">
              <w:rPr>
                <w:bCs w:val="0"/>
                <w:webHidden/>
              </w:rPr>
              <w:fldChar w:fldCharType="end"/>
            </w:r>
          </w:hyperlink>
        </w:p>
        <w:p w14:paraId="738BA2D7" w14:textId="1D28DFB1" w:rsidR="007A1F9D" w:rsidRPr="007A1F9D" w:rsidRDefault="00A3551A">
          <w:pPr>
            <w:pStyle w:val="30"/>
            <w:rPr>
              <w:rFonts w:asciiTheme="minorHAnsi" w:hAnsiTheme="minorHAnsi" w:cstheme="minorBidi"/>
              <w:b/>
              <w:noProof/>
              <w:sz w:val="24"/>
              <w:szCs w:val="24"/>
              <w:lang w:val="el-GR" w:eastAsia="el-GR"/>
            </w:rPr>
          </w:pPr>
          <w:hyperlink w:anchor="_Toc172814423" w:history="1">
            <w:r w:rsidR="007A1F9D" w:rsidRPr="007A1F9D">
              <w:rPr>
                <w:rStyle w:val="-"/>
                <w:rFonts w:ascii="Georgia Pro" w:hAnsi="Georgia Pro"/>
                <w:b/>
                <w:noProof/>
              </w:rPr>
              <w:t>3.</w:t>
            </w:r>
            <w:r w:rsidR="007A1F9D" w:rsidRPr="007A1F9D">
              <w:rPr>
                <w:rFonts w:asciiTheme="minorHAnsi" w:hAnsiTheme="minorHAnsi" w:cstheme="minorBidi"/>
                <w:b/>
                <w:noProof/>
                <w:sz w:val="24"/>
                <w:szCs w:val="24"/>
                <w:lang w:val="el-GR" w:eastAsia="el-GR"/>
              </w:rPr>
              <w:tab/>
            </w:r>
            <w:r w:rsidR="007A1F9D" w:rsidRPr="007A1F9D">
              <w:rPr>
                <w:rStyle w:val="-"/>
                <w:rFonts w:ascii="Georgia Pro" w:hAnsi="Georgia Pro"/>
                <w:b/>
                <w:noProof/>
              </w:rPr>
              <w:t>A kódex és szabályzat célja, kidolgozása és alkalmazása</w:t>
            </w:r>
            <w:r w:rsidR="007A1F9D" w:rsidRPr="007A1F9D">
              <w:rPr>
                <w:b/>
                <w:noProof/>
                <w:webHidden/>
              </w:rPr>
              <w:tab/>
            </w:r>
            <w:r w:rsidR="007A1F9D" w:rsidRPr="007A1F9D">
              <w:rPr>
                <w:b/>
                <w:noProof/>
                <w:webHidden/>
              </w:rPr>
              <w:fldChar w:fldCharType="begin"/>
            </w:r>
            <w:r w:rsidR="007A1F9D" w:rsidRPr="007A1F9D">
              <w:rPr>
                <w:b/>
                <w:noProof/>
                <w:webHidden/>
              </w:rPr>
              <w:instrText xml:space="preserve"> PAGEREF _Toc172814423 \h </w:instrText>
            </w:r>
            <w:r w:rsidR="007A1F9D" w:rsidRPr="007A1F9D">
              <w:rPr>
                <w:b/>
                <w:noProof/>
                <w:webHidden/>
              </w:rPr>
            </w:r>
            <w:r w:rsidR="007A1F9D" w:rsidRPr="007A1F9D">
              <w:rPr>
                <w:b/>
                <w:noProof/>
                <w:webHidden/>
              </w:rPr>
              <w:fldChar w:fldCharType="separate"/>
            </w:r>
            <w:r w:rsidR="007A1F9D" w:rsidRPr="007A1F9D">
              <w:rPr>
                <w:b/>
                <w:noProof/>
                <w:webHidden/>
              </w:rPr>
              <w:t>4</w:t>
            </w:r>
            <w:r w:rsidR="007A1F9D" w:rsidRPr="007A1F9D">
              <w:rPr>
                <w:b/>
                <w:noProof/>
                <w:webHidden/>
              </w:rPr>
              <w:fldChar w:fldCharType="end"/>
            </w:r>
          </w:hyperlink>
        </w:p>
        <w:p w14:paraId="3E3EB015" w14:textId="7DC25A5B" w:rsidR="007A1F9D" w:rsidRPr="007A1F9D" w:rsidRDefault="00A3551A">
          <w:pPr>
            <w:pStyle w:val="30"/>
            <w:rPr>
              <w:rFonts w:asciiTheme="minorHAnsi" w:hAnsiTheme="minorHAnsi" w:cstheme="minorBidi"/>
              <w:b/>
              <w:noProof/>
              <w:sz w:val="24"/>
              <w:szCs w:val="24"/>
              <w:lang w:val="el-GR" w:eastAsia="el-GR"/>
            </w:rPr>
          </w:pPr>
          <w:hyperlink w:anchor="_Toc172814426" w:history="1">
            <w:r w:rsidR="007A1F9D" w:rsidRPr="007A1F9D">
              <w:rPr>
                <w:rStyle w:val="-"/>
                <w:rFonts w:ascii="Georgia Pro" w:hAnsi="Georgia Pro"/>
                <w:b/>
                <w:noProof/>
              </w:rPr>
              <w:t>4.</w:t>
            </w:r>
            <w:r w:rsidR="007A1F9D" w:rsidRPr="007A1F9D">
              <w:rPr>
                <w:rFonts w:asciiTheme="minorHAnsi" w:hAnsiTheme="minorHAnsi" w:cstheme="minorBidi"/>
                <w:b/>
                <w:noProof/>
                <w:sz w:val="24"/>
                <w:szCs w:val="24"/>
                <w:lang w:val="el-GR" w:eastAsia="el-GR"/>
              </w:rPr>
              <w:tab/>
            </w:r>
            <w:r w:rsidR="007A1F9D" w:rsidRPr="007A1F9D">
              <w:rPr>
                <w:rStyle w:val="-"/>
                <w:rFonts w:ascii="Georgia Pro" w:hAnsi="Georgia Pro"/>
                <w:b/>
                <w:noProof/>
              </w:rPr>
              <w:t>A kódexre és a szabályzatra vonatkozó szabályozási elvek</w:t>
            </w:r>
            <w:r w:rsidR="007A1F9D" w:rsidRPr="007A1F9D">
              <w:rPr>
                <w:b/>
                <w:noProof/>
                <w:webHidden/>
              </w:rPr>
              <w:tab/>
            </w:r>
            <w:r w:rsidR="007A1F9D" w:rsidRPr="007A1F9D">
              <w:rPr>
                <w:b/>
                <w:noProof/>
                <w:webHidden/>
              </w:rPr>
              <w:fldChar w:fldCharType="begin"/>
            </w:r>
            <w:r w:rsidR="007A1F9D" w:rsidRPr="007A1F9D">
              <w:rPr>
                <w:b/>
                <w:noProof/>
                <w:webHidden/>
              </w:rPr>
              <w:instrText xml:space="preserve"> PAGEREF _Toc172814426 \h </w:instrText>
            </w:r>
            <w:r w:rsidR="007A1F9D" w:rsidRPr="007A1F9D">
              <w:rPr>
                <w:b/>
                <w:noProof/>
                <w:webHidden/>
              </w:rPr>
            </w:r>
            <w:r w:rsidR="007A1F9D" w:rsidRPr="007A1F9D">
              <w:rPr>
                <w:b/>
                <w:noProof/>
                <w:webHidden/>
              </w:rPr>
              <w:fldChar w:fldCharType="separate"/>
            </w:r>
            <w:r w:rsidR="007A1F9D" w:rsidRPr="007A1F9D">
              <w:rPr>
                <w:b/>
                <w:noProof/>
                <w:webHidden/>
              </w:rPr>
              <w:t>5</w:t>
            </w:r>
            <w:r w:rsidR="007A1F9D" w:rsidRPr="007A1F9D">
              <w:rPr>
                <w:b/>
                <w:noProof/>
                <w:webHidden/>
              </w:rPr>
              <w:fldChar w:fldCharType="end"/>
            </w:r>
          </w:hyperlink>
        </w:p>
        <w:p w14:paraId="7ECCE69E" w14:textId="7F467B84" w:rsidR="007A1F9D" w:rsidRPr="007A1F9D" w:rsidRDefault="00A3551A">
          <w:pPr>
            <w:pStyle w:val="20"/>
            <w:rPr>
              <w:rFonts w:asciiTheme="minorHAnsi" w:hAnsiTheme="minorHAnsi" w:cstheme="minorBidi"/>
              <w:bCs w:val="0"/>
              <w:iCs w:val="0"/>
              <w:sz w:val="24"/>
              <w:szCs w:val="24"/>
              <w:lang w:val="el-GR" w:eastAsia="el-GR"/>
            </w:rPr>
          </w:pPr>
          <w:hyperlink w:anchor="_Toc172814429" w:history="1">
            <w:r w:rsidR="007A1F9D" w:rsidRPr="007A1F9D">
              <w:rPr>
                <w:rStyle w:val="-"/>
                <w:bCs w:val="0"/>
              </w:rPr>
              <w:t>5.</w:t>
            </w:r>
            <w:r w:rsidR="007A1F9D" w:rsidRPr="007A1F9D">
              <w:rPr>
                <w:rFonts w:asciiTheme="minorHAnsi" w:hAnsiTheme="minorHAnsi" w:cstheme="minorBidi"/>
                <w:bCs w:val="0"/>
                <w:iCs w:val="0"/>
                <w:sz w:val="24"/>
                <w:szCs w:val="24"/>
                <w:lang w:val="el-GR" w:eastAsia="el-GR"/>
              </w:rPr>
              <w:tab/>
            </w:r>
            <w:r w:rsidR="007A1F9D" w:rsidRPr="007A1F9D">
              <w:rPr>
                <w:rStyle w:val="-"/>
                <w:bCs w:val="0"/>
              </w:rPr>
              <w:t>Elválaszthatóság</w:t>
            </w:r>
            <w:r w:rsidR="007A1F9D" w:rsidRPr="007A1F9D">
              <w:rPr>
                <w:bCs w:val="0"/>
                <w:webHidden/>
              </w:rPr>
              <w:tab/>
            </w:r>
            <w:r w:rsidR="007A1F9D" w:rsidRPr="007A1F9D">
              <w:rPr>
                <w:bCs w:val="0"/>
                <w:webHidden/>
              </w:rPr>
              <w:fldChar w:fldCharType="begin"/>
            </w:r>
            <w:r w:rsidR="007A1F9D" w:rsidRPr="007A1F9D">
              <w:rPr>
                <w:bCs w:val="0"/>
                <w:webHidden/>
              </w:rPr>
              <w:instrText xml:space="preserve"> PAGEREF _Toc172814429 \h </w:instrText>
            </w:r>
            <w:r w:rsidR="007A1F9D" w:rsidRPr="007A1F9D">
              <w:rPr>
                <w:bCs w:val="0"/>
                <w:webHidden/>
              </w:rPr>
            </w:r>
            <w:r w:rsidR="007A1F9D" w:rsidRPr="007A1F9D">
              <w:rPr>
                <w:bCs w:val="0"/>
                <w:webHidden/>
              </w:rPr>
              <w:fldChar w:fldCharType="separate"/>
            </w:r>
            <w:r w:rsidR="007A1F9D" w:rsidRPr="007A1F9D">
              <w:rPr>
                <w:bCs w:val="0"/>
                <w:webHidden/>
              </w:rPr>
              <w:t>7</w:t>
            </w:r>
            <w:r w:rsidR="007A1F9D" w:rsidRPr="007A1F9D">
              <w:rPr>
                <w:bCs w:val="0"/>
                <w:webHidden/>
              </w:rPr>
              <w:fldChar w:fldCharType="end"/>
            </w:r>
          </w:hyperlink>
        </w:p>
        <w:p w14:paraId="15B83922" w14:textId="1F0E6745" w:rsidR="007A1F9D" w:rsidRPr="007A1F9D" w:rsidRDefault="00A3551A">
          <w:pPr>
            <w:pStyle w:val="20"/>
            <w:rPr>
              <w:rFonts w:asciiTheme="minorHAnsi" w:hAnsiTheme="minorHAnsi" w:cstheme="minorBidi"/>
              <w:bCs w:val="0"/>
              <w:iCs w:val="0"/>
              <w:sz w:val="24"/>
              <w:szCs w:val="24"/>
              <w:lang w:val="el-GR" w:eastAsia="el-GR"/>
            </w:rPr>
          </w:pPr>
          <w:hyperlink w:anchor="_Toc172814430" w:history="1">
            <w:r w:rsidR="007A1F9D" w:rsidRPr="007A1F9D">
              <w:rPr>
                <w:rStyle w:val="-"/>
                <w:bCs w:val="0"/>
              </w:rPr>
              <w:t>6.</w:t>
            </w:r>
            <w:r w:rsidR="007A1F9D" w:rsidRPr="007A1F9D">
              <w:rPr>
                <w:rFonts w:asciiTheme="minorHAnsi" w:hAnsiTheme="minorHAnsi" w:cstheme="minorBidi"/>
                <w:bCs w:val="0"/>
                <w:iCs w:val="0"/>
                <w:sz w:val="24"/>
                <w:szCs w:val="24"/>
                <w:lang w:val="el-GR" w:eastAsia="el-GR"/>
              </w:rPr>
              <w:tab/>
            </w:r>
            <w:r w:rsidR="007A1F9D" w:rsidRPr="007A1F9D">
              <w:rPr>
                <w:rStyle w:val="-"/>
                <w:bCs w:val="0"/>
              </w:rPr>
              <w:t>Mentesség</w:t>
            </w:r>
            <w:r w:rsidR="007A1F9D" w:rsidRPr="007A1F9D">
              <w:rPr>
                <w:bCs w:val="0"/>
                <w:webHidden/>
              </w:rPr>
              <w:tab/>
            </w:r>
            <w:r w:rsidR="007A1F9D" w:rsidRPr="007A1F9D">
              <w:rPr>
                <w:bCs w:val="0"/>
                <w:webHidden/>
              </w:rPr>
              <w:fldChar w:fldCharType="begin"/>
            </w:r>
            <w:r w:rsidR="007A1F9D" w:rsidRPr="007A1F9D">
              <w:rPr>
                <w:bCs w:val="0"/>
                <w:webHidden/>
              </w:rPr>
              <w:instrText xml:space="preserve"> PAGEREF _Toc172814430 \h </w:instrText>
            </w:r>
            <w:r w:rsidR="007A1F9D" w:rsidRPr="007A1F9D">
              <w:rPr>
                <w:bCs w:val="0"/>
                <w:webHidden/>
              </w:rPr>
            </w:r>
            <w:r w:rsidR="007A1F9D" w:rsidRPr="007A1F9D">
              <w:rPr>
                <w:bCs w:val="0"/>
                <w:webHidden/>
              </w:rPr>
              <w:fldChar w:fldCharType="separate"/>
            </w:r>
            <w:r w:rsidR="007A1F9D" w:rsidRPr="007A1F9D">
              <w:rPr>
                <w:bCs w:val="0"/>
                <w:webHidden/>
              </w:rPr>
              <w:t>7</w:t>
            </w:r>
            <w:r w:rsidR="007A1F9D" w:rsidRPr="007A1F9D">
              <w:rPr>
                <w:bCs w:val="0"/>
                <w:webHidden/>
              </w:rPr>
              <w:fldChar w:fldCharType="end"/>
            </w:r>
          </w:hyperlink>
        </w:p>
        <w:p w14:paraId="57747909" w14:textId="56D5659E" w:rsidR="007A1F9D" w:rsidRPr="007A1F9D" w:rsidRDefault="00A3551A">
          <w:pPr>
            <w:pStyle w:val="20"/>
            <w:rPr>
              <w:rFonts w:asciiTheme="minorHAnsi" w:hAnsiTheme="minorHAnsi" w:cstheme="minorBidi"/>
              <w:bCs w:val="0"/>
              <w:iCs w:val="0"/>
              <w:sz w:val="24"/>
              <w:szCs w:val="24"/>
              <w:lang w:val="el-GR" w:eastAsia="el-GR"/>
            </w:rPr>
          </w:pPr>
          <w:hyperlink w:anchor="_Toc172814431" w:history="1">
            <w:r w:rsidR="007A1F9D" w:rsidRPr="007A1F9D">
              <w:rPr>
                <w:rStyle w:val="-"/>
                <w:bCs w:val="0"/>
              </w:rPr>
              <w:t>7.</w:t>
            </w:r>
            <w:r w:rsidR="007A1F9D" w:rsidRPr="007A1F9D">
              <w:rPr>
                <w:rFonts w:asciiTheme="minorHAnsi" w:hAnsiTheme="minorHAnsi" w:cstheme="minorBidi"/>
                <w:bCs w:val="0"/>
                <w:iCs w:val="0"/>
                <w:sz w:val="24"/>
                <w:szCs w:val="24"/>
                <w:lang w:val="el-GR" w:eastAsia="el-GR"/>
              </w:rPr>
              <w:tab/>
            </w:r>
            <w:r w:rsidR="007A1F9D" w:rsidRPr="007A1F9D">
              <w:rPr>
                <w:rStyle w:val="-"/>
                <w:bCs w:val="0"/>
              </w:rPr>
              <w:t>Megfelelés és végrehajtás</w:t>
            </w:r>
            <w:r w:rsidR="007A1F9D" w:rsidRPr="007A1F9D">
              <w:rPr>
                <w:bCs w:val="0"/>
                <w:webHidden/>
              </w:rPr>
              <w:tab/>
            </w:r>
            <w:r w:rsidR="007A1F9D" w:rsidRPr="007A1F9D">
              <w:rPr>
                <w:bCs w:val="0"/>
                <w:webHidden/>
              </w:rPr>
              <w:fldChar w:fldCharType="begin"/>
            </w:r>
            <w:r w:rsidR="007A1F9D" w:rsidRPr="007A1F9D">
              <w:rPr>
                <w:bCs w:val="0"/>
                <w:webHidden/>
              </w:rPr>
              <w:instrText xml:space="preserve"> PAGEREF _Toc172814431 \h </w:instrText>
            </w:r>
            <w:r w:rsidR="007A1F9D" w:rsidRPr="007A1F9D">
              <w:rPr>
                <w:bCs w:val="0"/>
                <w:webHidden/>
              </w:rPr>
            </w:r>
            <w:r w:rsidR="007A1F9D" w:rsidRPr="007A1F9D">
              <w:rPr>
                <w:bCs w:val="0"/>
                <w:webHidden/>
              </w:rPr>
              <w:fldChar w:fldCharType="separate"/>
            </w:r>
            <w:r w:rsidR="007A1F9D" w:rsidRPr="007A1F9D">
              <w:rPr>
                <w:bCs w:val="0"/>
                <w:webHidden/>
              </w:rPr>
              <w:t>8</w:t>
            </w:r>
            <w:r w:rsidR="007A1F9D" w:rsidRPr="007A1F9D">
              <w:rPr>
                <w:bCs w:val="0"/>
                <w:webHidden/>
              </w:rPr>
              <w:fldChar w:fldCharType="end"/>
            </w:r>
          </w:hyperlink>
        </w:p>
        <w:p w14:paraId="2A542424" w14:textId="642EF6B4" w:rsidR="007A1F9D" w:rsidRPr="007A1F9D" w:rsidRDefault="00A3551A">
          <w:pPr>
            <w:pStyle w:val="20"/>
            <w:rPr>
              <w:rFonts w:asciiTheme="minorHAnsi" w:hAnsiTheme="minorHAnsi" w:cstheme="minorBidi"/>
              <w:bCs w:val="0"/>
              <w:iCs w:val="0"/>
              <w:sz w:val="24"/>
              <w:szCs w:val="24"/>
              <w:lang w:val="el-GR" w:eastAsia="el-GR"/>
            </w:rPr>
          </w:pPr>
          <w:hyperlink w:anchor="_Toc172814432" w:history="1">
            <w:r w:rsidR="007A1F9D" w:rsidRPr="007A1F9D">
              <w:rPr>
                <w:rStyle w:val="-"/>
                <w:bCs w:val="0"/>
              </w:rPr>
              <w:t>8.</w:t>
            </w:r>
            <w:r w:rsidR="007A1F9D" w:rsidRPr="007A1F9D">
              <w:rPr>
                <w:rFonts w:asciiTheme="minorHAnsi" w:hAnsiTheme="minorHAnsi" w:cstheme="minorBidi"/>
                <w:bCs w:val="0"/>
                <w:iCs w:val="0"/>
                <w:sz w:val="24"/>
                <w:szCs w:val="24"/>
                <w:lang w:val="el-GR" w:eastAsia="el-GR"/>
              </w:rPr>
              <w:tab/>
            </w:r>
            <w:r w:rsidR="007A1F9D" w:rsidRPr="007A1F9D">
              <w:rPr>
                <w:rStyle w:val="-"/>
                <w:bCs w:val="0"/>
              </w:rPr>
              <w:t>Panaszok</w:t>
            </w:r>
            <w:r w:rsidR="007A1F9D" w:rsidRPr="007A1F9D">
              <w:rPr>
                <w:bCs w:val="0"/>
                <w:webHidden/>
              </w:rPr>
              <w:tab/>
            </w:r>
            <w:r w:rsidR="007A1F9D" w:rsidRPr="007A1F9D">
              <w:rPr>
                <w:bCs w:val="0"/>
                <w:webHidden/>
              </w:rPr>
              <w:fldChar w:fldCharType="begin"/>
            </w:r>
            <w:r w:rsidR="007A1F9D" w:rsidRPr="007A1F9D">
              <w:rPr>
                <w:bCs w:val="0"/>
                <w:webHidden/>
              </w:rPr>
              <w:instrText xml:space="preserve"> PAGEREF _Toc172814432 \h </w:instrText>
            </w:r>
            <w:r w:rsidR="007A1F9D" w:rsidRPr="007A1F9D">
              <w:rPr>
                <w:bCs w:val="0"/>
                <w:webHidden/>
              </w:rPr>
            </w:r>
            <w:r w:rsidR="007A1F9D" w:rsidRPr="007A1F9D">
              <w:rPr>
                <w:bCs w:val="0"/>
                <w:webHidden/>
              </w:rPr>
              <w:fldChar w:fldCharType="separate"/>
            </w:r>
            <w:r w:rsidR="007A1F9D" w:rsidRPr="007A1F9D">
              <w:rPr>
                <w:bCs w:val="0"/>
                <w:webHidden/>
              </w:rPr>
              <w:t>8</w:t>
            </w:r>
            <w:r w:rsidR="007A1F9D" w:rsidRPr="007A1F9D">
              <w:rPr>
                <w:bCs w:val="0"/>
                <w:webHidden/>
              </w:rPr>
              <w:fldChar w:fldCharType="end"/>
            </w:r>
          </w:hyperlink>
        </w:p>
        <w:p w14:paraId="78FB32B2" w14:textId="6F456AE8" w:rsidR="007A1F9D" w:rsidRPr="007A1F9D" w:rsidRDefault="00A3551A">
          <w:pPr>
            <w:pStyle w:val="20"/>
            <w:rPr>
              <w:rFonts w:asciiTheme="minorHAnsi" w:hAnsiTheme="minorHAnsi" w:cstheme="minorBidi"/>
              <w:bCs w:val="0"/>
              <w:iCs w:val="0"/>
              <w:sz w:val="24"/>
              <w:szCs w:val="24"/>
              <w:lang w:val="el-GR" w:eastAsia="el-GR"/>
            </w:rPr>
          </w:pPr>
          <w:hyperlink w:anchor="_Toc172814433" w:history="1">
            <w:r w:rsidR="007A1F9D" w:rsidRPr="007A1F9D">
              <w:rPr>
                <w:rStyle w:val="-"/>
                <w:bCs w:val="0"/>
              </w:rPr>
              <w:t>9.</w:t>
            </w:r>
            <w:r w:rsidR="007A1F9D" w:rsidRPr="007A1F9D">
              <w:rPr>
                <w:rFonts w:asciiTheme="minorHAnsi" w:hAnsiTheme="minorHAnsi" w:cstheme="minorBidi"/>
                <w:bCs w:val="0"/>
                <w:iCs w:val="0"/>
                <w:sz w:val="24"/>
                <w:szCs w:val="24"/>
                <w:lang w:val="el-GR" w:eastAsia="el-GR"/>
              </w:rPr>
              <w:tab/>
            </w:r>
            <w:r w:rsidR="007A1F9D" w:rsidRPr="007A1F9D">
              <w:rPr>
                <w:rStyle w:val="-"/>
                <w:bCs w:val="0"/>
              </w:rPr>
              <w:t>Fogalommeghatározások – Médiaszolgáltatási kódex és médiaszolgáltatási szabályzat</w:t>
            </w:r>
            <w:r w:rsidR="007A1F9D" w:rsidRPr="007A1F9D">
              <w:rPr>
                <w:bCs w:val="0"/>
                <w:webHidden/>
              </w:rPr>
              <w:tab/>
            </w:r>
            <w:r w:rsidR="007A1F9D" w:rsidRPr="007A1F9D">
              <w:rPr>
                <w:bCs w:val="0"/>
                <w:webHidden/>
              </w:rPr>
              <w:fldChar w:fldCharType="begin"/>
            </w:r>
            <w:r w:rsidR="007A1F9D" w:rsidRPr="007A1F9D">
              <w:rPr>
                <w:bCs w:val="0"/>
                <w:webHidden/>
              </w:rPr>
              <w:instrText xml:space="preserve"> PAGEREF _Toc172814433 \h </w:instrText>
            </w:r>
            <w:r w:rsidR="007A1F9D" w:rsidRPr="007A1F9D">
              <w:rPr>
                <w:bCs w:val="0"/>
                <w:webHidden/>
              </w:rPr>
            </w:r>
            <w:r w:rsidR="007A1F9D" w:rsidRPr="007A1F9D">
              <w:rPr>
                <w:bCs w:val="0"/>
                <w:webHidden/>
              </w:rPr>
              <w:fldChar w:fldCharType="separate"/>
            </w:r>
            <w:r w:rsidR="007A1F9D" w:rsidRPr="007A1F9D">
              <w:rPr>
                <w:bCs w:val="0"/>
                <w:webHidden/>
              </w:rPr>
              <w:t>8</w:t>
            </w:r>
            <w:r w:rsidR="007A1F9D" w:rsidRPr="007A1F9D">
              <w:rPr>
                <w:bCs w:val="0"/>
                <w:webHidden/>
              </w:rPr>
              <w:fldChar w:fldCharType="end"/>
            </w:r>
          </w:hyperlink>
        </w:p>
        <w:p w14:paraId="57D4CAA7" w14:textId="34214866" w:rsidR="007A1F9D" w:rsidRPr="007A1F9D" w:rsidRDefault="00A3551A">
          <w:pPr>
            <w:pStyle w:val="10"/>
            <w:rPr>
              <w:rFonts w:asciiTheme="minorHAnsi" w:hAnsiTheme="minorHAnsi" w:cstheme="minorBidi"/>
              <w:bCs w:val="0"/>
              <w:noProof/>
              <w:sz w:val="24"/>
              <w:szCs w:val="24"/>
              <w:lang w:val="el-GR" w:eastAsia="el-GR"/>
            </w:rPr>
          </w:pPr>
          <w:hyperlink w:anchor="_Toc172814434" w:history="1">
            <w:r w:rsidR="007A1F9D" w:rsidRPr="007A1F9D">
              <w:rPr>
                <w:rStyle w:val="-"/>
                <w:rFonts w:ascii="Georgia Pro" w:hAnsi="Georgia Pro"/>
                <w:bCs w:val="0"/>
                <w:noProof/>
              </w:rPr>
              <w:t>A médiaszolgáltatási kódex rendelkezései</w:t>
            </w:r>
            <w:r w:rsidR="007A1F9D" w:rsidRPr="007A1F9D">
              <w:rPr>
                <w:bCs w:val="0"/>
                <w:noProof/>
                <w:webHidden/>
              </w:rPr>
              <w:tab/>
            </w:r>
            <w:r w:rsidR="007A1F9D" w:rsidRPr="007A1F9D">
              <w:rPr>
                <w:bCs w:val="0"/>
                <w:noProof/>
                <w:webHidden/>
              </w:rPr>
              <w:fldChar w:fldCharType="begin"/>
            </w:r>
            <w:r w:rsidR="007A1F9D" w:rsidRPr="007A1F9D">
              <w:rPr>
                <w:bCs w:val="0"/>
                <w:noProof/>
                <w:webHidden/>
              </w:rPr>
              <w:instrText xml:space="preserve"> PAGEREF _Toc172814434 \h </w:instrText>
            </w:r>
            <w:r w:rsidR="007A1F9D" w:rsidRPr="007A1F9D">
              <w:rPr>
                <w:bCs w:val="0"/>
                <w:noProof/>
                <w:webHidden/>
              </w:rPr>
            </w:r>
            <w:r w:rsidR="007A1F9D" w:rsidRPr="007A1F9D">
              <w:rPr>
                <w:bCs w:val="0"/>
                <w:noProof/>
                <w:webHidden/>
              </w:rPr>
              <w:fldChar w:fldCharType="separate"/>
            </w:r>
            <w:r w:rsidR="007A1F9D" w:rsidRPr="007A1F9D">
              <w:rPr>
                <w:bCs w:val="0"/>
                <w:noProof/>
                <w:webHidden/>
              </w:rPr>
              <w:t>10</w:t>
            </w:r>
            <w:r w:rsidR="007A1F9D" w:rsidRPr="007A1F9D">
              <w:rPr>
                <w:bCs w:val="0"/>
                <w:noProof/>
                <w:webHidden/>
              </w:rPr>
              <w:fldChar w:fldCharType="end"/>
            </w:r>
          </w:hyperlink>
        </w:p>
        <w:p w14:paraId="196F4967" w14:textId="74B048C4" w:rsidR="007A1F9D" w:rsidRPr="007A1F9D" w:rsidRDefault="00A3551A">
          <w:pPr>
            <w:pStyle w:val="20"/>
            <w:rPr>
              <w:rFonts w:asciiTheme="minorHAnsi" w:hAnsiTheme="minorHAnsi" w:cstheme="minorBidi"/>
              <w:bCs w:val="0"/>
              <w:iCs w:val="0"/>
              <w:sz w:val="24"/>
              <w:szCs w:val="24"/>
              <w:lang w:val="el-GR" w:eastAsia="el-GR"/>
            </w:rPr>
          </w:pPr>
          <w:hyperlink w:anchor="_Toc172814435" w:history="1">
            <w:r w:rsidR="007A1F9D" w:rsidRPr="007A1F9D">
              <w:rPr>
                <w:rStyle w:val="-"/>
                <w:bCs w:val="0"/>
              </w:rPr>
              <w:t>10.</w:t>
            </w:r>
            <w:r w:rsidR="007A1F9D" w:rsidRPr="007A1F9D">
              <w:rPr>
                <w:rFonts w:asciiTheme="minorHAnsi" w:hAnsiTheme="minorHAnsi" w:cstheme="minorBidi"/>
                <w:bCs w:val="0"/>
                <w:iCs w:val="0"/>
                <w:sz w:val="24"/>
                <w:szCs w:val="24"/>
                <w:lang w:val="el-GR" w:eastAsia="el-GR"/>
              </w:rPr>
              <w:tab/>
            </w:r>
            <w:r w:rsidR="007A1F9D" w:rsidRPr="007A1F9D">
              <w:rPr>
                <w:rStyle w:val="-"/>
                <w:bCs w:val="0"/>
              </w:rPr>
              <w:t>Káros tartalom</w:t>
            </w:r>
            <w:r w:rsidR="007A1F9D" w:rsidRPr="007A1F9D">
              <w:rPr>
                <w:bCs w:val="0"/>
                <w:webHidden/>
              </w:rPr>
              <w:tab/>
            </w:r>
            <w:r w:rsidR="007A1F9D" w:rsidRPr="007A1F9D">
              <w:rPr>
                <w:bCs w:val="0"/>
                <w:webHidden/>
              </w:rPr>
              <w:fldChar w:fldCharType="begin"/>
            </w:r>
            <w:r w:rsidR="007A1F9D" w:rsidRPr="007A1F9D">
              <w:rPr>
                <w:bCs w:val="0"/>
                <w:webHidden/>
              </w:rPr>
              <w:instrText xml:space="preserve"> PAGEREF _Toc172814435 \h </w:instrText>
            </w:r>
            <w:r w:rsidR="007A1F9D" w:rsidRPr="007A1F9D">
              <w:rPr>
                <w:bCs w:val="0"/>
                <w:webHidden/>
              </w:rPr>
            </w:r>
            <w:r w:rsidR="007A1F9D" w:rsidRPr="007A1F9D">
              <w:rPr>
                <w:bCs w:val="0"/>
                <w:webHidden/>
              </w:rPr>
              <w:fldChar w:fldCharType="separate"/>
            </w:r>
            <w:r w:rsidR="007A1F9D" w:rsidRPr="007A1F9D">
              <w:rPr>
                <w:bCs w:val="0"/>
                <w:webHidden/>
              </w:rPr>
              <w:t>10</w:t>
            </w:r>
            <w:r w:rsidR="007A1F9D" w:rsidRPr="007A1F9D">
              <w:rPr>
                <w:bCs w:val="0"/>
                <w:webHidden/>
              </w:rPr>
              <w:fldChar w:fldCharType="end"/>
            </w:r>
          </w:hyperlink>
        </w:p>
        <w:p w14:paraId="5D5FBB00" w14:textId="327599B0" w:rsidR="007A1F9D" w:rsidRPr="007A1F9D" w:rsidRDefault="00A3551A">
          <w:pPr>
            <w:pStyle w:val="10"/>
            <w:tabs>
              <w:tab w:val="left" w:pos="600"/>
            </w:tabs>
            <w:rPr>
              <w:rFonts w:asciiTheme="minorHAnsi" w:hAnsiTheme="minorHAnsi" w:cstheme="minorBidi"/>
              <w:bCs w:val="0"/>
              <w:noProof/>
              <w:sz w:val="24"/>
              <w:szCs w:val="24"/>
              <w:lang w:val="el-GR" w:eastAsia="el-GR"/>
            </w:rPr>
          </w:pPr>
          <w:hyperlink w:anchor="_Toc172814436" w:history="1">
            <w:r w:rsidR="007A1F9D" w:rsidRPr="007A1F9D">
              <w:rPr>
                <w:rStyle w:val="-"/>
                <w:rFonts w:ascii="Georgia Pro" w:eastAsiaTheme="majorEastAsia" w:hAnsi="Georgia Pro" w:cstheme="majorBidi"/>
                <w:bCs w:val="0"/>
                <w:noProof/>
                <w:kern w:val="32"/>
                <w14:ligatures w14:val="none"/>
              </w:rPr>
              <w:t>11.</w:t>
            </w:r>
            <w:r w:rsidR="007A1F9D" w:rsidRPr="007A1F9D">
              <w:rPr>
                <w:rFonts w:asciiTheme="minorHAnsi" w:hAnsiTheme="minorHAnsi" w:cstheme="minorBidi"/>
                <w:bCs w:val="0"/>
                <w:noProof/>
                <w:sz w:val="24"/>
                <w:szCs w:val="24"/>
                <w:lang w:val="el-GR" w:eastAsia="el-GR"/>
              </w:rPr>
              <w:tab/>
            </w:r>
            <w:r w:rsidR="007A1F9D" w:rsidRPr="007A1F9D">
              <w:rPr>
                <w:rStyle w:val="-"/>
                <w:rFonts w:ascii="Georgia Pro" w:hAnsi="Georgia Pro"/>
                <w:bCs w:val="0"/>
                <w:noProof/>
              </w:rPr>
              <w:t>A filmművészeti alkotásokhoz való jog</w:t>
            </w:r>
            <w:r w:rsidR="007A1F9D" w:rsidRPr="007A1F9D">
              <w:rPr>
                <w:bCs w:val="0"/>
                <w:noProof/>
                <w:webHidden/>
              </w:rPr>
              <w:tab/>
            </w:r>
            <w:r w:rsidR="007A1F9D" w:rsidRPr="007A1F9D">
              <w:rPr>
                <w:bCs w:val="0"/>
                <w:noProof/>
                <w:webHidden/>
              </w:rPr>
              <w:fldChar w:fldCharType="begin"/>
            </w:r>
            <w:r w:rsidR="007A1F9D" w:rsidRPr="007A1F9D">
              <w:rPr>
                <w:bCs w:val="0"/>
                <w:noProof/>
                <w:webHidden/>
              </w:rPr>
              <w:instrText xml:space="preserve"> PAGEREF _Toc172814436 \h </w:instrText>
            </w:r>
            <w:r w:rsidR="007A1F9D" w:rsidRPr="007A1F9D">
              <w:rPr>
                <w:bCs w:val="0"/>
                <w:noProof/>
                <w:webHidden/>
              </w:rPr>
            </w:r>
            <w:r w:rsidR="007A1F9D" w:rsidRPr="007A1F9D">
              <w:rPr>
                <w:bCs w:val="0"/>
                <w:noProof/>
                <w:webHidden/>
              </w:rPr>
              <w:fldChar w:fldCharType="separate"/>
            </w:r>
            <w:r w:rsidR="007A1F9D" w:rsidRPr="007A1F9D">
              <w:rPr>
                <w:bCs w:val="0"/>
                <w:noProof/>
                <w:webHidden/>
              </w:rPr>
              <w:t>13</w:t>
            </w:r>
            <w:r w:rsidR="007A1F9D" w:rsidRPr="007A1F9D">
              <w:rPr>
                <w:bCs w:val="0"/>
                <w:noProof/>
                <w:webHidden/>
              </w:rPr>
              <w:fldChar w:fldCharType="end"/>
            </w:r>
          </w:hyperlink>
        </w:p>
        <w:p w14:paraId="3C95CCE3" w14:textId="7D6BCB33" w:rsidR="007A1F9D" w:rsidRPr="007A1F9D" w:rsidRDefault="00A3551A">
          <w:pPr>
            <w:pStyle w:val="10"/>
            <w:tabs>
              <w:tab w:val="left" w:pos="600"/>
            </w:tabs>
            <w:rPr>
              <w:rFonts w:asciiTheme="minorHAnsi" w:hAnsiTheme="minorHAnsi" w:cstheme="minorBidi"/>
              <w:bCs w:val="0"/>
              <w:noProof/>
              <w:sz w:val="24"/>
              <w:szCs w:val="24"/>
              <w:lang w:val="el-GR" w:eastAsia="el-GR"/>
            </w:rPr>
          </w:pPr>
          <w:hyperlink w:anchor="_Toc172814437" w:history="1">
            <w:r w:rsidR="007A1F9D" w:rsidRPr="007A1F9D">
              <w:rPr>
                <w:rStyle w:val="-"/>
                <w:rFonts w:ascii="Georgia Pro" w:eastAsiaTheme="majorEastAsia" w:hAnsi="Georgia Pro" w:cstheme="majorBidi"/>
                <w:bCs w:val="0"/>
                <w:noProof/>
                <w:kern w:val="32"/>
                <w14:ligatures w14:val="none"/>
              </w:rPr>
              <w:t>12.</w:t>
            </w:r>
            <w:r w:rsidR="007A1F9D" w:rsidRPr="007A1F9D">
              <w:rPr>
                <w:rFonts w:asciiTheme="minorHAnsi" w:hAnsiTheme="minorHAnsi" w:cstheme="minorBidi"/>
                <w:bCs w:val="0"/>
                <w:noProof/>
                <w:sz w:val="24"/>
                <w:szCs w:val="24"/>
                <w:lang w:val="el-GR" w:eastAsia="el-GR"/>
              </w:rPr>
              <w:tab/>
            </w:r>
            <w:r w:rsidR="007A1F9D" w:rsidRPr="007A1F9D">
              <w:rPr>
                <w:rStyle w:val="-"/>
                <w:rFonts w:ascii="Georgia Pro" w:hAnsi="Georgia Pro"/>
                <w:bCs w:val="0"/>
                <w:noProof/>
              </w:rPr>
              <w:t>Audiovizuális kereskedelmi közlemények</w:t>
            </w:r>
            <w:r w:rsidR="007A1F9D" w:rsidRPr="007A1F9D">
              <w:rPr>
                <w:bCs w:val="0"/>
                <w:noProof/>
                <w:webHidden/>
              </w:rPr>
              <w:tab/>
            </w:r>
            <w:r w:rsidR="007A1F9D" w:rsidRPr="007A1F9D">
              <w:rPr>
                <w:bCs w:val="0"/>
                <w:noProof/>
                <w:webHidden/>
              </w:rPr>
              <w:fldChar w:fldCharType="begin"/>
            </w:r>
            <w:r w:rsidR="007A1F9D" w:rsidRPr="007A1F9D">
              <w:rPr>
                <w:bCs w:val="0"/>
                <w:noProof/>
                <w:webHidden/>
              </w:rPr>
              <w:instrText xml:space="preserve"> PAGEREF _Toc172814437 \h </w:instrText>
            </w:r>
            <w:r w:rsidR="007A1F9D" w:rsidRPr="007A1F9D">
              <w:rPr>
                <w:bCs w:val="0"/>
                <w:noProof/>
                <w:webHidden/>
              </w:rPr>
            </w:r>
            <w:r w:rsidR="007A1F9D" w:rsidRPr="007A1F9D">
              <w:rPr>
                <w:bCs w:val="0"/>
                <w:noProof/>
                <w:webHidden/>
              </w:rPr>
              <w:fldChar w:fldCharType="separate"/>
            </w:r>
            <w:r w:rsidR="007A1F9D" w:rsidRPr="007A1F9D">
              <w:rPr>
                <w:bCs w:val="0"/>
                <w:noProof/>
                <w:webHidden/>
              </w:rPr>
              <w:t>13</w:t>
            </w:r>
            <w:r w:rsidR="007A1F9D" w:rsidRPr="007A1F9D">
              <w:rPr>
                <w:bCs w:val="0"/>
                <w:noProof/>
                <w:webHidden/>
              </w:rPr>
              <w:fldChar w:fldCharType="end"/>
            </w:r>
          </w:hyperlink>
        </w:p>
        <w:p w14:paraId="59E1EACB" w14:textId="57ECC1DD" w:rsidR="007A1F9D" w:rsidRPr="007A1F9D" w:rsidRDefault="00A3551A">
          <w:pPr>
            <w:pStyle w:val="10"/>
            <w:tabs>
              <w:tab w:val="left" w:pos="600"/>
            </w:tabs>
            <w:rPr>
              <w:rFonts w:asciiTheme="minorHAnsi" w:hAnsiTheme="minorHAnsi" w:cstheme="minorBidi"/>
              <w:bCs w:val="0"/>
              <w:noProof/>
              <w:sz w:val="24"/>
              <w:szCs w:val="24"/>
              <w:lang w:val="el-GR" w:eastAsia="el-GR"/>
            </w:rPr>
          </w:pPr>
          <w:hyperlink w:anchor="_Toc172814438" w:history="1">
            <w:r w:rsidR="007A1F9D" w:rsidRPr="007A1F9D">
              <w:rPr>
                <w:rStyle w:val="-"/>
                <w:rFonts w:ascii="Georgia Pro" w:eastAsiaTheme="majorEastAsia" w:hAnsi="Georgia Pro" w:cstheme="majorBidi"/>
                <w:bCs w:val="0"/>
                <w:noProof/>
                <w:kern w:val="32"/>
                <w14:ligatures w14:val="none"/>
              </w:rPr>
              <w:t>13.</w:t>
            </w:r>
            <w:r w:rsidR="007A1F9D" w:rsidRPr="007A1F9D">
              <w:rPr>
                <w:rFonts w:asciiTheme="minorHAnsi" w:hAnsiTheme="minorHAnsi" w:cstheme="minorBidi"/>
                <w:bCs w:val="0"/>
                <w:noProof/>
                <w:sz w:val="24"/>
                <w:szCs w:val="24"/>
                <w:lang w:val="el-GR" w:eastAsia="el-GR"/>
              </w:rPr>
              <w:tab/>
            </w:r>
            <w:r w:rsidR="007A1F9D" w:rsidRPr="007A1F9D">
              <w:rPr>
                <w:rStyle w:val="-"/>
                <w:rFonts w:ascii="Georgia Pro" w:hAnsi="Georgia Pro"/>
                <w:bCs w:val="0"/>
                <w:noProof/>
              </w:rPr>
              <w:t>Szponzorálás</w:t>
            </w:r>
            <w:r w:rsidR="007A1F9D" w:rsidRPr="007A1F9D">
              <w:rPr>
                <w:bCs w:val="0"/>
                <w:noProof/>
                <w:webHidden/>
              </w:rPr>
              <w:tab/>
            </w:r>
            <w:r w:rsidR="007A1F9D" w:rsidRPr="007A1F9D">
              <w:rPr>
                <w:bCs w:val="0"/>
                <w:noProof/>
                <w:webHidden/>
              </w:rPr>
              <w:fldChar w:fldCharType="begin"/>
            </w:r>
            <w:r w:rsidR="007A1F9D" w:rsidRPr="007A1F9D">
              <w:rPr>
                <w:bCs w:val="0"/>
                <w:noProof/>
                <w:webHidden/>
              </w:rPr>
              <w:instrText xml:space="preserve"> PAGEREF _Toc172814438 \h </w:instrText>
            </w:r>
            <w:r w:rsidR="007A1F9D" w:rsidRPr="007A1F9D">
              <w:rPr>
                <w:bCs w:val="0"/>
                <w:noProof/>
                <w:webHidden/>
              </w:rPr>
            </w:r>
            <w:r w:rsidR="007A1F9D" w:rsidRPr="007A1F9D">
              <w:rPr>
                <w:bCs w:val="0"/>
                <w:noProof/>
                <w:webHidden/>
              </w:rPr>
              <w:fldChar w:fldCharType="separate"/>
            </w:r>
            <w:r w:rsidR="007A1F9D" w:rsidRPr="007A1F9D">
              <w:rPr>
                <w:bCs w:val="0"/>
                <w:noProof/>
                <w:webHidden/>
              </w:rPr>
              <w:t>14</w:t>
            </w:r>
            <w:r w:rsidR="007A1F9D" w:rsidRPr="007A1F9D">
              <w:rPr>
                <w:bCs w:val="0"/>
                <w:noProof/>
                <w:webHidden/>
              </w:rPr>
              <w:fldChar w:fldCharType="end"/>
            </w:r>
          </w:hyperlink>
        </w:p>
        <w:p w14:paraId="4AF94EC7" w14:textId="4FA3A017" w:rsidR="007A1F9D" w:rsidRPr="007A1F9D" w:rsidRDefault="00A3551A">
          <w:pPr>
            <w:pStyle w:val="10"/>
            <w:tabs>
              <w:tab w:val="left" w:pos="600"/>
            </w:tabs>
            <w:rPr>
              <w:rFonts w:asciiTheme="minorHAnsi" w:hAnsiTheme="minorHAnsi" w:cstheme="minorBidi"/>
              <w:bCs w:val="0"/>
              <w:noProof/>
              <w:sz w:val="24"/>
              <w:szCs w:val="24"/>
              <w:lang w:val="el-GR" w:eastAsia="el-GR"/>
            </w:rPr>
          </w:pPr>
          <w:hyperlink w:anchor="_Toc172814439" w:history="1">
            <w:r w:rsidR="007A1F9D" w:rsidRPr="007A1F9D">
              <w:rPr>
                <w:rStyle w:val="-"/>
                <w:rFonts w:ascii="Georgia Pro" w:eastAsiaTheme="majorEastAsia" w:hAnsi="Georgia Pro" w:cstheme="majorBidi"/>
                <w:bCs w:val="0"/>
                <w:noProof/>
                <w:kern w:val="32"/>
                <w14:ligatures w14:val="none"/>
              </w:rPr>
              <w:t>14.</w:t>
            </w:r>
            <w:r w:rsidR="007A1F9D" w:rsidRPr="007A1F9D">
              <w:rPr>
                <w:rFonts w:asciiTheme="minorHAnsi" w:hAnsiTheme="minorHAnsi" w:cstheme="minorBidi"/>
                <w:bCs w:val="0"/>
                <w:noProof/>
                <w:sz w:val="24"/>
                <w:szCs w:val="24"/>
                <w:lang w:val="el-GR" w:eastAsia="el-GR"/>
              </w:rPr>
              <w:tab/>
            </w:r>
            <w:r w:rsidR="007A1F9D" w:rsidRPr="007A1F9D">
              <w:rPr>
                <w:rStyle w:val="-"/>
                <w:rFonts w:ascii="Georgia Pro" w:hAnsi="Georgia Pro"/>
                <w:bCs w:val="0"/>
                <w:noProof/>
              </w:rPr>
              <w:t>Termékmegjelenítés</w:t>
            </w:r>
            <w:r w:rsidR="007A1F9D" w:rsidRPr="007A1F9D">
              <w:rPr>
                <w:bCs w:val="0"/>
                <w:noProof/>
                <w:webHidden/>
              </w:rPr>
              <w:tab/>
            </w:r>
            <w:r w:rsidR="007A1F9D" w:rsidRPr="007A1F9D">
              <w:rPr>
                <w:bCs w:val="0"/>
                <w:noProof/>
                <w:webHidden/>
              </w:rPr>
              <w:fldChar w:fldCharType="begin"/>
            </w:r>
            <w:r w:rsidR="007A1F9D" w:rsidRPr="007A1F9D">
              <w:rPr>
                <w:bCs w:val="0"/>
                <w:noProof/>
                <w:webHidden/>
              </w:rPr>
              <w:instrText xml:space="preserve"> PAGEREF _Toc172814439 \h </w:instrText>
            </w:r>
            <w:r w:rsidR="007A1F9D" w:rsidRPr="007A1F9D">
              <w:rPr>
                <w:bCs w:val="0"/>
                <w:noProof/>
                <w:webHidden/>
              </w:rPr>
            </w:r>
            <w:r w:rsidR="007A1F9D" w:rsidRPr="007A1F9D">
              <w:rPr>
                <w:bCs w:val="0"/>
                <w:noProof/>
                <w:webHidden/>
              </w:rPr>
              <w:fldChar w:fldCharType="separate"/>
            </w:r>
            <w:r w:rsidR="007A1F9D" w:rsidRPr="007A1F9D">
              <w:rPr>
                <w:bCs w:val="0"/>
                <w:noProof/>
                <w:webHidden/>
              </w:rPr>
              <w:t>15</w:t>
            </w:r>
            <w:r w:rsidR="007A1F9D" w:rsidRPr="007A1F9D">
              <w:rPr>
                <w:bCs w:val="0"/>
                <w:noProof/>
                <w:webHidden/>
              </w:rPr>
              <w:fldChar w:fldCharType="end"/>
            </w:r>
          </w:hyperlink>
        </w:p>
        <w:p w14:paraId="59500ABF" w14:textId="72D26690" w:rsidR="007A1F9D" w:rsidRPr="007A1F9D" w:rsidRDefault="00A3551A">
          <w:pPr>
            <w:pStyle w:val="10"/>
            <w:rPr>
              <w:rFonts w:asciiTheme="minorHAnsi" w:hAnsiTheme="minorHAnsi" w:cstheme="minorBidi"/>
              <w:bCs w:val="0"/>
              <w:noProof/>
              <w:sz w:val="24"/>
              <w:szCs w:val="24"/>
              <w:lang w:val="el-GR" w:eastAsia="el-GR"/>
            </w:rPr>
          </w:pPr>
          <w:hyperlink w:anchor="_Toc172814440" w:history="1">
            <w:r w:rsidR="007A1F9D" w:rsidRPr="007A1F9D">
              <w:rPr>
                <w:rStyle w:val="-"/>
                <w:bCs w:val="0"/>
                <w:noProof/>
              </w:rPr>
              <w:t>A médiaszolgáltatási szabályzat rendelkezései</w:t>
            </w:r>
            <w:r w:rsidR="007A1F9D" w:rsidRPr="007A1F9D">
              <w:rPr>
                <w:bCs w:val="0"/>
                <w:noProof/>
                <w:webHidden/>
              </w:rPr>
              <w:tab/>
            </w:r>
            <w:r w:rsidR="007A1F9D" w:rsidRPr="007A1F9D">
              <w:rPr>
                <w:bCs w:val="0"/>
                <w:noProof/>
                <w:webHidden/>
              </w:rPr>
              <w:fldChar w:fldCharType="begin"/>
            </w:r>
            <w:r w:rsidR="007A1F9D" w:rsidRPr="007A1F9D">
              <w:rPr>
                <w:bCs w:val="0"/>
                <w:noProof/>
                <w:webHidden/>
              </w:rPr>
              <w:instrText xml:space="preserve"> PAGEREF _Toc172814440 \h </w:instrText>
            </w:r>
            <w:r w:rsidR="007A1F9D" w:rsidRPr="007A1F9D">
              <w:rPr>
                <w:bCs w:val="0"/>
                <w:noProof/>
                <w:webHidden/>
              </w:rPr>
            </w:r>
            <w:r w:rsidR="007A1F9D" w:rsidRPr="007A1F9D">
              <w:rPr>
                <w:bCs w:val="0"/>
                <w:noProof/>
                <w:webHidden/>
              </w:rPr>
              <w:fldChar w:fldCharType="separate"/>
            </w:r>
            <w:r w:rsidR="007A1F9D" w:rsidRPr="007A1F9D">
              <w:rPr>
                <w:bCs w:val="0"/>
                <w:noProof/>
                <w:webHidden/>
              </w:rPr>
              <w:t>16</w:t>
            </w:r>
            <w:r w:rsidR="007A1F9D" w:rsidRPr="007A1F9D">
              <w:rPr>
                <w:bCs w:val="0"/>
                <w:noProof/>
                <w:webHidden/>
              </w:rPr>
              <w:fldChar w:fldCharType="end"/>
            </w:r>
          </w:hyperlink>
        </w:p>
        <w:p w14:paraId="6EB93526" w14:textId="0B02F372" w:rsidR="007A1F9D" w:rsidRPr="007A1F9D" w:rsidRDefault="00A3551A">
          <w:pPr>
            <w:pStyle w:val="10"/>
            <w:tabs>
              <w:tab w:val="left" w:pos="600"/>
            </w:tabs>
            <w:rPr>
              <w:rFonts w:asciiTheme="minorHAnsi" w:hAnsiTheme="minorHAnsi" w:cstheme="minorBidi"/>
              <w:bCs w:val="0"/>
              <w:noProof/>
              <w:sz w:val="24"/>
              <w:szCs w:val="24"/>
              <w:lang w:val="el-GR" w:eastAsia="el-GR"/>
            </w:rPr>
          </w:pPr>
          <w:hyperlink w:anchor="_Toc172814441" w:history="1">
            <w:r w:rsidR="007A1F9D" w:rsidRPr="007A1F9D">
              <w:rPr>
                <w:rStyle w:val="-"/>
                <w:rFonts w:ascii="Georgia Pro" w:eastAsiaTheme="majorEastAsia" w:hAnsi="Georgia Pro" w:cstheme="majorBidi"/>
                <w:bCs w:val="0"/>
                <w:noProof/>
                <w:kern w:val="32"/>
                <w14:ligatures w14:val="none"/>
              </w:rPr>
              <w:t>15.</w:t>
            </w:r>
            <w:r w:rsidR="007A1F9D" w:rsidRPr="007A1F9D">
              <w:rPr>
                <w:rFonts w:asciiTheme="minorHAnsi" w:hAnsiTheme="minorHAnsi" w:cstheme="minorBidi"/>
                <w:bCs w:val="0"/>
                <w:noProof/>
                <w:sz w:val="24"/>
                <w:szCs w:val="24"/>
                <w:lang w:val="el-GR" w:eastAsia="el-GR"/>
              </w:rPr>
              <w:tab/>
            </w:r>
            <w:r w:rsidR="007A1F9D" w:rsidRPr="007A1F9D">
              <w:rPr>
                <w:rStyle w:val="-"/>
                <w:rFonts w:ascii="Georgia Pro" w:hAnsi="Georgia Pro"/>
                <w:bCs w:val="0"/>
                <w:noProof/>
              </w:rPr>
              <w:t>A lekérhető audiovizuális szolgáltatások akadálymentessége</w:t>
            </w:r>
            <w:r w:rsidR="007A1F9D" w:rsidRPr="007A1F9D">
              <w:rPr>
                <w:bCs w:val="0"/>
                <w:noProof/>
                <w:webHidden/>
              </w:rPr>
              <w:tab/>
            </w:r>
            <w:r w:rsidR="007A1F9D" w:rsidRPr="007A1F9D">
              <w:rPr>
                <w:bCs w:val="0"/>
                <w:noProof/>
                <w:webHidden/>
              </w:rPr>
              <w:fldChar w:fldCharType="begin"/>
            </w:r>
            <w:r w:rsidR="007A1F9D" w:rsidRPr="007A1F9D">
              <w:rPr>
                <w:bCs w:val="0"/>
                <w:noProof/>
                <w:webHidden/>
              </w:rPr>
              <w:instrText xml:space="preserve"> PAGEREF _Toc172814441 \h </w:instrText>
            </w:r>
            <w:r w:rsidR="007A1F9D" w:rsidRPr="007A1F9D">
              <w:rPr>
                <w:bCs w:val="0"/>
                <w:noProof/>
                <w:webHidden/>
              </w:rPr>
            </w:r>
            <w:r w:rsidR="007A1F9D" w:rsidRPr="007A1F9D">
              <w:rPr>
                <w:bCs w:val="0"/>
                <w:noProof/>
                <w:webHidden/>
              </w:rPr>
              <w:fldChar w:fldCharType="separate"/>
            </w:r>
            <w:r w:rsidR="007A1F9D" w:rsidRPr="007A1F9D">
              <w:rPr>
                <w:bCs w:val="0"/>
                <w:noProof/>
                <w:webHidden/>
              </w:rPr>
              <w:t>16</w:t>
            </w:r>
            <w:r w:rsidR="007A1F9D" w:rsidRPr="007A1F9D">
              <w:rPr>
                <w:bCs w:val="0"/>
                <w:noProof/>
                <w:webHidden/>
              </w:rPr>
              <w:fldChar w:fldCharType="end"/>
            </w:r>
          </w:hyperlink>
        </w:p>
        <w:p w14:paraId="5238E4FF" w14:textId="66E46B2C" w:rsidR="007A1F9D" w:rsidRPr="007A1F9D" w:rsidRDefault="00A3551A">
          <w:pPr>
            <w:pStyle w:val="20"/>
            <w:rPr>
              <w:rFonts w:asciiTheme="minorHAnsi" w:hAnsiTheme="minorHAnsi" w:cstheme="minorBidi"/>
              <w:bCs w:val="0"/>
              <w:iCs w:val="0"/>
              <w:sz w:val="24"/>
              <w:szCs w:val="24"/>
              <w:lang w:val="el-GR" w:eastAsia="el-GR"/>
            </w:rPr>
          </w:pPr>
          <w:hyperlink w:anchor="_Toc172814442" w:history="1">
            <w:r w:rsidR="007A1F9D" w:rsidRPr="007A1F9D">
              <w:rPr>
                <w:rStyle w:val="-"/>
                <w:bCs w:val="0"/>
              </w:rPr>
              <w:t>Iránymutatás</w:t>
            </w:r>
            <w:r w:rsidR="007A1F9D" w:rsidRPr="007A1F9D">
              <w:rPr>
                <w:bCs w:val="0"/>
                <w:webHidden/>
              </w:rPr>
              <w:tab/>
            </w:r>
            <w:r w:rsidR="007A1F9D" w:rsidRPr="007A1F9D">
              <w:rPr>
                <w:bCs w:val="0"/>
                <w:webHidden/>
              </w:rPr>
              <w:fldChar w:fldCharType="begin"/>
            </w:r>
            <w:r w:rsidR="007A1F9D" w:rsidRPr="007A1F9D">
              <w:rPr>
                <w:bCs w:val="0"/>
                <w:webHidden/>
              </w:rPr>
              <w:instrText xml:space="preserve"> PAGEREF _Toc172814442 \h </w:instrText>
            </w:r>
            <w:r w:rsidR="007A1F9D" w:rsidRPr="007A1F9D">
              <w:rPr>
                <w:bCs w:val="0"/>
                <w:webHidden/>
              </w:rPr>
            </w:r>
            <w:r w:rsidR="007A1F9D" w:rsidRPr="007A1F9D">
              <w:rPr>
                <w:bCs w:val="0"/>
                <w:webHidden/>
              </w:rPr>
              <w:fldChar w:fldCharType="separate"/>
            </w:r>
            <w:r w:rsidR="007A1F9D" w:rsidRPr="007A1F9D">
              <w:rPr>
                <w:bCs w:val="0"/>
                <w:webHidden/>
              </w:rPr>
              <w:t>19</w:t>
            </w:r>
            <w:r w:rsidR="007A1F9D" w:rsidRPr="007A1F9D">
              <w:rPr>
                <w:bCs w:val="0"/>
                <w:webHidden/>
              </w:rPr>
              <w:fldChar w:fldCharType="end"/>
            </w:r>
          </w:hyperlink>
        </w:p>
        <w:p w14:paraId="6C32BB04" w14:textId="6BB5DD94" w:rsidR="00664D9B" w:rsidRPr="00F75F53" w:rsidRDefault="00664D9B">
          <w:r w:rsidRPr="007A1F9D">
            <w:rPr>
              <w:rFonts w:ascii="Georgia Pro" w:hAnsi="Georgia Pro"/>
              <w:b/>
              <w:sz w:val="24"/>
            </w:rPr>
            <w:fldChar w:fldCharType="end"/>
          </w:r>
        </w:p>
      </w:sdtContent>
    </w:sdt>
    <w:p w14:paraId="713D837C" w14:textId="77777777" w:rsidR="007C19BB" w:rsidRPr="00F75F53" w:rsidRDefault="007C19BB">
      <w:r>
        <w:br w:type="page"/>
      </w:r>
    </w:p>
    <w:p w14:paraId="5FEA0FC6" w14:textId="77777777" w:rsidR="00664D9B" w:rsidRPr="00F75F53" w:rsidRDefault="00664D9B" w:rsidP="00E02E02">
      <w:pPr>
        <w:pStyle w:val="2"/>
        <w:numPr>
          <w:ilvl w:val="0"/>
          <w:numId w:val="5"/>
        </w:numPr>
        <w:ind w:left="1134" w:hanging="850"/>
        <w:rPr>
          <w:rFonts w:ascii="Georgia Pro" w:hAnsi="Georgia Pro"/>
          <w:sz w:val="36"/>
          <w:szCs w:val="36"/>
        </w:rPr>
      </w:pPr>
      <w:bookmarkStart w:id="0" w:name="_Toc169864358"/>
      <w:bookmarkStart w:id="1" w:name="_Toc170818911"/>
      <w:bookmarkStart w:id="2" w:name="_Toc172814421"/>
      <w:r>
        <w:rPr>
          <w:rFonts w:ascii="Georgia Pro" w:hAnsi="Georgia Pro"/>
          <w:sz w:val="36"/>
        </w:rPr>
        <w:lastRenderedPageBreak/>
        <w:t>Bevezetés</w:t>
      </w:r>
      <w:bookmarkEnd w:id="0"/>
      <w:bookmarkEnd w:id="1"/>
      <w:bookmarkEnd w:id="2"/>
    </w:p>
    <w:p w14:paraId="316C1624"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Az online biztonságról és médiaszabályozásról szóló 2022. évi törvénnyel módosított 2009. évi műsorszolgáltatási törvény (a továbbiakban: </w:t>
      </w:r>
      <w:r>
        <w:rPr>
          <w:b/>
        </w:rPr>
        <w:t>„törvény”</w:t>
      </w:r>
      <w:r>
        <w:t>) 46N. szakaszának (1) bekezdése és 46O. szakaszának (1) és (5) bekezdése alapján a Coimisiún na Meán (a továbbiakban:</w:t>
      </w:r>
      <w:r>
        <w:rPr>
          <w:b/>
        </w:rPr>
        <w:t xml:space="preserve">„bizottság” </w:t>
      </w:r>
      <w:r>
        <w:t xml:space="preserve">kódexeket és szabályzatokat dolgozhat ki (a továbbiakban: </w:t>
      </w:r>
      <w:r>
        <w:rPr>
          <w:b/>
        </w:rPr>
        <w:t xml:space="preserve">„médiaszolgáltatási kódex” </w:t>
      </w:r>
      <w:r>
        <w:t>és</w:t>
      </w:r>
      <w:r>
        <w:rPr>
          <w:b/>
        </w:rPr>
        <w:t xml:space="preserve"> „médiaszolgáltatási szabályzat”</w:t>
      </w:r>
      <w:r>
        <w:t xml:space="preserve">) a műsorszolgáltatók és a lekérhető audiovizuális médiaszolgáltatásokat nyújtó szolgáltatók szabványainak és gyakorlatainak szabályozására. </w:t>
      </w:r>
    </w:p>
    <w:p w14:paraId="1A9A3C8C"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A törvény 46N. szakaszának (5) bekezdése alapján a Bizottság médiaszolgáltatási kódexeket állít össze, amelyek a (az (EU) 2018/1808 irányelvvel módosított) 2010/13/EU irányelv (a továbbiakban: </w:t>
      </w:r>
      <w:r>
        <w:rPr>
          <w:b/>
        </w:rPr>
        <w:t>„az audiovizuális médiaszolgáltatásokról szóló irányelv”</w:t>
      </w:r>
      <w:r>
        <w:t xml:space="preserve">) </w:t>
      </w:r>
      <w:bookmarkStart w:id="3" w:name="_Hlk161405830"/>
      <w:r>
        <w:t>5. cikke, 6. cikkének (1) bekezdése, 6a. cikkének (1)–(3) bekezdése, 7b., 8., 9., 10. és 11. cikke</w:t>
      </w:r>
      <w:bookmarkEnd w:id="3"/>
      <w:r>
        <w:t xml:space="preserve"> által előírt kérdésekről rendelkeznek (kivéve, ha a médiaszolgáltatási szabályzat erről rendelkezik).</w:t>
      </w:r>
    </w:p>
    <w:p w14:paraId="2A1175B1"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A törvény 46O. szakaszának (9) bekezdése szerint a médiaszolgáltatási szabályzat rendelkezik az audiovizuális médiaszolgáltatásokról szóló irányelv 6. cikkének (1) bekezdésében, 6a. cikkének (1) bekezdésében, 7., 7b., 8., 9., 10., 11. cikkében, VI. fejezetében, 23. cikkének (2) bekezdésében, 24. cikkében és 25. cikkében előírt kérdésekről (kivéve, ha a médiaszolgáltatási kódexek erről rendelkeznek). </w:t>
      </w:r>
    </w:p>
    <w:p w14:paraId="7ADCCEEE"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A fent meghatározott jogszabályi feladatainak és kötelezettségeinek megfelelően a Bizottság elkészítette ezt a médiaszolgáltatási kódexet (a továbbiakban: </w:t>
      </w:r>
      <w:r>
        <w:rPr>
          <w:b/>
        </w:rPr>
        <w:t>„kódex”</w:t>
      </w:r>
      <w:r>
        <w:t xml:space="preserve">) és ezt a médiaszolgáltatási szabályzatot (a továbbiakban: </w:t>
      </w:r>
      <w:r>
        <w:rPr>
          <w:b/>
        </w:rPr>
        <w:t>„szabályzat”</w:t>
      </w:r>
      <w:r>
        <w:t>).</w:t>
      </w:r>
    </w:p>
    <w:p w14:paraId="03FB732E" w14:textId="77777777" w:rsidR="00045EF4" w:rsidRPr="007A1F9D" w:rsidRDefault="00045EF4" w:rsidP="00045EF4">
      <w:pPr>
        <w:pStyle w:val="a"/>
        <w:numPr>
          <w:ilvl w:val="0"/>
          <w:numId w:val="0"/>
        </w:numPr>
        <w:ind w:left="284"/>
        <w:rPr>
          <w:szCs w:val="20"/>
        </w:rPr>
      </w:pPr>
    </w:p>
    <w:p w14:paraId="607E62C8"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4" w:name="_Toc170818913"/>
      <w:bookmarkStart w:id="5" w:name="_Toc172814422"/>
      <w:r>
        <w:rPr>
          <w:rFonts w:ascii="Georgia Pro" w:hAnsi="Georgia Pro"/>
          <w:sz w:val="36"/>
        </w:rPr>
        <w:t>Alkalmazási kör és joghatóság</w:t>
      </w:r>
      <w:bookmarkEnd w:id="4"/>
      <w:bookmarkEnd w:id="5"/>
    </w:p>
    <w:p w14:paraId="6BA07FE6" w14:textId="77777777" w:rsidR="000C29E5" w:rsidRPr="00F75F53" w:rsidRDefault="000C29E5" w:rsidP="000C29E5"/>
    <w:p w14:paraId="07579451" w14:textId="77777777" w:rsidR="00664D9B" w:rsidRPr="00F75F53" w:rsidRDefault="00664D9B" w:rsidP="00E02E02">
      <w:pPr>
        <w:pStyle w:val="a"/>
        <w:widowControl w:val="0"/>
        <w:numPr>
          <w:ilvl w:val="1"/>
          <w:numId w:val="5"/>
        </w:numPr>
        <w:spacing w:after="240" w:line="280" w:lineRule="exact"/>
        <w:ind w:hanging="777"/>
        <w:contextualSpacing w:val="0"/>
        <w:jc w:val="both"/>
        <w:rPr>
          <w:szCs w:val="20"/>
        </w:rPr>
      </w:pPr>
      <w:r>
        <w:t xml:space="preserve">A kódex és a szabályzat az audiovizuális médiaszolgáltatásokról szóló irányelv </w:t>
      </w:r>
      <w:bookmarkStart w:id="6" w:name="_Hlk161222340"/>
      <w:r>
        <w:t>5. cikkét, 6. cikkének (1) bekezdését, 6a. cikkének (1)–(3) bekezdését, 7., 8., 9., 10. és 11. cikkét</w:t>
      </w:r>
      <w:bookmarkEnd w:id="6"/>
      <w:r>
        <w:t xml:space="preserve"> hajtja végre Írországban, amennyiben lekérhető audiovizuális médiaszolgáltatásokra vonatkoznak.</w:t>
      </w:r>
    </w:p>
    <w:p w14:paraId="45E1A158" w14:textId="77777777" w:rsidR="00664D9B" w:rsidRPr="00F75F53" w:rsidRDefault="00664D9B" w:rsidP="00E02E02">
      <w:pPr>
        <w:pStyle w:val="a"/>
        <w:widowControl w:val="0"/>
        <w:numPr>
          <w:ilvl w:val="1"/>
          <w:numId w:val="5"/>
        </w:numPr>
        <w:spacing w:after="240" w:line="280" w:lineRule="exact"/>
        <w:ind w:hanging="777"/>
        <w:contextualSpacing w:val="0"/>
        <w:jc w:val="both"/>
        <w:rPr>
          <w:szCs w:val="20"/>
        </w:rPr>
      </w:pPr>
      <w:r>
        <w:t>A kódex és a szabályzat ennek megfelelően alkalmazandó a lekérhető audiovizuális médiaszolgáltatásokat nyújtó médiaszolgáltatókra.</w:t>
      </w:r>
    </w:p>
    <w:p w14:paraId="7BF79677" w14:textId="77777777" w:rsidR="00664D9B" w:rsidRPr="00F75F53" w:rsidRDefault="00664D9B" w:rsidP="00E02E02">
      <w:pPr>
        <w:pStyle w:val="a"/>
        <w:widowControl w:val="0"/>
        <w:numPr>
          <w:ilvl w:val="1"/>
          <w:numId w:val="5"/>
        </w:numPr>
        <w:spacing w:after="360" w:line="280" w:lineRule="exact"/>
        <w:ind w:hanging="777"/>
        <w:contextualSpacing w:val="0"/>
        <w:jc w:val="both"/>
        <w:rPr>
          <w:szCs w:val="20"/>
        </w:rPr>
      </w:pPr>
      <w:r>
        <w:t xml:space="preserve">A kódex és a szabályzat csak azokra a lekérhető audiovizuális médiaszolgáltatásokat nyújtó médiaszolgáltatókra vonatkozik, amelyek a törvény 2A. szakasza értelmében az állam joghatósága alá tartoznak. </w:t>
      </w:r>
    </w:p>
    <w:p w14:paraId="645449D7" w14:textId="77777777" w:rsidR="00D07292" w:rsidRPr="00F75F53" w:rsidRDefault="00664D9B" w:rsidP="00E02E02">
      <w:pPr>
        <w:pStyle w:val="3"/>
        <w:numPr>
          <w:ilvl w:val="0"/>
          <w:numId w:val="5"/>
        </w:numPr>
        <w:ind w:left="1134" w:hanging="850"/>
        <w:jc w:val="both"/>
        <w:rPr>
          <w:rFonts w:ascii="Georgia Pro" w:hAnsi="Georgia Pro"/>
          <w:sz w:val="36"/>
          <w:szCs w:val="36"/>
        </w:rPr>
      </w:pPr>
      <w:bookmarkStart w:id="7" w:name="_Toc170818914"/>
      <w:bookmarkStart w:id="8" w:name="_Toc172814423"/>
      <w:r>
        <w:rPr>
          <w:rFonts w:ascii="Georgia Pro" w:hAnsi="Georgia Pro"/>
          <w:sz w:val="36"/>
        </w:rPr>
        <w:t>A kódex és szabályzat célja, kidolgozása és alkalmazása</w:t>
      </w:r>
      <w:bookmarkEnd w:id="7"/>
      <w:bookmarkEnd w:id="8"/>
    </w:p>
    <w:p w14:paraId="10A1ABA1" w14:textId="77777777" w:rsidR="00664D9B" w:rsidRPr="00F75F53" w:rsidRDefault="00664D9B" w:rsidP="00664D9B"/>
    <w:p w14:paraId="2541EFE5" w14:textId="77777777" w:rsidR="00664D9B" w:rsidRPr="00F75F53" w:rsidRDefault="00664D9B" w:rsidP="00E02E02">
      <w:pPr>
        <w:pStyle w:val="3"/>
        <w:spacing w:after="240" w:line="280" w:lineRule="exact"/>
        <w:ind w:left="414" w:firstLine="720"/>
        <w:rPr>
          <w:rFonts w:ascii="Georgia Pro" w:hAnsi="Georgia Pro"/>
          <w:b w:val="0"/>
          <w:bCs/>
          <w:sz w:val="28"/>
          <w:szCs w:val="28"/>
        </w:rPr>
      </w:pPr>
      <w:bookmarkStart w:id="9" w:name="_Toc169864362"/>
      <w:bookmarkStart w:id="10" w:name="_Toc170818915"/>
      <w:bookmarkStart w:id="11" w:name="_Toc170833810"/>
      <w:bookmarkStart w:id="12" w:name="_Toc172814424"/>
      <w:r>
        <w:rPr>
          <w:rFonts w:ascii="Georgia Pro" w:hAnsi="Georgia Pro"/>
          <w:sz w:val="28"/>
        </w:rPr>
        <w:lastRenderedPageBreak/>
        <w:t>Cél</w:t>
      </w:r>
      <w:bookmarkEnd w:id="9"/>
      <w:bookmarkEnd w:id="10"/>
      <w:bookmarkEnd w:id="11"/>
      <w:bookmarkEnd w:id="12"/>
      <w:r>
        <w:rPr>
          <w:rFonts w:ascii="Georgia Pro" w:hAnsi="Georgia Pro"/>
          <w:sz w:val="28"/>
        </w:rPr>
        <w:tab/>
      </w:r>
    </w:p>
    <w:p w14:paraId="6D9CE4B4"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A kódex és a szabályzat célja annak biztosítása, hogy az állam joghatósága alá tartozó, lekérhető audiovizuális médiaszolgáltatásokat nyújtó médiaszolgáltatók megfeleljenek az audiovizuális médiaszolgáltatásokról szóló irányelv 5. cikkében, 6. cikke (1) bekezdésében, 6a. cikkének (1)–(3) bekezdésében, 7., 8., 9., 10. és 11. cikkében foglalt követelményeknek.</w:t>
      </w:r>
    </w:p>
    <w:p w14:paraId="36FEB64B" w14:textId="77777777" w:rsidR="00664D9B" w:rsidRPr="007A1F9D" w:rsidRDefault="00664D9B" w:rsidP="00E02E02">
      <w:pPr>
        <w:pStyle w:val="a"/>
        <w:widowControl w:val="0"/>
        <w:numPr>
          <w:ilvl w:val="0"/>
          <w:numId w:val="0"/>
        </w:numPr>
        <w:spacing w:after="240" w:line="280" w:lineRule="exact"/>
        <w:ind w:left="1134"/>
        <w:jc w:val="both"/>
        <w:rPr>
          <w:rFonts w:eastAsia="Times New Roman" w:cs="Arial"/>
          <w:kern w:val="0"/>
          <w:szCs w:val="20"/>
          <w:lang w:eastAsia="en-IE"/>
          <w14:ligatures w14:val="none"/>
        </w:rPr>
      </w:pPr>
    </w:p>
    <w:p w14:paraId="64A41A1C" w14:textId="77777777" w:rsidR="00D07292" w:rsidRPr="00F75F53" w:rsidRDefault="00664D9B" w:rsidP="00E02E02">
      <w:pPr>
        <w:pStyle w:val="3"/>
        <w:spacing w:after="240" w:line="280" w:lineRule="exact"/>
        <w:ind w:left="414" w:firstLine="720"/>
        <w:rPr>
          <w:rFonts w:ascii="Georgia Pro" w:hAnsi="Georgia Pro" w:cs="Arial"/>
          <w:b w:val="0"/>
          <w:bCs/>
          <w:sz w:val="28"/>
          <w:szCs w:val="28"/>
        </w:rPr>
      </w:pPr>
      <w:bookmarkStart w:id="13" w:name="_Toc169864363"/>
      <w:bookmarkStart w:id="14" w:name="_Toc170818916"/>
      <w:bookmarkStart w:id="15" w:name="_Toc170833811"/>
      <w:bookmarkStart w:id="16" w:name="_Toc172814425"/>
      <w:r>
        <w:rPr>
          <w:rFonts w:ascii="Georgia Pro" w:hAnsi="Georgia Pro"/>
          <w:sz w:val="28"/>
        </w:rPr>
        <w:t>A kódex és a szabályzat kidolgozása</w:t>
      </w:r>
      <w:bookmarkEnd w:id="13"/>
      <w:bookmarkEnd w:id="14"/>
      <w:bookmarkEnd w:id="15"/>
      <w:bookmarkEnd w:id="16"/>
    </w:p>
    <w:p w14:paraId="068A8D3A"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A törvény 46N. szakaszának (6) bekezdése alapján a Bizottság a kódex kidolgozása során a következőket vette figyelembe: -</w:t>
      </w:r>
    </w:p>
    <w:p w14:paraId="0C589083"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annak a kárnak vagy jogsértésnek a mértéke, amelyet egy adott anyagnak a műsor anyagába való felvétele okozhat.</w:t>
      </w:r>
    </w:p>
    <w:p w14:paraId="3CACAC09"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a műsorok potenciális közönségének valószínűsíthető mérete és összetétele.</w:t>
      </w:r>
    </w:p>
    <w:p w14:paraId="4750A2D2"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a közönségnek a műsor jellegére vonatkozó valószínűsíthető elvárása, valamint hogy a műsor jellegére milyen mértékben lehet felhívni a közönség potenciális tagjainak figyelmét.</w:t>
      </w:r>
    </w:p>
    <w:p w14:paraId="7B832C0D"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annak valószínűsége, hogy azok a személyek, akik nem ismerik a műsor jellegét, akaratlanul ki lehetnek téve annak saját cselekedeteik révén.</w:t>
      </w:r>
    </w:p>
    <w:p w14:paraId="723DDFC9"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szükséges-e annak biztosítása, hogy a műsorszolgáltatás vagy a lekérhető audiovizuális médiaszolgáltatás szolgáltatója tájékoztassa a Bizottságot a szolgáltatás jellegét érintő minden változásról, és különösen a médiaszolgáltatási kódexek alkalmazásával kapcsolatos változásokról.</w:t>
      </w:r>
    </w:p>
    <w:p w14:paraId="4ABF25F8"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kívánatos-e fenntartani a műsorok szerkesztői ellenőrzésének függetlenségét.</w:t>
      </w:r>
    </w:p>
    <w:p w14:paraId="22206FFD"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A kódex és a szabályzat a törvény 46Q. szakaszában előírt eljárásnak megfelelően készült.</w:t>
      </w:r>
    </w:p>
    <w:p w14:paraId="51750F08" w14:textId="77777777" w:rsidR="00664D9B" w:rsidRPr="00F75F53" w:rsidRDefault="00664D9B" w:rsidP="00664D9B">
      <w:pPr>
        <w:jc w:val="both"/>
        <w:rPr>
          <w:sz w:val="28"/>
          <w:szCs w:val="28"/>
        </w:rPr>
      </w:pPr>
    </w:p>
    <w:p w14:paraId="12CE82BF" w14:textId="77777777" w:rsidR="00664D9B" w:rsidRPr="00F75F53" w:rsidRDefault="00664D9B" w:rsidP="00BC349D">
      <w:pPr>
        <w:pStyle w:val="3"/>
        <w:numPr>
          <w:ilvl w:val="0"/>
          <w:numId w:val="5"/>
        </w:numPr>
        <w:spacing w:after="0"/>
        <w:ind w:left="1135" w:hanging="851"/>
        <w:jc w:val="both"/>
        <w:rPr>
          <w:rFonts w:ascii="Georgia Pro" w:hAnsi="Georgia Pro"/>
          <w:sz w:val="36"/>
          <w:szCs w:val="36"/>
        </w:rPr>
      </w:pPr>
      <w:bookmarkStart w:id="17" w:name="_Toc170818917"/>
      <w:bookmarkStart w:id="18" w:name="_Toc172814426"/>
      <w:r>
        <w:rPr>
          <w:rFonts w:ascii="Georgia Pro" w:hAnsi="Georgia Pro"/>
          <w:sz w:val="36"/>
        </w:rPr>
        <w:t>A kódexre és a szabályzatra vonatkozó szabályozási elvek</w:t>
      </w:r>
      <w:bookmarkEnd w:id="17"/>
      <w:bookmarkEnd w:id="18"/>
    </w:p>
    <w:p w14:paraId="177A8EE3" w14:textId="77777777" w:rsidR="00664D9B" w:rsidRPr="00F75F53" w:rsidRDefault="00664D9B" w:rsidP="00664D9B">
      <w:pPr>
        <w:jc w:val="both"/>
      </w:pPr>
    </w:p>
    <w:p w14:paraId="53C86877"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A kódex és a szabályzat értelmezése, alkalmazása és végrehajtása során a Bizottságnak közjogi kötelezettségeinek megfelelően jogszerűen, észszerűen és tisztességesen kell eljárnia.</w:t>
      </w:r>
    </w:p>
    <w:p w14:paraId="4A5C7A71"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A bizottságnak különösen az alábbiakkal összhangban kell eljárnia:</w:t>
      </w:r>
    </w:p>
    <w:p w14:paraId="58D21964"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a törvény szerinti általános jogszabályi célok és feladatok.</w:t>
      </w:r>
    </w:p>
    <w:p w14:paraId="0F24F117"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a kódexet és a szabályzatot alátámasztó konkrét jogszabályi célkitűzések.</w:t>
      </w:r>
    </w:p>
    <w:p w14:paraId="1741B814"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lastRenderedPageBreak/>
        <w:t>az Alkotmány, az Európai Unió Alapjogi Chartája, az emberi jogok európai egyezménye által biztosított jogok, amennyiben azok az emberi jogok európai egyezményéről szóló 2003. évi törvény és az EU-szerződések értelmében alkalmazandók.</w:t>
      </w:r>
    </w:p>
    <w:p w14:paraId="4F3F9DFF" w14:textId="77777777" w:rsidR="00E02E02" w:rsidRPr="007A1F9D" w:rsidRDefault="00E02E02" w:rsidP="00E02E02">
      <w:pPr>
        <w:pStyle w:val="a"/>
        <w:widowControl w:val="0"/>
        <w:numPr>
          <w:ilvl w:val="0"/>
          <w:numId w:val="0"/>
        </w:numPr>
        <w:spacing w:after="240" w:line="280" w:lineRule="exact"/>
        <w:ind w:left="360"/>
        <w:contextualSpacing w:val="0"/>
        <w:jc w:val="both"/>
        <w:rPr>
          <w:szCs w:val="20"/>
        </w:rPr>
      </w:pPr>
    </w:p>
    <w:p w14:paraId="569D2B75" w14:textId="77777777" w:rsidR="00E02E02" w:rsidRPr="007A1F9D" w:rsidRDefault="00E02E02" w:rsidP="00E02E02">
      <w:pPr>
        <w:pStyle w:val="a"/>
        <w:widowControl w:val="0"/>
        <w:numPr>
          <w:ilvl w:val="0"/>
          <w:numId w:val="0"/>
        </w:numPr>
        <w:spacing w:after="240" w:line="280" w:lineRule="exact"/>
        <w:ind w:left="360"/>
        <w:contextualSpacing w:val="0"/>
        <w:jc w:val="both"/>
        <w:rPr>
          <w:szCs w:val="20"/>
        </w:rPr>
      </w:pPr>
    </w:p>
    <w:p w14:paraId="66990FF4" w14:textId="77777777" w:rsidR="00D07292" w:rsidRPr="00F75F53" w:rsidRDefault="00664D9B" w:rsidP="00E02E02">
      <w:pPr>
        <w:pStyle w:val="3"/>
        <w:ind w:left="414" w:firstLine="720"/>
        <w:rPr>
          <w:rFonts w:ascii="Georgia Pro" w:hAnsi="Georgia Pro"/>
          <w:b w:val="0"/>
          <w:bCs/>
          <w:sz w:val="28"/>
          <w:szCs w:val="28"/>
        </w:rPr>
      </w:pPr>
      <w:bookmarkStart w:id="19" w:name="_Toc169864365"/>
      <w:bookmarkStart w:id="20" w:name="_Toc170818918"/>
      <w:bookmarkStart w:id="21" w:name="_Toc170833813"/>
      <w:bookmarkStart w:id="22" w:name="_Toc172814427"/>
      <w:r>
        <w:rPr>
          <w:sz w:val="28"/>
        </w:rPr>
        <w:t>Általános jogszabályi célkitűzések és feladatok</w:t>
      </w:r>
      <w:bookmarkEnd w:id="19"/>
      <w:bookmarkEnd w:id="20"/>
      <w:bookmarkEnd w:id="21"/>
      <w:bookmarkEnd w:id="22"/>
    </w:p>
    <w:p w14:paraId="1905E56D"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A törvény 7. szakaszának (2) bekezdése előírja, hogy a Bizottságnak a feladatai ellátása során törekednie kell az Alkotmányban rögzített demokratikus értékek, különösen a jogos véleménynyilvánítás szabadságával kapcsolatos értékek tiszteletben tartásának biztosítására, valamint a polgárok érdekeinek – ideértve a gyermekek érdekei – védelmének biztosítására, különös tekintettel a gyermekek biztonságára. A Bizottság törekszik továbbá annak biztosítására, hogy a Bizottság lekérhető audiovizuális médiaszolgáltatásokra vonatkozó politikái a legjobban szolgálják az Ír-sziget lakosságának a fogyatékossággal élő személyekkel kapcsolatos igényeit, valamint az e szolgáltatások akadálymentességére vonatkozó követelményeiket.</w:t>
      </w:r>
    </w:p>
    <w:p w14:paraId="123F3BA6"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A Bizottságnak továbbá törekednie kell annak biztosítására, hogy szabályozási intézkedései i. a műsorokra és egyéb káros vagy jogellenes tartalmakra is kiterjedjenek; ii. figyelembe veszik a technológiai és társadalmi változásokat; és iii. arányosan, következetesen és tisztességesen működnek.</w:t>
      </w:r>
    </w:p>
    <w:p w14:paraId="1EE019DC"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A törvény 7. szakaszának (3) bekezdése előírja továbbá, hogy a Bizottság többek között:</w:t>
      </w:r>
    </w:p>
    <w:p w14:paraId="164CDC80"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ösztönzi, hogy a lekérhető audiovizuális médiaszolgáltatásokat nyújtó szolgáltatók kiváló minőségű, sokszínű és innovatív műsorokat nyújtsanak.</w:t>
      </w:r>
    </w:p>
    <w:p w14:paraId="1DB3CA3B"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előmozdítja és ösztönzi a környezeti fenntarthatóságot a lekérhető audiovizuális médiaszolgáltatásokat nyújtó szolgáltatók politikáiban és gyakorlataiban.</w:t>
      </w:r>
    </w:p>
    <w:p w14:paraId="156207F6"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feladatai ellátása során bekapcsolódik a tényeken alapuló döntéshozatali folyamatokba, és előmozdítja a tényeken alapuló döntéshozatalt azok számára, akikkel konzultál.</w:t>
      </w:r>
    </w:p>
    <w:p w14:paraId="6CD829A1"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a törvény rendelkezéseinek, valamint az e törvény alapján elfogadott bármely szabályzat, szabály vagy egyéb jogszabály rendelkezéseinek való megfelelést ösztönzi a bizottság által megfelelőnek ítélt módon, többek között az e rendelkezések betartatására vonatkozó iránymutatás közzétételével.</w:t>
      </w:r>
    </w:p>
    <w:p w14:paraId="3BC1E758" w14:textId="77777777" w:rsidR="00045EF4" w:rsidRPr="00F75F53" w:rsidRDefault="00664D9B" w:rsidP="00E02E02">
      <w:pPr>
        <w:pStyle w:val="a"/>
        <w:widowControl w:val="0"/>
        <w:numPr>
          <w:ilvl w:val="1"/>
          <w:numId w:val="5"/>
        </w:numPr>
        <w:spacing w:after="240" w:line="280" w:lineRule="exact"/>
        <w:contextualSpacing w:val="0"/>
        <w:jc w:val="both"/>
        <w:rPr>
          <w:szCs w:val="20"/>
        </w:rPr>
      </w:pPr>
      <w:r>
        <w:t xml:space="preserve">A törvény 7. szakaszának (4) alszakasza szerint a bizottság feladatainak ellátása során figyelembe veszi: a gyermekek biztonságának kérdését, valamint a gyermekügyi, esélyegyenlőségi, fogyatékosságügyi, integrációs és ifjúsági miniszter ezzel kapcsolatban közzétett politikáját; a szerencsejátékok szabályozását és az igazságügyi miniszter ezzel kapcsolatban közzétett politikáját; az éghajlatváltozás és környezeti fenntarthatóság kérdését, valamint a környezetvédelmi, éghajlat-politikai és hírközlési miniszter ezzel kapcsolatban közzétett politikáját; és a kormány e kérdések bármelyikével kapcsolatban </w:t>
      </w:r>
      <w:r>
        <w:lastRenderedPageBreak/>
        <w:t>közzétett politikáját.</w:t>
      </w:r>
    </w:p>
    <w:p w14:paraId="18D4FD81" w14:textId="77777777" w:rsidR="00D07292" w:rsidRPr="00F75F53" w:rsidRDefault="00664D9B" w:rsidP="00E02E02">
      <w:pPr>
        <w:pStyle w:val="3"/>
        <w:ind w:left="414" w:firstLine="720"/>
        <w:rPr>
          <w:rFonts w:ascii="Georgia Pro" w:hAnsi="Georgia Pro"/>
          <w:b w:val="0"/>
          <w:bCs/>
          <w:sz w:val="28"/>
          <w:szCs w:val="28"/>
        </w:rPr>
      </w:pPr>
      <w:bookmarkStart w:id="23" w:name="_Toc169864366"/>
      <w:bookmarkStart w:id="24" w:name="_Toc170818919"/>
      <w:bookmarkStart w:id="25" w:name="_Toc170833814"/>
      <w:bookmarkStart w:id="26" w:name="_Toc172814428"/>
      <w:r>
        <w:rPr>
          <w:sz w:val="28"/>
        </w:rPr>
        <w:t>Konkrét jogszabályi célkitűzések</w:t>
      </w:r>
      <w:bookmarkEnd w:id="23"/>
      <w:bookmarkEnd w:id="24"/>
      <w:bookmarkEnd w:id="25"/>
      <w:bookmarkEnd w:id="26"/>
    </w:p>
    <w:p w14:paraId="3E0DEBDF" w14:textId="77777777" w:rsidR="00045EF4" w:rsidRPr="00F75F53" w:rsidRDefault="00664D9B" w:rsidP="00045EF4">
      <w:pPr>
        <w:pStyle w:val="a"/>
        <w:widowControl w:val="0"/>
        <w:numPr>
          <w:ilvl w:val="1"/>
          <w:numId w:val="5"/>
        </w:numPr>
        <w:spacing w:after="120" w:line="280" w:lineRule="exact"/>
        <w:contextualSpacing w:val="0"/>
        <w:jc w:val="both"/>
        <w:rPr>
          <w:szCs w:val="20"/>
        </w:rPr>
      </w:pPr>
      <w:r>
        <w:t>A törvény 46N. szakaszának (5) bekezdése és 46O. szakaszának (9) bekezdése alapján a kódex és a szabályzat célja annak biztosítása, hogy az állam joghatósága alá tartozó, lekérhető audiovizuális médiaszolgáltatásokat nyújtó médiaszolgáltatók megfeleljenek az audiovizuális médiaszolgáltatásokról szóló irányelv 5. cikkében, 6. cikkének (1) bekezdésében, 6a. cikkének (1)–(3) bekezdésében, 7., 8., 9., 10. és 11. cikkében foglalt követelményeknek.</w:t>
      </w:r>
    </w:p>
    <w:p w14:paraId="371E91B8" w14:textId="77777777" w:rsidR="00664D9B" w:rsidRPr="00F75F53" w:rsidRDefault="00D953A0" w:rsidP="00664D9B">
      <w:pPr>
        <w:jc w:val="both"/>
      </w:pPr>
      <w:r>
        <w:br/>
      </w:r>
    </w:p>
    <w:p w14:paraId="2AC9132A"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27" w:name="_Toc170818920"/>
      <w:bookmarkStart w:id="28" w:name="_Toc172814429"/>
      <w:r>
        <w:rPr>
          <w:rFonts w:ascii="Georgia Pro" w:hAnsi="Georgia Pro"/>
          <w:sz w:val="36"/>
        </w:rPr>
        <w:t>Elválaszthatóság</w:t>
      </w:r>
      <w:bookmarkEnd w:id="27"/>
      <w:bookmarkEnd w:id="28"/>
      <w:r>
        <w:rPr>
          <w:rFonts w:ascii="Georgia Pro" w:hAnsi="Georgia Pro"/>
          <w:sz w:val="36"/>
        </w:rPr>
        <w:t xml:space="preserve"> </w:t>
      </w:r>
    </w:p>
    <w:p w14:paraId="7EF10B7E" w14:textId="77777777" w:rsidR="00664D9B" w:rsidRPr="00F75F53" w:rsidRDefault="00664D9B" w:rsidP="00664D9B">
      <w:pPr>
        <w:jc w:val="both"/>
      </w:pPr>
    </w:p>
    <w:p w14:paraId="0052EDCB" w14:textId="77777777" w:rsidR="00664D9B" w:rsidRPr="00F75F53" w:rsidRDefault="00664D9B" w:rsidP="00664D9B">
      <w:pPr>
        <w:pStyle w:val="a"/>
        <w:widowControl w:val="0"/>
        <w:numPr>
          <w:ilvl w:val="1"/>
          <w:numId w:val="5"/>
        </w:numPr>
        <w:spacing w:after="120" w:line="280" w:lineRule="exact"/>
        <w:contextualSpacing w:val="0"/>
        <w:jc w:val="both"/>
        <w:rPr>
          <w:szCs w:val="20"/>
        </w:rPr>
      </w:pPr>
      <w:r>
        <w:t xml:space="preserve">Ha a kódex és a szabályzat valamely rendelkezése bármely jogszabály (beleértve az Alkotmányt és az európai jogot) alapján bármely tekintetben jogellenesnek, érvénytelennek, tiltottnak, végrehajthatatlannak vagy alkalmazhatatlannak bizonyul (akár általában, akár meghatározott médiaszolgáltató(k) tekintetében), az ilyen megállapítás nem érinti a kódex és a szabályzat bármely más rendelkezésének vagy egy részének jogszerűségét, érvényességét, végrehajthatóságát vagy alkalmazhatóságát, kivéve, ha a megállapítást a bíróság az ilyen más rendelkezésre vagy annak egy részére alkalmazandónak nyilvánítja, vagy ugyanerre a bíróság által megállapított mentesség vonatkozik. </w:t>
      </w:r>
    </w:p>
    <w:p w14:paraId="08793288" w14:textId="77777777" w:rsidR="00664D9B" w:rsidRPr="00F75F53" w:rsidRDefault="00664D9B" w:rsidP="00664D9B">
      <w:pPr>
        <w:pStyle w:val="a"/>
        <w:widowControl w:val="0"/>
        <w:numPr>
          <w:ilvl w:val="1"/>
          <w:numId w:val="5"/>
        </w:numPr>
        <w:spacing w:after="120" w:line="280" w:lineRule="exact"/>
        <w:contextualSpacing w:val="0"/>
        <w:jc w:val="both"/>
        <w:rPr>
          <w:szCs w:val="20"/>
        </w:rPr>
      </w:pPr>
      <w:r>
        <w:t>A fentiek sérelme nélkül, a kódex és a szabályzat valamennyi egyéb rendelkezése és/vagy része továbbra is teljes mértékben hatályos, alkalmazandó és végrehajtható marad. Amennyiben szükséges, a kódex és a szabályzat bármely, jogellenesnek, érvénytelennek, tiltottnak, végrehajthatatlannak vagy alkalmazhatatlannak ítélt rendelkezését vagy részét el kell különíteni a kódextől és a szabályzattól.</w:t>
      </w:r>
    </w:p>
    <w:p w14:paraId="2C943E36" w14:textId="77777777" w:rsidR="00664D9B" w:rsidRPr="00F75F53" w:rsidRDefault="00664D9B" w:rsidP="00664D9B">
      <w:pPr>
        <w:jc w:val="both"/>
        <w:rPr>
          <w:rFonts w:ascii="Georgia Pro" w:hAnsi="Georgia Pro"/>
          <w:sz w:val="32"/>
          <w:szCs w:val="32"/>
        </w:rPr>
      </w:pPr>
    </w:p>
    <w:p w14:paraId="4E236550"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29" w:name="_Toc170818921"/>
      <w:bookmarkStart w:id="30" w:name="_Toc172814430"/>
      <w:r>
        <w:rPr>
          <w:rFonts w:ascii="Georgia Pro" w:hAnsi="Georgia Pro"/>
          <w:sz w:val="36"/>
        </w:rPr>
        <w:t>Mentesség</w:t>
      </w:r>
      <w:bookmarkEnd w:id="29"/>
      <w:bookmarkEnd w:id="30"/>
    </w:p>
    <w:p w14:paraId="3EF29880" w14:textId="77777777" w:rsidR="00664D9B" w:rsidRPr="00F75F53" w:rsidRDefault="00664D9B" w:rsidP="00664D9B">
      <w:pPr>
        <w:jc w:val="both"/>
      </w:pPr>
    </w:p>
    <w:p w14:paraId="7BD12DFA" w14:textId="77777777" w:rsidR="00664D9B" w:rsidRPr="00F75F53" w:rsidRDefault="00664D9B" w:rsidP="00664D9B">
      <w:pPr>
        <w:pStyle w:val="a"/>
        <w:widowControl w:val="0"/>
        <w:numPr>
          <w:ilvl w:val="1"/>
          <w:numId w:val="5"/>
        </w:numPr>
        <w:spacing w:after="240" w:line="280" w:lineRule="exact"/>
        <w:contextualSpacing w:val="0"/>
        <w:jc w:val="both"/>
        <w:rPr>
          <w:szCs w:val="20"/>
        </w:rPr>
      </w:pPr>
      <w:r>
        <w:t>Az a tény, hogy a Bizottság nem válaszol a lekérhető audiovizuális médiaszolgáltatásokat nyújtó szolgáltatóknak a Bizottság által a törvény alapján létrehozott nyilvántartásában szereplő, lekérhető audiovizuális médiaszolgáltatásokat nyújtó szolgáltató által benyújtott beadványra, értékelésre, javaslatra, jelentésre, összeegyeztethetőségi nyilatkozatra vagy hasonló dokumentumra, illetve nem tesz észrevételt azokkal kapcsolatban, nem tekinthető a szolgáltató tartalmának valamely része elfogadásának vagy jóváhagyásának, és nem jelenti azt, hogy a médiaszolgáltató teljesítette a törvényből és/vagy a kódexből és a szabályzatból eredő kötelezettségeit.</w:t>
      </w:r>
    </w:p>
    <w:p w14:paraId="22DDDAF7" w14:textId="77777777" w:rsidR="00265440" w:rsidRPr="00F75F53" w:rsidRDefault="00664D9B" w:rsidP="00E02E02">
      <w:pPr>
        <w:pStyle w:val="a"/>
        <w:widowControl w:val="0"/>
        <w:numPr>
          <w:ilvl w:val="1"/>
          <w:numId w:val="5"/>
        </w:numPr>
        <w:spacing w:after="360" w:line="280" w:lineRule="exact"/>
        <w:ind w:hanging="777"/>
        <w:contextualSpacing w:val="0"/>
        <w:jc w:val="both"/>
        <w:rPr>
          <w:szCs w:val="20"/>
        </w:rPr>
      </w:pPr>
      <w:r>
        <w:t>A fentiek sérelme nélkül, annak ténye, hogy a Bizottság nem válaszol az ilyen dokumentumra vagy azzal kapcsolatban nem tesz észrevételt, nem hoz létre estoppelt a bizottságnak a kódex és/vagy a szabályzat szerinti hatásköreivel vagy jogaival szemben, és nem jelenti az azokról való lemondást.</w:t>
      </w:r>
    </w:p>
    <w:p w14:paraId="3425F50C"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31" w:name="_Toc170818922"/>
      <w:bookmarkStart w:id="32" w:name="_Toc172814431"/>
      <w:r>
        <w:rPr>
          <w:rFonts w:ascii="Georgia Pro" w:hAnsi="Georgia Pro"/>
          <w:sz w:val="36"/>
        </w:rPr>
        <w:lastRenderedPageBreak/>
        <w:t>Megfelelés és végrehajtás</w:t>
      </w:r>
      <w:bookmarkEnd w:id="31"/>
      <w:bookmarkEnd w:id="32"/>
    </w:p>
    <w:p w14:paraId="2F36937E" w14:textId="77777777" w:rsidR="00664D9B" w:rsidRPr="00F75F53" w:rsidRDefault="00664D9B" w:rsidP="00664D9B">
      <w:pPr>
        <w:pStyle w:val="a"/>
        <w:widowControl w:val="0"/>
        <w:numPr>
          <w:ilvl w:val="1"/>
          <w:numId w:val="5"/>
        </w:numPr>
        <w:spacing w:after="240" w:line="280" w:lineRule="exact"/>
        <w:jc w:val="both"/>
        <w:rPr>
          <w:szCs w:val="20"/>
        </w:rPr>
      </w:pPr>
      <w:r>
        <w:t>A törvény 46N. szakaszának (10) bekezdése és 46O. szakaszának (11) bekezdése szerint a kódexnek vagy a szabályzatnak az audiovizuális médiaszolgáltatásokat nyújtó szolgáltató általi be nem tartása a törvény 8B. része szerinti jogsértésnek minősül.</w:t>
      </w:r>
    </w:p>
    <w:p w14:paraId="5BC52336" w14:textId="77777777" w:rsidR="00664D9B" w:rsidRPr="007A1F9D" w:rsidRDefault="00664D9B" w:rsidP="00664D9B">
      <w:pPr>
        <w:pStyle w:val="a"/>
        <w:widowControl w:val="0"/>
        <w:numPr>
          <w:ilvl w:val="0"/>
          <w:numId w:val="0"/>
        </w:numPr>
        <w:spacing w:after="240" w:line="280" w:lineRule="exact"/>
        <w:ind w:left="720"/>
        <w:jc w:val="both"/>
        <w:rPr>
          <w:szCs w:val="20"/>
        </w:rPr>
      </w:pPr>
    </w:p>
    <w:p w14:paraId="34E4B1AC" w14:textId="77777777" w:rsidR="00664D9B" w:rsidRPr="00F75F53" w:rsidRDefault="00664D9B" w:rsidP="00664D9B">
      <w:pPr>
        <w:pStyle w:val="a"/>
        <w:widowControl w:val="0"/>
        <w:numPr>
          <w:ilvl w:val="1"/>
          <w:numId w:val="5"/>
        </w:numPr>
        <w:spacing w:after="240" w:line="280" w:lineRule="exact"/>
        <w:jc w:val="both"/>
        <w:rPr>
          <w:szCs w:val="20"/>
        </w:rPr>
      </w:pPr>
      <w:r>
        <w:t>Az audiovizuális médiaszolgáltatásokat nyújtó szolgáltató biztosítja, hogy olyan rendszerekkel és kontrollmechanizmusokkal rendelkeznek, amelyek igazolják az e kódexben foglalt kötelezettségeknek való megfelelést.</w:t>
      </w:r>
    </w:p>
    <w:p w14:paraId="4480F245" w14:textId="77777777" w:rsidR="00664D9B" w:rsidRPr="007A1F9D" w:rsidRDefault="00664D9B" w:rsidP="00664D9B">
      <w:pPr>
        <w:pStyle w:val="a"/>
        <w:numPr>
          <w:ilvl w:val="0"/>
          <w:numId w:val="0"/>
        </w:numPr>
        <w:ind w:left="284"/>
        <w:jc w:val="both"/>
        <w:rPr>
          <w:szCs w:val="20"/>
        </w:rPr>
      </w:pPr>
    </w:p>
    <w:p w14:paraId="21DB124A" w14:textId="77777777" w:rsidR="00664D9B" w:rsidRPr="00F75F53" w:rsidRDefault="00664D9B" w:rsidP="00664D9B">
      <w:pPr>
        <w:pStyle w:val="a"/>
        <w:widowControl w:val="0"/>
        <w:numPr>
          <w:ilvl w:val="1"/>
          <w:numId w:val="5"/>
        </w:numPr>
        <w:spacing w:after="240" w:line="280" w:lineRule="exact"/>
        <w:jc w:val="both"/>
        <w:rPr>
          <w:szCs w:val="20"/>
        </w:rPr>
      </w:pPr>
      <w:r>
        <w:t xml:space="preserve">A törvény 47. szakaszának (3) bekezdése alapján a lekérhető audiovizuális médiaszolgáltatást nyújtó médiaszolgáltató köteles a médiaszolgáltatási kódex vagy a médiaszolgáltatási szabályzat médiaszolgáltató általi be nem tartásával kapcsolatos panaszok kezelésére vonatkozó magatartási kódexet készíteni és végrehajtani. </w:t>
      </w:r>
    </w:p>
    <w:p w14:paraId="6C5976D3" w14:textId="77777777" w:rsidR="00045EF4" w:rsidRPr="007A1F9D" w:rsidRDefault="00045EF4" w:rsidP="00045EF4">
      <w:pPr>
        <w:pStyle w:val="a"/>
        <w:numPr>
          <w:ilvl w:val="0"/>
          <w:numId w:val="0"/>
        </w:numPr>
        <w:ind w:left="284"/>
        <w:rPr>
          <w:szCs w:val="20"/>
        </w:rPr>
      </w:pPr>
    </w:p>
    <w:p w14:paraId="3F30639B" w14:textId="77777777" w:rsidR="00664D9B" w:rsidRPr="007A1F9D" w:rsidRDefault="00664D9B" w:rsidP="00664D9B">
      <w:pPr>
        <w:pStyle w:val="a"/>
        <w:numPr>
          <w:ilvl w:val="0"/>
          <w:numId w:val="0"/>
        </w:numPr>
        <w:ind w:left="284"/>
        <w:jc w:val="both"/>
      </w:pPr>
    </w:p>
    <w:p w14:paraId="3E69FAF7"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33" w:name="_Toc170818923"/>
      <w:bookmarkStart w:id="34" w:name="_Toc172814432"/>
      <w:r>
        <w:rPr>
          <w:rFonts w:ascii="Georgia Pro" w:hAnsi="Georgia Pro"/>
          <w:sz w:val="36"/>
        </w:rPr>
        <w:t>Panaszok</w:t>
      </w:r>
      <w:bookmarkEnd w:id="33"/>
      <w:bookmarkEnd w:id="34"/>
      <w:r>
        <w:rPr>
          <w:rFonts w:ascii="Georgia Pro" w:hAnsi="Georgia Pro"/>
          <w:sz w:val="36"/>
        </w:rPr>
        <w:t xml:space="preserve"> </w:t>
      </w:r>
    </w:p>
    <w:p w14:paraId="02CD9E6A" w14:textId="77777777" w:rsidR="00664D9B" w:rsidRPr="00F75F53" w:rsidRDefault="00664D9B" w:rsidP="00664D9B">
      <w:pPr>
        <w:pStyle w:val="a"/>
        <w:widowControl w:val="0"/>
        <w:numPr>
          <w:ilvl w:val="1"/>
          <w:numId w:val="5"/>
        </w:numPr>
        <w:spacing w:after="240" w:line="280" w:lineRule="exact"/>
        <w:jc w:val="both"/>
        <w:rPr>
          <w:rFonts w:eastAsia="Times New Roman" w:cs="Arial"/>
          <w:kern w:val="0"/>
          <w:szCs w:val="20"/>
          <w14:ligatures w14:val="none"/>
        </w:rPr>
      </w:pPr>
      <w:r>
        <w:t>A közönség panaszt tehet, ha úgy véli, hogy a lekérhető audiovizuális médiaszolgáltatást nyújtó médiaszolgáltatók nem tartották be e kódexet és szabályzatot.  A Coimisiún na Meán azt tanácsolja a panaszosoknak, hogy panaszukat elsősorban a lekérhető audiovizuális médiaszolgáltatásokat nyújtó szolgáltatóhoz nyújtsák be, mivel ez a leggyorsabb módja a panasz elbírálásának és megválaszolásának.</w:t>
      </w:r>
    </w:p>
    <w:p w14:paraId="25430354" w14:textId="77777777" w:rsidR="00664D9B" w:rsidRPr="007A1F9D" w:rsidRDefault="00664D9B" w:rsidP="00664D9B">
      <w:pPr>
        <w:pStyle w:val="a"/>
        <w:widowControl w:val="0"/>
        <w:numPr>
          <w:ilvl w:val="0"/>
          <w:numId w:val="0"/>
        </w:numPr>
        <w:spacing w:after="240" w:line="280" w:lineRule="exact"/>
        <w:ind w:left="720"/>
        <w:jc w:val="both"/>
        <w:rPr>
          <w:rFonts w:eastAsia="Times New Roman" w:cs="Arial"/>
          <w:kern w:val="0"/>
          <w:sz w:val="16"/>
          <w:szCs w:val="16"/>
          <w:lang w:eastAsia="en-IE"/>
          <w14:ligatures w14:val="none"/>
        </w:rPr>
      </w:pPr>
    </w:p>
    <w:p w14:paraId="16E3778D" w14:textId="77777777" w:rsidR="00664D9B" w:rsidRPr="00F75F53" w:rsidRDefault="00664D9B" w:rsidP="00664D9B">
      <w:pPr>
        <w:pStyle w:val="a"/>
        <w:widowControl w:val="0"/>
        <w:numPr>
          <w:ilvl w:val="0"/>
          <w:numId w:val="0"/>
        </w:numPr>
        <w:spacing w:after="240" w:line="280" w:lineRule="exact"/>
        <w:ind w:left="1134"/>
        <w:jc w:val="both"/>
        <w:rPr>
          <w:szCs w:val="20"/>
        </w:rPr>
      </w:pPr>
      <w:r>
        <w:t>A panaszkezelési folyamattal, többek között a Coimisiún na Meán eljárásával kapcsolatos információk honlapunkon érhetők el (</w:t>
      </w:r>
      <w:hyperlink r:id="rId16" w:tgtFrame="_blank" w:tooltip="http://www.cnam.ie/" w:history="1">
        <w:r>
          <w:rPr>
            <w:color w:val="0000FF"/>
            <w:u w:val="single"/>
          </w:rPr>
          <w:t>www.cnam.ie</w:t>
        </w:r>
      </w:hyperlink>
      <w:r>
        <w:t>) vagy forduljon a Coimisiún na Meánhoz a + 353 1 963 7755 telefonszámon vagy a következő e-mail-címen: </w:t>
      </w:r>
      <w:hyperlink r:id="rId17" w:tgtFrame="_blank" w:tooltip="mailto:usersupport@cnam.ie" w:history="1">
        <w:r>
          <w:rPr>
            <w:color w:val="0000FF"/>
            <w:u w:val="single"/>
          </w:rPr>
          <w:t>usersupport@cnam.ie</w:t>
        </w:r>
      </w:hyperlink>
      <w:r>
        <w:t>.</w:t>
      </w:r>
    </w:p>
    <w:p w14:paraId="2F6E1206" w14:textId="77777777" w:rsidR="00664D9B" w:rsidRPr="007A1F9D" w:rsidRDefault="00664D9B" w:rsidP="00664D9B">
      <w:pPr>
        <w:pStyle w:val="a"/>
        <w:numPr>
          <w:ilvl w:val="0"/>
          <w:numId w:val="0"/>
        </w:numPr>
        <w:ind w:left="720"/>
        <w:jc w:val="both"/>
      </w:pPr>
    </w:p>
    <w:p w14:paraId="2CB633B1" w14:textId="77777777" w:rsidR="00664D9B" w:rsidRPr="007A1F9D" w:rsidRDefault="00664D9B" w:rsidP="00664D9B">
      <w:pPr>
        <w:pStyle w:val="a"/>
        <w:numPr>
          <w:ilvl w:val="0"/>
          <w:numId w:val="0"/>
        </w:numPr>
        <w:ind w:left="720"/>
      </w:pPr>
    </w:p>
    <w:p w14:paraId="64E9DA07" w14:textId="77777777" w:rsidR="00664D9B" w:rsidRPr="00F75F53" w:rsidRDefault="00664D9B" w:rsidP="00E02E02">
      <w:pPr>
        <w:pStyle w:val="2"/>
        <w:numPr>
          <w:ilvl w:val="0"/>
          <w:numId w:val="5"/>
        </w:numPr>
        <w:ind w:left="1134" w:hanging="850"/>
        <w:rPr>
          <w:rFonts w:ascii="Georgia Pro" w:hAnsi="Georgia Pro"/>
          <w:sz w:val="36"/>
          <w:szCs w:val="36"/>
        </w:rPr>
      </w:pPr>
      <w:bookmarkStart w:id="35" w:name="_Toc170818924"/>
      <w:bookmarkStart w:id="36" w:name="_Toc172814433"/>
      <w:r>
        <w:rPr>
          <w:rFonts w:ascii="Georgia Pro" w:hAnsi="Georgia Pro"/>
          <w:sz w:val="36"/>
        </w:rPr>
        <w:t>Fogalommeghatározások – Médiaszolgáltatási kódex és médiaszolgáltatási szabályzat</w:t>
      </w:r>
      <w:bookmarkEnd w:id="35"/>
      <w:bookmarkEnd w:id="36"/>
      <w:r>
        <w:rPr>
          <w:rFonts w:ascii="Georgia Pro" w:hAnsi="Georgia Pro"/>
          <w:sz w:val="36"/>
        </w:rPr>
        <w:t xml:space="preserve"> </w:t>
      </w:r>
    </w:p>
    <w:p w14:paraId="7A5E1861" w14:textId="77777777" w:rsidR="00664D9B" w:rsidRPr="00F75F53" w:rsidRDefault="00664D9B" w:rsidP="00E02E02">
      <w:pPr>
        <w:spacing w:after="240" w:line="280" w:lineRule="exact"/>
        <w:ind w:left="1134"/>
        <w:jc w:val="both"/>
        <w:rPr>
          <w:rFonts w:eastAsia="Times New Roman" w:cs="Times New Roman"/>
          <w:b/>
          <w:bCs/>
          <w:kern w:val="0"/>
          <w:szCs w:val="20"/>
          <w14:ligatures w14:val="none"/>
        </w:rPr>
      </w:pPr>
      <w:r>
        <w:rPr>
          <w:b/>
        </w:rPr>
        <w:t xml:space="preserve">„akadálymentesítési szolgáltatások”: </w:t>
      </w:r>
      <w:r>
        <w:t>feliratozás, zárt feliratozás, jelnyelv (az ír közönséget megcélzó szolgáltatások esetében az ír jelnyelvet is beleértve) és audiokommentár az e kódexben és szabályzatban meghatározottak szerint.</w:t>
      </w:r>
    </w:p>
    <w:p w14:paraId="06DA3947"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„audiokommentár”:</w:t>
      </w:r>
      <w:r>
        <w:t xml:space="preserve"> olyan kommentár, amely a vak vagy látássérült közönség számára szóbeli leírást ad arról, hogy egy adott pillanatban mi történik a képernyőn. A műsor megértéséhez és élvezetéhez nyújt segítséget. A technika egy második hangsávot használ, amely leírja a műsor tartalmát és a képernyőn végzett tevékenységet.</w:t>
      </w:r>
    </w:p>
    <w:p w14:paraId="7CD40BF7"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 xml:space="preserve">„audiovizuális kereskedelmi közlemény”: </w:t>
      </w:r>
      <w:r>
        <w:t xml:space="preserve">hangos vagy hang nélküli képekből álló kereskedelmi közlemény, amelynek célja gazdasági tevékenységet folytató természetes vagy jogi személy áruinak, szolgáltatásainak vagy arculatának közvetlen vagy közvetett népszerűsítése; </w:t>
      </w:r>
      <w:r>
        <w:rPr>
          <w:color w:val="000000"/>
        </w:rPr>
        <w:t xml:space="preserve">az ilyen képek fizetés vagy hasonló ellenszolgáltatás ellenében vagy </w:t>
      </w:r>
      <w:r>
        <w:rPr>
          <w:color w:val="000000"/>
        </w:rPr>
        <w:lastRenderedPageBreak/>
        <w:t xml:space="preserve">önreklámozás céljából kísérnek egy műsorszámot vagy egy felhasználó által létrehozott videót, vagy szerepelnek abban. </w:t>
      </w:r>
    </w:p>
    <w:p w14:paraId="6DDC0541" w14:textId="77777777" w:rsidR="00664D9B" w:rsidRPr="00F75F53" w:rsidRDefault="00664D9B" w:rsidP="00E02E02">
      <w:pPr>
        <w:spacing w:after="120" w:line="280" w:lineRule="exact"/>
        <w:ind w:left="1134"/>
        <w:jc w:val="both"/>
        <w:rPr>
          <w:rFonts w:eastAsia="Times New Roman" w:cs="Arial"/>
          <w:kern w:val="0"/>
          <w:szCs w:val="20"/>
          <w14:ligatures w14:val="none"/>
        </w:rPr>
      </w:pPr>
      <w:r>
        <w:rPr>
          <w:b/>
        </w:rPr>
        <w:t>„audiovizuális médiaszolgáltatás”:</w:t>
      </w:r>
      <w:r>
        <w:t xml:space="preserve"> </w:t>
      </w:r>
    </w:p>
    <w:p w14:paraId="2CC278A3" w14:textId="77777777" w:rsidR="00664D9B" w:rsidRPr="00F75F53" w:rsidRDefault="00664D9B" w:rsidP="00E02E02">
      <w:pPr>
        <w:spacing w:line="280" w:lineRule="exact"/>
        <w:ind w:left="1134"/>
        <w:jc w:val="both"/>
        <w:rPr>
          <w:rFonts w:eastAsia="Times New Roman" w:cs="Times New Roman"/>
          <w:kern w:val="0"/>
          <w:szCs w:val="20"/>
          <w14:ligatures w14:val="none"/>
        </w:rPr>
      </w:pPr>
      <w:r>
        <w:t xml:space="preserve">i. az Európai Unió működéséről szóló szerződés 56. és 57. cikkében meghatározott olyan szolgáltatás, vagy annak elválaszthatatlan része, amelynek fő célja, hogy a médiaszolgáltató szerkesztői felelőssége mellett műsorokat szolgáltasson a nyilvánosság számára tájékoztatás, szórakoztatás vagy oktatás céljából, a 2002/21/EK irányelv 2. cikkének a) pontja szerinti elektronikus hírközlő hálózatokon keresztül; az ilyen audiovizuális médiaszolgáltatás televíziós műsorszolgáltatás vagy lekérhető audiovizuális médiaszolgáltatás. </w:t>
      </w:r>
    </w:p>
    <w:p w14:paraId="3B9ADFF4" w14:textId="77777777" w:rsidR="00664D9B" w:rsidRPr="00F75F53" w:rsidRDefault="00664D9B" w:rsidP="00E02E02">
      <w:pPr>
        <w:spacing w:line="280" w:lineRule="exact"/>
        <w:ind w:left="1134"/>
        <w:jc w:val="both"/>
        <w:rPr>
          <w:rFonts w:eastAsia="Times New Roman" w:cs="Times New Roman"/>
          <w:kern w:val="0"/>
          <w:szCs w:val="20"/>
          <w:lang w:eastAsia="en-IE"/>
          <w14:ligatures w14:val="none"/>
        </w:rPr>
      </w:pPr>
    </w:p>
    <w:p w14:paraId="3F8E6C35" w14:textId="77777777" w:rsidR="00664D9B" w:rsidRPr="00F75F53" w:rsidRDefault="00664D9B" w:rsidP="00E02E02">
      <w:pPr>
        <w:spacing w:line="280" w:lineRule="exact"/>
        <w:ind w:left="1134"/>
        <w:jc w:val="both"/>
        <w:rPr>
          <w:rFonts w:eastAsia="Times New Roman" w:cs="Times New Roman"/>
          <w:kern w:val="0"/>
          <w:szCs w:val="20"/>
          <w14:ligatures w14:val="none"/>
        </w:rPr>
      </w:pPr>
      <w:r>
        <w:t>ii. audiovizuális kereskedelmi kommunikáció.</w:t>
      </w:r>
    </w:p>
    <w:p w14:paraId="55D9FB8E" w14:textId="77777777" w:rsidR="00664D9B" w:rsidRPr="00F75F53" w:rsidRDefault="00664D9B" w:rsidP="00E02E02">
      <w:pPr>
        <w:ind w:left="1134"/>
        <w:jc w:val="both"/>
        <w:rPr>
          <w:rFonts w:eastAsia="Times New Roman" w:cs="Times New Roman"/>
          <w:kern w:val="0"/>
          <w:szCs w:val="20"/>
          <w:lang w:eastAsia="en-IE"/>
          <w14:ligatures w14:val="none"/>
        </w:rPr>
      </w:pPr>
    </w:p>
    <w:p w14:paraId="2694494F"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„lekérhető audiovizuális médiaszolgáltatás (lekérhető szolgáltatás)”:</w:t>
      </w:r>
      <w:r>
        <w:t xml:space="preserve"> a médiaszolgáltató által nyújtott audiovizuális médiaszolgáltatás, amelynek célja, hogy a médiaszolgáltató által kiválasztott műsorkínálat alapján a felhasználó az általa kiválasztott időpontban és a felhasználó egyéni kérésére megtekintse a műsorokat.</w:t>
      </w:r>
    </w:p>
    <w:p w14:paraId="21CD238F" w14:textId="77777777" w:rsidR="00664D9B" w:rsidRPr="00F75F53" w:rsidRDefault="00664D9B" w:rsidP="00E02E02">
      <w:pPr>
        <w:spacing w:line="280" w:lineRule="exact"/>
        <w:ind w:left="1134"/>
        <w:jc w:val="both"/>
        <w:rPr>
          <w:rFonts w:eastAsia="Times New Roman" w:cs="Times New Roman"/>
          <w:kern w:val="0"/>
          <w:szCs w:val="20"/>
          <w14:ligatures w14:val="none"/>
        </w:rPr>
      </w:pPr>
      <w:r>
        <w:rPr>
          <w:b/>
        </w:rPr>
        <w:t>„zárt feliratozás (closed captioning)”:</w:t>
      </w:r>
      <w:r>
        <w:t xml:space="preserve"> képernyőn megjelenő szöveg, amely a képernyőn elhangzottakat ábrázolja.  Bár hasonló a feliratozáshoz, nem annyira kifinomult, és a képernyőn elhangzottak alapvetőbb ábrázolását jelenti, néha csak egy színnel jelenik meg, szó szerinti, és a szöveg csak nagybetűs lehet.</w:t>
      </w:r>
    </w:p>
    <w:p w14:paraId="55D9DFD8" w14:textId="77777777" w:rsidR="00664D9B" w:rsidRPr="00F75F53" w:rsidRDefault="00664D9B" w:rsidP="00E02E02">
      <w:pPr>
        <w:spacing w:line="280" w:lineRule="exact"/>
        <w:ind w:left="1134"/>
        <w:jc w:val="both"/>
        <w:rPr>
          <w:rFonts w:eastAsia="Times New Roman" w:cs="Arial"/>
          <w:b/>
          <w:kern w:val="0"/>
          <w:szCs w:val="20"/>
          <w:lang w:eastAsia="en-IE"/>
          <w14:ligatures w14:val="none"/>
        </w:rPr>
      </w:pPr>
    </w:p>
    <w:p w14:paraId="226D3278"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„gyermek/gyermekek”:</w:t>
      </w:r>
      <w:r>
        <w:t xml:space="preserve"> 18. életévét be nem töltött személy vagy személyek.</w:t>
      </w:r>
    </w:p>
    <w:p w14:paraId="5235E6A1" w14:textId="77777777" w:rsidR="00664D9B" w:rsidRPr="00F75F53" w:rsidRDefault="00664D9B" w:rsidP="00E02E02">
      <w:pPr>
        <w:spacing w:after="120" w:line="280" w:lineRule="exact"/>
        <w:ind w:left="1134"/>
        <w:jc w:val="both"/>
        <w:rPr>
          <w:rFonts w:eastAsia="Times New Roman" w:cs="Times New Roman"/>
          <w:kern w:val="0"/>
          <w:szCs w:val="20"/>
          <w14:ligatures w14:val="none"/>
        </w:rPr>
      </w:pPr>
      <w:r>
        <w:rPr>
          <w:b/>
        </w:rPr>
        <w:t>„szerkesztői felelősség”:</w:t>
      </w:r>
      <w:r>
        <w:t xml:space="preserve"> tényleges ellenőrzés gyakorlása mind a műsorok kiválasztása, mind azok rendszerezése felett, amely televíziós műsorok esetében időrendi sorrendben, lekérhető audiovizuális médiaszolgáltatások esetében pedig katalógusban történik. A szerkesztői felelősség nem jár szükségszerűen együtt a nemzeti jog szerinti jogi felelősséggel a szolgáltatott tartalom vagy szolgáltatás tekintetében.</w:t>
      </w:r>
    </w:p>
    <w:p w14:paraId="78DDA1CD"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„médiaszolgáltató”:</w:t>
      </w:r>
      <w:r>
        <w:t xml:space="preserve"> az a természetes vagy jogi személy, aki vagy amely szerkesztői felelősséggel tartozik az audiovizuális médiaszolgáltatás audiovizuális tartalmának megválasztásáért, és meghatározza annak rendszerezésének módját.</w:t>
      </w:r>
    </w:p>
    <w:p w14:paraId="69952437" w14:textId="77777777" w:rsidR="00664D9B" w:rsidRPr="00F75F53" w:rsidRDefault="00664D9B" w:rsidP="00E02E02">
      <w:pPr>
        <w:spacing w:after="120" w:line="280" w:lineRule="exact"/>
        <w:ind w:left="1134"/>
        <w:jc w:val="both"/>
        <w:rPr>
          <w:rFonts w:eastAsia="Times New Roman" w:cs="Times New Roman"/>
          <w:kern w:val="0"/>
          <w:szCs w:val="20"/>
          <w14:ligatures w14:val="none"/>
        </w:rPr>
      </w:pPr>
      <w:r>
        <w:rPr>
          <w:b/>
        </w:rPr>
        <w:t>„termékmegjelenítés”:</w:t>
      </w:r>
      <w:r>
        <w:t xml:space="preserve"> az audiovizuális kereskedelmi közlemény bármely olyan formája, amely terméket, szolgáltatást, ezek védjegyét vagy ezekre való utalást tartalmaz oly módon, hogy az – fizetés vagy hasonló ellenszolgáltatás ellenében – egy műsorban vagy a felhasználó által generált videóban jelenik meg.</w:t>
      </w:r>
    </w:p>
    <w:p w14:paraId="199B3DCE"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 xml:space="preserve">„műsor”: </w:t>
      </w:r>
      <w:r>
        <w:t>hangos vagy hang nélküli mozgóképek sorozata, amely – hosszától függetlenül – egy médiaszolgáltató által létrehozott műsorrendben vagy katalógusban különálló tétel, beleértve a mozifilmeket, a videoklipeket, a sporteseményeket, a szitkomokat, a dokumentumfilmeket, a gyermekműsorokat és a saját gyártású tévéjátékokat.</w:t>
      </w:r>
    </w:p>
    <w:p w14:paraId="739EC9EB"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 xml:space="preserve">„Jelnyelv, beleértve az ír jelnyelvet”: </w:t>
      </w:r>
      <w:r>
        <w:t xml:space="preserve">a siket közösség őshonos természetes nyelve.  Vizuális, térbeli nyelvről van szó, amely a kéz mozgásán keresztül, arckifejezésekkel és testtartásokkal kombinálva közvetít jelentést. A jelnyelv saját szintaxisú és összetett </w:t>
      </w:r>
      <w:r>
        <w:lastRenderedPageBreak/>
        <w:t xml:space="preserve">nyelvtani szerkezettel rendelkezik. A jelnyelvet a képernyőn az audiovizuális műsortartalom részeként szereplő jeltolmács segítségével, vagy tolmácsként szereplő, a képernyőn megjelenő képek előtt elhelyezett jeltolmács segítségével kell megjeleníteni. </w:t>
      </w:r>
    </w:p>
    <w:p w14:paraId="2DB54484"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„szponzorálás”:</w:t>
      </w:r>
      <w:r>
        <w:t xml:space="preserve"> olyan hozzájárulás, amelyet audiovizuális médiaszolgáltatás vagy videómegosztó platformok szolgáltatásainak nyújtásával vagy audiovizuális alkotások készítésével nem foglalkozó köz- vagy magánvállalkozások vagy természetes személyek nyújtanak audiovizuális médiaszolgáltatások, videómegosztó platformok által nyújtott szolgáltatások, felhasználó által létrehozott videók vagy műsorok finanszírozására azzal a céllal, hogy népszerűsítsék nevüket, védjegyüket, arculatukat, tevékenységüket vagy termékeiket.</w:t>
      </w:r>
    </w:p>
    <w:p w14:paraId="1E125771" w14:textId="77777777" w:rsidR="00664D9B" w:rsidRPr="00F75F53" w:rsidRDefault="00664D9B" w:rsidP="00E02E02">
      <w:pPr>
        <w:spacing w:after="240" w:line="280" w:lineRule="exact"/>
        <w:ind w:left="1134"/>
        <w:jc w:val="both"/>
        <w:textAlignment w:val="baseline"/>
        <w:rPr>
          <w:rFonts w:ascii="Segoe UI" w:eastAsia="Times New Roman" w:hAnsi="Segoe UI" w:cs="Segoe UI"/>
          <w:kern w:val="0"/>
          <w:szCs w:val="20"/>
          <w14:ligatures w14:val="none"/>
        </w:rPr>
      </w:pPr>
      <w:r>
        <w:rPr>
          <w:b/>
        </w:rPr>
        <w:t xml:space="preserve">„burkolt audiovizuális kereskedelmi közlemények”: </w:t>
      </w:r>
      <w:r>
        <w:t xml:space="preserve">áruknak, szolgáltatásoknak, az áruk előállítójának vagy a szolgáltató nevének, védjegyének, illetve tevékenységeinek szavakban vagy képekben történő megjelenítése műsorokban, amennyiben ezt a megjelenítést a médiaszolgáltató reklám céljára szánja, és jellegét illetően félrevezetheti a közönséget. Ez a megjelenítés különösen akkor tekinthető szándékosnak, ha arra fizetés vagy hasonló ellenszolgáltatás ellenében kerül sor. </w:t>
      </w:r>
    </w:p>
    <w:p w14:paraId="40B15B93" w14:textId="77777777" w:rsidR="00E02E02" w:rsidRPr="00F75F53" w:rsidRDefault="00E02E02" w:rsidP="00E02E02">
      <w:pPr>
        <w:spacing w:after="240" w:line="280" w:lineRule="exact"/>
        <w:ind w:left="1134"/>
        <w:jc w:val="both"/>
        <w:textAlignment w:val="baseline"/>
        <w:rPr>
          <w:rFonts w:eastAsia="Times New Roman" w:cs="Arial"/>
          <w:b/>
          <w:kern w:val="0"/>
          <w:szCs w:val="20"/>
          <w:lang w:eastAsia="en-IE"/>
          <w14:ligatures w14:val="none"/>
        </w:rPr>
      </w:pPr>
    </w:p>
    <w:p w14:paraId="6F12E1DA" w14:textId="77777777" w:rsidR="00664D9B" w:rsidRPr="00F75F53" w:rsidRDefault="00664D9B" w:rsidP="00E02E02">
      <w:pPr>
        <w:spacing w:after="240" w:line="280" w:lineRule="exact"/>
        <w:ind w:left="1134"/>
        <w:jc w:val="both"/>
        <w:textAlignment w:val="baseline"/>
        <w:rPr>
          <w:rFonts w:ascii="Segoe UI" w:eastAsia="Times New Roman" w:hAnsi="Segoe UI" w:cs="Segoe UI"/>
          <w:kern w:val="0"/>
          <w:szCs w:val="20"/>
          <w14:ligatures w14:val="none"/>
        </w:rPr>
      </w:pPr>
      <w:r>
        <w:rPr>
          <w:b/>
        </w:rPr>
        <w:t>„tudatosan nem észlelhető technikák”:</w:t>
      </w:r>
      <w:r>
        <w:t xml:space="preserve"> olyan kereskedelmi kommunikáció, amely magában foglal minden olyan műszaki eszközt, amely nagyon rövid időtartamú képek felhasználásával vagy bármely más módon kihasználja azt a lehetőséget, hogy üzenetet közvetítsenek a közönség tagjai számára, vagy más módon befolyásolják a közönség tagjait anélkül, hogy tudomásuk lenne róla, vagy teljes mértékben tisztában lennének azzal, hogy mi történt. </w:t>
      </w:r>
    </w:p>
    <w:p w14:paraId="426F6507" w14:textId="77777777" w:rsidR="00664D9B" w:rsidRPr="00F75F53" w:rsidRDefault="00664D9B" w:rsidP="00E02E02">
      <w:pPr>
        <w:spacing w:line="280" w:lineRule="exact"/>
        <w:ind w:left="1134"/>
        <w:jc w:val="both"/>
        <w:rPr>
          <w:rFonts w:eastAsia="Times New Roman" w:cs="Times New Roman"/>
          <w:kern w:val="0"/>
          <w:szCs w:val="20"/>
          <w14:ligatures w14:val="none"/>
        </w:rPr>
      </w:pPr>
      <w:r>
        <w:rPr>
          <w:b/>
        </w:rPr>
        <w:t>„feliratozás”:</w:t>
      </w:r>
      <w:r>
        <w:t xml:space="preserve"> képernyőn megjelenő szöveg, amely a képernyőn elhangzottakat ábrázolja. A feliratozás lehet nyílt vagy zárt. A nyílt feliratozás olyan feliratozás, amely mindenkor a képernyőn marad.  A zárt feliratozás (closed subtitling) a közönség kívánsága szerint láthatóvá vagy nem láthatóvá tehető, például távirányító használatával. A feliratozás úgy van formázva, hogy segítse a szöveg értelmezését és megértését, és pontosabban összekapcsolja azt a képernyőn látható cselekménnyel.  </w:t>
      </w:r>
    </w:p>
    <w:p w14:paraId="468388B2" w14:textId="77777777" w:rsidR="00664D9B" w:rsidRPr="00F75F53" w:rsidRDefault="00664D9B" w:rsidP="00E02E02">
      <w:pPr>
        <w:spacing w:line="280" w:lineRule="exact"/>
        <w:ind w:left="1134"/>
        <w:jc w:val="both"/>
        <w:rPr>
          <w:rFonts w:ascii="Georgia Pro" w:eastAsia="Times New Roman" w:hAnsi="Georgia Pro" w:cs="Times New Roman"/>
          <w:kern w:val="0"/>
          <w:sz w:val="32"/>
          <w:szCs w:val="32"/>
          <w:lang w:eastAsia="en-IE"/>
          <w14:ligatures w14:val="none"/>
        </w:rPr>
      </w:pPr>
    </w:p>
    <w:p w14:paraId="3F1FF59F" w14:textId="77777777" w:rsidR="00664D9B" w:rsidRPr="00F75F53" w:rsidRDefault="00664D9B" w:rsidP="00664D9B">
      <w:pPr>
        <w:keepNext/>
        <w:widowControl w:val="0"/>
        <w:spacing w:before="240" w:after="240" w:line="280" w:lineRule="exact"/>
        <w:ind w:left="567" w:hanging="357"/>
        <w:jc w:val="center"/>
        <w:outlineLvl w:val="0"/>
        <w:rPr>
          <w:rFonts w:ascii="Georgia Pro" w:eastAsia="Times New Roman" w:hAnsi="Georgia Pro" w:cs="Arial"/>
          <w:b/>
          <w:bCs/>
          <w:kern w:val="32"/>
          <w:sz w:val="36"/>
          <w:szCs w:val="36"/>
          <w14:ligatures w14:val="none"/>
        </w:rPr>
      </w:pPr>
      <w:bookmarkStart w:id="37" w:name="_Toc169864372"/>
      <w:bookmarkStart w:id="38" w:name="_Toc170818925"/>
      <w:bookmarkStart w:id="39" w:name="_Toc172814434"/>
      <w:r>
        <w:rPr>
          <w:rFonts w:ascii="Georgia Pro" w:hAnsi="Georgia Pro"/>
          <w:b/>
          <w:sz w:val="36"/>
        </w:rPr>
        <w:t>A médiaszolgáltatási kódex rendelkezései</w:t>
      </w:r>
      <w:bookmarkEnd w:id="37"/>
      <w:bookmarkEnd w:id="38"/>
      <w:bookmarkEnd w:id="39"/>
    </w:p>
    <w:p w14:paraId="481EB040" w14:textId="77777777" w:rsidR="00664D9B" w:rsidRPr="00F75F53" w:rsidRDefault="00664D9B" w:rsidP="00F75F53">
      <w:pPr>
        <w:spacing w:line="280" w:lineRule="exact"/>
        <w:ind w:left="567"/>
        <w:jc w:val="both"/>
        <w:rPr>
          <w:rFonts w:eastAsia="Times New Roman" w:cs="Times New Roman"/>
          <w:kern w:val="0"/>
          <w:sz w:val="22"/>
          <w:szCs w:val="22"/>
          <w14:ligatures w14:val="none"/>
        </w:rPr>
      </w:pPr>
      <w:r>
        <w:rPr>
          <w:sz w:val="22"/>
        </w:rPr>
        <w:t>A törvény 46N. szakaszának (1) bekezdése és 46N. szakaszának (5) bekezdése szerint a következőkről rendelkezünk.</w:t>
      </w:r>
    </w:p>
    <w:p w14:paraId="5C5C58C5" w14:textId="77777777" w:rsidR="00664D9B" w:rsidRPr="00F75F53" w:rsidRDefault="00664D9B" w:rsidP="00664D9B">
      <w:pPr>
        <w:spacing w:line="280" w:lineRule="exact"/>
        <w:jc w:val="both"/>
        <w:rPr>
          <w:rFonts w:eastAsia="Times New Roman" w:cs="Times New Roman"/>
          <w:kern w:val="0"/>
          <w:szCs w:val="20"/>
          <w:lang w:eastAsia="en-IE"/>
          <w14:ligatures w14:val="none"/>
        </w:rPr>
      </w:pPr>
    </w:p>
    <w:p w14:paraId="5DC66F62"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40" w:name="_Toc170818926"/>
      <w:bookmarkStart w:id="41" w:name="_Toc172814435"/>
      <w:r>
        <w:rPr>
          <w:rFonts w:ascii="Georgia Pro" w:hAnsi="Georgia Pro"/>
          <w:sz w:val="36"/>
        </w:rPr>
        <w:t>Káros tartalom</w:t>
      </w:r>
      <w:bookmarkEnd w:id="40"/>
      <w:bookmarkEnd w:id="41"/>
    </w:p>
    <w:p w14:paraId="20ABD912" w14:textId="77777777" w:rsidR="00C72956" w:rsidRPr="00F75F53" w:rsidRDefault="00664D9B" w:rsidP="00F75F53">
      <w:pPr>
        <w:numPr>
          <w:ilvl w:val="1"/>
          <w:numId w:val="5"/>
        </w:numPr>
        <w:spacing w:after="240" w:line="280" w:lineRule="exact"/>
        <w:ind w:hanging="850"/>
        <w:jc w:val="both"/>
        <w:rPr>
          <w:rFonts w:eastAsia="Times New Roman" w:cs="Arial"/>
          <w:kern w:val="0"/>
          <w:szCs w:val="20"/>
          <w14:ligatures w14:val="none"/>
        </w:rPr>
      </w:pPr>
      <w:r>
        <w:t>A törvény 46J. szakasza (1) bekezdésének c) és d) pontja alapján a lekérhető médiaszolgáltatások szolgáltatói a szolgáltatás katalógusában nem teszik közzé az alábbiakat:</w:t>
      </w:r>
    </w:p>
    <w:p w14:paraId="7BB3528A" w14:textId="77777777" w:rsidR="00664D9B" w:rsidRPr="00F75F53" w:rsidRDefault="00664D9B" w:rsidP="00F75F53">
      <w:pPr>
        <w:widowControl w:val="0"/>
        <w:numPr>
          <w:ilvl w:val="0"/>
          <w:numId w:val="15"/>
        </w:numPr>
        <w:spacing w:after="240" w:line="280" w:lineRule="exact"/>
        <w:ind w:left="1985" w:hanging="850"/>
        <w:jc w:val="both"/>
        <w:rPr>
          <w:rFonts w:eastAsia="Times New Roman" w:cs="Arial"/>
          <w:kern w:val="0"/>
          <w:szCs w:val="20"/>
          <w14:ligatures w14:val="none"/>
        </w:rPr>
      </w:pPr>
      <w:r>
        <w:t xml:space="preserve">bármi, ami észszerűen az (EU) 2017/541 irányelv 5. cikkében meghatározott, terrorista bűncselekmény elkövetésére való nyilvános uszítás fogalmába tartozó </w:t>
      </w:r>
      <w:r>
        <w:lastRenderedPageBreak/>
        <w:t>magatartásnak tekinthető;</w:t>
      </w:r>
    </w:p>
    <w:p w14:paraId="29727185" w14:textId="77777777" w:rsidR="00664D9B" w:rsidRPr="00F75F53" w:rsidRDefault="00664D9B" w:rsidP="00F75F53">
      <w:pPr>
        <w:widowControl w:val="0"/>
        <w:numPr>
          <w:ilvl w:val="0"/>
          <w:numId w:val="15"/>
        </w:numPr>
        <w:spacing w:after="240" w:line="280" w:lineRule="exact"/>
        <w:ind w:left="1985" w:hanging="850"/>
        <w:jc w:val="both"/>
        <w:rPr>
          <w:rFonts w:eastAsia="Times New Roman" w:cs="Arial"/>
          <w:kern w:val="0"/>
          <w:szCs w:val="20"/>
          <w14:ligatures w14:val="none"/>
        </w:rPr>
      </w:pPr>
      <w:r>
        <w:t>bármi, amiről észszerűen feltételezhető, hogy személyek egy csoportjával vagy egy csoport tagjával szemben a Charta 21. cikkében</w:t>
      </w:r>
      <w:r w:rsidRPr="00F75F53">
        <w:rPr>
          <w:rFonts w:eastAsia="Times New Roman" w:cs="Arial"/>
          <w:kern w:val="0"/>
          <w:szCs w:val="20"/>
          <w:vertAlign w:val="superscript"/>
          <w:lang w:eastAsia="en-IE"/>
        </w:rPr>
        <w:footnoteReference w:id="1"/>
      </w:r>
      <w:r>
        <w:t xml:space="preserve"> említett okok bármelyike,</w:t>
      </w:r>
      <w:r>
        <w:rPr>
          <w:vertAlign w:val="superscript"/>
        </w:rPr>
        <w:t xml:space="preserve"> </w:t>
      </w:r>
      <w:r>
        <w:t xml:space="preserve"> nevezetesen nem, faj, bőrszín, etnikai vagy társadalmi származás, genetikai tulajdonság, nyelv, vallás vagy meggyőződés, politikai vagy más vélemény, nemzeti kisebbséghez tartozás, vagyoni helyzet, születés, fogyatékosság, életkor vagy szexuális irányultság alapján erőszakra vagy gyűlöletre uszíthat. Az állampolgárság az Európai Közösséget létrehozó szerződés és az Európai Unióról szóló szerződés különös rendelkezéseinek sérelme nélkül ilyen indoknak minősül.</w:t>
      </w:r>
    </w:p>
    <w:p w14:paraId="2679B8AF"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A 10.1. szakasz sérelme nélkül a lekérhető szolgáltatásokat nyújtó médiaszolgáltatóknak elegendő tájékoztatást kell nyújtaniuk a közönség számára az olyan tartalmakról, amelyek károsíthatják a gyermekek fizikai, szellemi vagy erkölcsi fejlődését. A médiaszolgáltatónak olyan rendszert kell használnia, amely ismerteti a lekérhető audiovizuális médiaszolgáltatása tartalmának potenciálisan káros jellegét. A közönségnek nyújtott információkat a műsor elején kell megjeleníteni.</w:t>
      </w:r>
    </w:p>
    <w:p w14:paraId="26AEE259"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1E2E42D5"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6FC69854"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30CEBC23"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A lekérhető szolgáltatásokat nyújtó médiaszolgáltatók megteszik a megfelelő intézkedéseket annak biztosítására, hogy az olyan tartalmakat tartalmazó műsorokat, amelyek károsíthatják a gyermekek fizikai, szellemi vagy erkölcsi fejlődését, így különösen:</w:t>
      </w:r>
    </w:p>
    <w:p w14:paraId="06145AAB" w14:textId="77777777" w:rsidR="00664D9B" w:rsidRPr="00F75F53" w:rsidRDefault="00664D9B" w:rsidP="00F75F53">
      <w:pPr>
        <w:widowControl w:val="0"/>
        <w:numPr>
          <w:ilvl w:val="0"/>
          <w:numId w:val="16"/>
        </w:numPr>
        <w:spacing w:after="240" w:line="280" w:lineRule="exact"/>
        <w:ind w:left="1985" w:hanging="851"/>
        <w:jc w:val="both"/>
        <w:rPr>
          <w:rFonts w:eastAsia="Times New Roman" w:cs="Arial"/>
          <w:kern w:val="0"/>
          <w:szCs w:val="20"/>
          <w14:ligatures w14:val="none"/>
        </w:rPr>
      </w:pPr>
      <w:r>
        <w:t xml:space="preserve">a pornográfiát ábrázoló tartalmakat, </w:t>
      </w:r>
    </w:p>
    <w:p w14:paraId="2326EC56" w14:textId="77777777" w:rsidR="00772CC7" w:rsidRDefault="00664D9B" w:rsidP="00F75F53">
      <w:pPr>
        <w:widowControl w:val="0"/>
        <w:numPr>
          <w:ilvl w:val="0"/>
          <w:numId w:val="16"/>
        </w:numPr>
        <w:spacing w:after="240" w:line="280" w:lineRule="exact"/>
        <w:ind w:left="1985" w:hanging="851"/>
        <w:jc w:val="both"/>
        <w:rPr>
          <w:rFonts w:eastAsia="Times New Roman" w:cs="Arial"/>
          <w:kern w:val="0"/>
          <w:szCs w:val="20"/>
          <w14:ligatures w14:val="none"/>
        </w:rPr>
      </w:pPr>
      <w:r>
        <w:t xml:space="preserve">indokolatlan erőszakot ábrázoló tartalmakat, </w:t>
      </w:r>
    </w:p>
    <w:p w14:paraId="55E6FE54" w14:textId="06270CE9" w:rsidR="00664D9B" w:rsidRPr="00F75F53" w:rsidRDefault="00664D9B" w:rsidP="00772CC7">
      <w:pPr>
        <w:widowControl w:val="0"/>
        <w:spacing w:after="240" w:line="280" w:lineRule="exact"/>
        <w:ind w:left="1134"/>
        <w:jc w:val="both"/>
        <w:rPr>
          <w:rFonts w:eastAsia="Times New Roman" w:cs="Arial"/>
          <w:kern w:val="0"/>
          <w:szCs w:val="20"/>
          <w14:ligatures w14:val="none"/>
        </w:rPr>
      </w:pPr>
      <w:r>
        <w:t>csak oly módon bocsátják rendelkezésre, hogy a gyermekek rendes körülmények között ne hallhassák vagy láthassák őket.</w:t>
      </w:r>
    </w:p>
    <w:p w14:paraId="19B7BCCD" w14:textId="77777777" w:rsidR="00664D9B" w:rsidRPr="00F75F53" w:rsidRDefault="00664D9B" w:rsidP="00F75F53">
      <w:pPr>
        <w:spacing w:after="240" w:line="280" w:lineRule="exact"/>
        <w:ind w:left="1134" w:hanging="850"/>
        <w:jc w:val="both"/>
        <w:rPr>
          <w:rFonts w:eastAsia="Times New Roman" w:cs="Arial"/>
          <w:color w:val="000000"/>
          <w:kern w:val="0"/>
          <w:szCs w:val="20"/>
          <w14:ligatures w14:val="none"/>
        </w:rPr>
      </w:pPr>
      <w:r>
        <w:t>10.4.</w:t>
      </w:r>
      <w:r>
        <w:tab/>
        <w:t xml:space="preserve">A 10.3. szakasz alkalmazásában a megfelelő intézkedések magukban foglalhatják, hogy </w:t>
      </w:r>
      <w:r>
        <w:rPr>
          <w:color w:val="000000"/>
        </w:rPr>
        <w:t xml:space="preserve">a lekérhető audiovizuális médiaszolgáltatásokat nyújtó szolgáltatók védelmi mechanizmusokat alkalmaznak, beleértve a következőket: - </w:t>
      </w:r>
    </w:p>
    <w:p w14:paraId="38D2C79C"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 xml:space="preserve">a tartalomra vonatkozó előzetes figyelmeztetések használata. </w:t>
      </w:r>
    </w:p>
    <w:p w14:paraId="09407BEC"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 xml:space="preserve">szülői felügyelet biztosítása, beleértve a korlátozott módokat és a PIN-kóddal történő hozzáférést. </w:t>
      </w:r>
    </w:p>
    <w:p w14:paraId="09DED4D2"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életkor-ellenőrzési eszközök.</w:t>
      </w:r>
      <w:r w:rsidRPr="00F75F53">
        <w:rPr>
          <w:rFonts w:eastAsia="Times New Roman" w:cs="Arial"/>
          <w:color w:val="000000"/>
          <w:kern w:val="0"/>
          <w:szCs w:val="20"/>
          <w:vertAlign w:val="superscript"/>
          <w:lang w:eastAsia="en-IE"/>
        </w:rPr>
        <w:footnoteReference w:id="2"/>
      </w:r>
      <w:r>
        <w:rPr>
          <w:color w:val="000000"/>
        </w:rPr>
        <w:t xml:space="preserve"> </w:t>
      </w:r>
    </w:p>
    <w:p w14:paraId="449725B9"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lastRenderedPageBreak/>
        <w:t>egyéb technikai intézkedések, amelyek a fentiekkel egyenértékű eredményt érnek el.</w:t>
      </w:r>
    </w:p>
    <w:p w14:paraId="758F1534" w14:textId="77777777" w:rsidR="00664D9B" w:rsidRPr="00F75F53" w:rsidRDefault="00664D9B" w:rsidP="00F75F53">
      <w:pPr>
        <w:spacing w:after="240" w:line="280" w:lineRule="exact"/>
        <w:ind w:left="1134" w:hanging="850"/>
        <w:jc w:val="both"/>
        <w:rPr>
          <w:rFonts w:eastAsia="Times New Roman" w:cs="Times New Roman"/>
          <w:kern w:val="0"/>
          <w:szCs w:val="20"/>
          <w14:ligatures w14:val="none"/>
        </w:rPr>
      </w:pPr>
      <w:r>
        <w:t>10.5.</w:t>
      </w:r>
      <w:r>
        <w:tab/>
        <w:t>A 10.3. szakasz alkalmazásában a megfelelő intézkedéseknek arányosnak kell lenniük a műsor által a gyermekek számára okozott potenciális kárral. E tekintetben a lekérhető szolgáltatásokat nyújtó médiaszolgáltatóknak az arányos megközelítés meghatározásakor figyelembe kell venniük, hogy a tartalom milyen mértékben károsíthatja a gyermekeket. A figyelembe veendő tényezők közé tartoznak a következők: -</w:t>
      </w:r>
    </w:p>
    <w:p w14:paraId="0D2D546B"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A műsor tartalma által esetlegesen okozott kár valószínű mértéke.</w:t>
      </w:r>
    </w:p>
    <w:p w14:paraId="1F0C4F56"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Annak valószínűsége, hogy a gyermekek hozzáférnek a tartalomhoz.</w:t>
      </w:r>
    </w:p>
    <w:p w14:paraId="364C4E24"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A lekérhető szolgáltatás jellege és valószínűsíthető közönsége.</w:t>
      </w:r>
    </w:p>
    <w:p w14:paraId="285E81E3" w14:textId="77777777" w:rsidR="00664D9B" w:rsidRPr="00F75F53" w:rsidRDefault="00664D9B" w:rsidP="00F75F53">
      <w:pPr>
        <w:spacing w:after="240" w:line="280" w:lineRule="exact"/>
        <w:ind w:left="1134" w:hanging="850"/>
        <w:jc w:val="both"/>
        <w:rPr>
          <w:rFonts w:eastAsia="Times New Roman" w:cs="Times New Roman"/>
          <w:kern w:val="0"/>
          <w:szCs w:val="20"/>
          <w14:ligatures w14:val="none"/>
        </w:rPr>
      </w:pPr>
      <w:r>
        <w:t>10.6.</w:t>
      </w:r>
      <w:r>
        <w:tab/>
        <w:t xml:space="preserve">A 10.3. és 10.4. szakasz általános rendelkezéseinek sérelme nélkül a legkárosabb tartalomra, nevezetesen az indokolatlan erőszakra és a pornográfiára a legszigorúbb intézkedéseket kell alkalmazni, mint például a szülői felügyelet, az életkor-ellenőrzési eszközök vagy más, ezzel egyenértékű eredményt biztosító technikai intézkedések. </w:t>
      </w:r>
    </w:p>
    <w:p w14:paraId="4CA9ADE4" w14:textId="77777777" w:rsidR="00E43AAE" w:rsidRDefault="00664D9B" w:rsidP="00F75F53">
      <w:pPr>
        <w:spacing w:after="240" w:line="280" w:lineRule="exact"/>
        <w:ind w:left="1134" w:hanging="850"/>
        <w:jc w:val="both"/>
        <w:rPr>
          <w:rFonts w:eastAsia="Times New Roman" w:cs="Times New Roman"/>
          <w:kern w:val="0"/>
          <w:szCs w:val="20"/>
          <w14:ligatures w14:val="none"/>
        </w:rPr>
      </w:pPr>
      <w:r>
        <w:t>10.7.</w:t>
      </w:r>
      <w:r>
        <w:tab/>
        <w:t>A gyermekeknek a médiaszolgáltatók által a 10.3. vagy 10.4. szakasz alapján gyűjtött vagy más módon generált személyes adatai nem kezelhetők kereskedelmi célokból, például direkt marketing, profilalkotás és szokásokon alapuló célzott reklám céljából.</w:t>
      </w:r>
    </w:p>
    <w:p w14:paraId="2480E829" w14:textId="77777777" w:rsidR="00664D9B" w:rsidRPr="00F75F53" w:rsidRDefault="00E43AAE" w:rsidP="00F75F53">
      <w:pPr>
        <w:spacing w:after="240" w:line="280" w:lineRule="exact"/>
        <w:ind w:left="1134" w:hanging="850"/>
        <w:jc w:val="both"/>
        <w:rPr>
          <w:rFonts w:eastAsia="Times New Roman" w:cs="Times New Roman"/>
          <w:kern w:val="0"/>
          <w:szCs w:val="20"/>
          <w14:ligatures w14:val="none"/>
        </w:rPr>
      </w:pPr>
      <w:r>
        <w:br w:type="column"/>
      </w:r>
    </w:p>
    <w:p w14:paraId="005728B1" w14:textId="77777777" w:rsidR="00664D9B" w:rsidRPr="00F75F53" w:rsidRDefault="00664D9B" w:rsidP="00F75F53">
      <w:pPr>
        <w:keepNext/>
        <w:widowControl w:val="0"/>
        <w:numPr>
          <w:ilvl w:val="0"/>
          <w:numId w:val="5"/>
        </w:numPr>
        <w:spacing w:after="360"/>
        <w:ind w:left="1135" w:hanging="851"/>
        <w:jc w:val="both"/>
        <w:outlineLvl w:val="0"/>
        <w:rPr>
          <w:rFonts w:ascii="Georgia Pro" w:eastAsia="Times New Roman" w:hAnsi="Georgia Pro" w:cs="Arial"/>
          <w:b/>
          <w:bCs/>
          <w:kern w:val="32"/>
          <w:sz w:val="36"/>
          <w:szCs w:val="36"/>
          <w14:ligatures w14:val="none"/>
        </w:rPr>
      </w:pPr>
      <w:bookmarkStart w:id="42" w:name="_Toc169864374"/>
      <w:bookmarkStart w:id="43" w:name="_Toc170818927"/>
      <w:bookmarkStart w:id="44" w:name="_Toc172814436"/>
      <w:r>
        <w:rPr>
          <w:rFonts w:ascii="Georgia Pro" w:hAnsi="Georgia Pro"/>
          <w:b/>
          <w:sz w:val="36"/>
        </w:rPr>
        <w:t>A filmművészeti alkotásokhoz való jog</w:t>
      </w:r>
      <w:bookmarkEnd w:id="42"/>
      <w:bookmarkEnd w:id="43"/>
      <w:bookmarkEnd w:id="44"/>
    </w:p>
    <w:p w14:paraId="2AC0BFD4" w14:textId="77777777" w:rsidR="00664D9B" w:rsidRPr="00F75F53" w:rsidRDefault="00664D9B" w:rsidP="00E43AAE">
      <w:pPr>
        <w:widowControl w:val="0"/>
        <w:numPr>
          <w:ilvl w:val="1"/>
          <w:numId w:val="5"/>
        </w:numPr>
        <w:spacing w:after="360" w:line="280" w:lineRule="exact"/>
        <w:ind w:left="1135" w:hanging="851"/>
        <w:jc w:val="both"/>
        <w:rPr>
          <w:rFonts w:eastAsia="Times New Roman" w:cs="Arial"/>
          <w:kern w:val="0"/>
          <w:sz w:val="24"/>
          <w14:ligatures w14:val="none"/>
        </w:rPr>
      </w:pPr>
      <w:r>
        <w:t>A lekérhető szolgáltatásokat nyújtó médiaszolgáltatók nem közvetíthetnek filmművészeti alkotásokat a jogosultakkal egyeztetett időszakokon kívül</w:t>
      </w:r>
      <w:r>
        <w:rPr>
          <w:sz w:val="24"/>
        </w:rPr>
        <w:t xml:space="preserve">. </w:t>
      </w:r>
    </w:p>
    <w:p w14:paraId="3F8C0454" w14:textId="77777777" w:rsidR="00664D9B" w:rsidRPr="00F75F53" w:rsidRDefault="00664D9B" w:rsidP="00E43AAE">
      <w:pPr>
        <w:keepNext/>
        <w:widowControl w:val="0"/>
        <w:numPr>
          <w:ilvl w:val="0"/>
          <w:numId w:val="5"/>
        </w:numPr>
        <w:spacing w:after="360"/>
        <w:ind w:left="1135" w:hanging="851"/>
        <w:jc w:val="both"/>
        <w:outlineLvl w:val="0"/>
        <w:rPr>
          <w:rFonts w:ascii="Georgia Pro" w:eastAsia="Times New Roman" w:hAnsi="Georgia Pro" w:cs="Arial"/>
          <w:b/>
          <w:bCs/>
          <w:kern w:val="32"/>
          <w:sz w:val="36"/>
          <w:szCs w:val="36"/>
          <w14:ligatures w14:val="none"/>
        </w:rPr>
      </w:pPr>
      <w:bookmarkStart w:id="45" w:name="_Toc169864375"/>
      <w:bookmarkStart w:id="46" w:name="_Toc170818928"/>
      <w:bookmarkStart w:id="47" w:name="_Toc172814437"/>
      <w:r>
        <w:rPr>
          <w:rFonts w:ascii="Georgia Pro" w:hAnsi="Georgia Pro"/>
          <w:b/>
          <w:sz w:val="36"/>
        </w:rPr>
        <w:t>Audiovizuális kereskedelmi közlemények</w:t>
      </w:r>
      <w:bookmarkEnd w:id="45"/>
      <w:bookmarkEnd w:id="46"/>
      <w:bookmarkEnd w:id="47"/>
    </w:p>
    <w:p w14:paraId="798EEA59"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A lekérhető médiaszolgáltatásokat nyújtó médiaszolgáltatók biztosítják, hogy az általuk nyújtott audiovizuális kereskedelmi közlemények ilyenként könnyen felismerhetők legyenek.</w:t>
      </w:r>
    </w:p>
    <w:p w14:paraId="7AC13E62"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 xml:space="preserve">A lekérhető szolgáltatásokat nyújtó médiaszolgáltatók nem foglalhatnak bele a műsorokba, illetve nem közvetíthetnek azok mellett burkolt audiovizuális kereskedelmi közleményeket vagy tudatosan nem észlelhető technikákat alkalmazó audiovizuális kereskedelmi közleményeket. </w:t>
      </w:r>
    </w:p>
    <w:p w14:paraId="62831EB9" w14:textId="4847F73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A lekérhető szolgáltatásokat nyújtó médiaszolgáltatók nem közvetíthetnek a nyilvánosság számára káros audiovizuális kereskedelmi közleményeket, nevezetesen az alábbiakat: -</w:t>
      </w:r>
    </w:p>
    <w:p w14:paraId="5B3E996A"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audiovizuális kereskedelmi közlemények, amelyek az emberi méltóság tiszteletben tartásának elvét sértik,</w:t>
      </w:r>
    </w:p>
    <w:p w14:paraId="0B905B2A"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 xml:space="preserve">audiovizuális kereskedelmi közlemények, amelyek a következőkön alapuló megkülönböztetést tartalmaznak vagy mozdítanak elő: nem, faji vagy etnikai származás, nemzetiség, vallás vagy meggyőződés, fogyatékosság, kor vagy szexuális irányultság. </w:t>
      </w:r>
    </w:p>
    <w:p w14:paraId="3C062410"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audiovizuális kereskedelmi közlemények, amelyek az egészséget vagy biztonságot veszélyeztető magatartásra ösztönöznek.</w:t>
      </w:r>
    </w:p>
    <w:p w14:paraId="52A2506E"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audiovizuális kereskedelmi közlemények, amelyek a környezet védelmét súlyosan sértő magatartásra ösztönöznek.</w:t>
      </w:r>
    </w:p>
    <w:p w14:paraId="37F464E7"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audiovizuális kereskedelmi közlemények, amelyek a cigarettával és más dohánytermékekkel, valamint az elektronikus cigarettákkal és utántöltő flakonokkal foglalkoznak.</w:t>
      </w:r>
    </w:p>
    <w:p w14:paraId="35CFBCB3"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audiovizuális kereskedelmi közlemények, amelyek alkoholtartalmú italok mértéktelen fogyasztására buzdítanak.</w:t>
      </w:r>
    </w:p>
    <w:p w14:paraId="7D86DD24"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audiovizuális kereskedelmi közlemények, amelyek az ország területén kizárólag vényre kapható gyógyszerekkel és orvosi kezelésekkel foglalkoznak.</w:t>
      </w:r>
    </w:p>
    <w:p w14:paraId="39DE9E2C"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A lekérhető szolgáltatásokat nyújtó médiaszolgáltatók nem nyújthatnak gyermekekre nézve káros audiovizuális kereskedelmi közleményeket, nevezetesen az alábbiakat:</w:t>
      </w:r>
    </w:p>
    <w:p w14:paraId="2C66CDA2" w14:textId="77777777" w:rsidR="00664D9B"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lastRenderedPageBreak/>
        <w:t>audiovizuális kereskedelmi közlemények, amelyek tapasztalatlanságuk vagy hiszékenységük kihasználásával közvetlenül arra ösztönzik a gyermekeket, hogy adott terméket vagy szolgáltatást megvásároljanak vagy béreljenek.</w:t>
      </w:r>
    </w:p>
    <w:p w14:paraId="7EEB9CE9" w14:textId="77777777" w:rsidR="00E43AAE" w:rsidRPr="00F75F53" w:rsidRDefault="00E43AAE" w:rsidP="00E43AAE">
      <w:pPr>
        <w:widowControl w:val="0"/>
        <w:spacing w:after="240" w:line="280" w:lineRule="exact"/>
        <w:ind w:left="1985"/>
        <w:jc w:val="both"/>
        <w:rPr>
          <w:rFonts w:eastAsia="Times New Roman" w:cs="Arial"/>
          <w:kern w:val="0"/>
          <w:szCs w:val="20"/>
          <w:lang w:eastAsia="en-IE"/>
          <w14:ligatures w14:val="none"/>
        </w:rPr>
      </w:pPr>
    </w:p>
    <w:p w14:paraId="2FEF876A"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audiovizuális kereskedelmi közlemények, amelyek közvetlenül arra ösztönzik a gyermekeket, hogy szüleiket vagy másokat a reklámozott áruk vagy szolgáltatások megvásárlásáról meggyőzzék.</w:t>
      </w:r>
    </w:p>
    <w:p w14:paraId="132AAF39"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audiovizuális kereskedelmi közlemények, amelyek kihasználják a gyermekek szülőkbe, tanárokba vagy más személyekbe vetett különleges bizalmát.</w:t>
      </w:r>
    </w:p>
    <w:p w14:paraId="6790DCA5"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audiovizuális kereskedelmi közlemények, amelyek indokolatlanul ábrázolják a gyermekeket veszélyes helyzetekben.</w:t>
      </w:r>
    </w:p>
    <w:p w14:paraId="3B6D95F6"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kifejezetten gyermekeknek szóló, alkoholtartalmú italokra vonatkozó audiovizuális kereskedelmi közlemények.</w:t>
      </w:r>
    </w:p>
    <w:p w14:paraId="761EC70B" w14:textId="77777777" w:rsidR="00664D9B" w:rsidRPr="00F75F53" w:rsidRDefault="00664D9B" w:rsidP="00F75F53">
      <w:pPr>
        <w:widowControl w:val="0"/>
        <w:numPr>
          <w:ilvl w:val="1"/>
          <w:numId w:val="5"/>
        </w:numPr>
        <w:spacing w:after="240" w:line="280" w:lineRule="exact"/>
        <w:ind w:left="993" w:hanging="709"/>
        <w:jc w:val="both"/>
        <w:rPr>
          <w:rFonts w:eastAsia="Times New Roman" w:cs="Arial"/>
          <w:kern w:val="0"/>
          <w:szCs w:val="20"/>
          <w14:ligatures w14:val="none"/>
        </w:rPr>
      </w:pPr>
      <w:r>
        <w:t>A lekérhető médiaszolgáltatásokat nyújtó szolgáltatók biztosítják, hogy az általuk nyújtott, alkoholtartalmú italokra vonatkozó audiovizuális kereskedelmi közlemények – a szponzorálás és a termékmegjelenítés kivételével – megfeleljenek az alábbi követelményeknek:</w:t>
      </w:r>
    </w:p>
    <w:p w14:paraId="15C6F88B"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az audiovizuális kereskedelmi közlemények nem célozhatják meg kifejezetten a kiskorúakat, és különösen nem ábrázolhatnak olyan kiskorúakat, akik ezeket az italokat fogyasztják.</w:t>
      </w:r>
    </w:p>
    <w:p w14:paraId="0D39B69B"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az audiovizuális kereskedelmi közlemények nem kapcsolhatják az alkoholfogyasztást a fokozott fizikai teljesítményhez vagy a vezetéshez.</w:t>
      </w:r>
    </w:p>
    <w:p w14:paraId="7A1EFE12"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az audiovizuális kereskedelmi közlemények nem kelthetik azt a benyomást, hogy az alkoholfogyasztás hozzájárul a sikeres társadalmi vagy szexuális élethez.</w:t>
      </w:r>
    </w:p>
    <w:p w14:paraId="1205E75C"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az audiovizuális kereskedelmi közlemények nem állíthatják, hogy az alkohol terápiás tulajdonságokkal rendelkezik, vagy hogy stimuláló, nyugtató vagy személyes konfliktusok megoldásának eszköze.</w:t>
      </w:r>
    </w:p>
    <w:p w14:paraId="078980C7"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az audiovizuális kereskedelmi közlemények nem ösztönözhetik a mértéktelen alkoholfogyasztást, és nem tüntethetik fel negatív fényben az absztinenciát vagy a mértéktartást.</w:t>
      </w:r>
    </w:p>
    <w:p w14:paraId="411E094A"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az audiovizuális kereskedelmi közlemények nem emelhetik ki a magas alkoholtartalmat az italok pozitív jellemzőjeként.</w:t>
      </w:r>
    </w:p>
    <w:p w14:paraId="38574229" w14:textId="77777777" w:rsidR="00664D9B" w:rsidRPr="00F75F53" w:rsidRDefault="00664D9B" w:rsidP="00E43AAE">
      <w:pPr>
        <w:keepNext/>
        <w:widowControl w:val="0"/>
        <w:numPr>
          <w:ilvl w:val="0"/>
          <w:numId w:val="5"/>
        </w:numPr>
        <w:spacing w:after="360"/>
        <w:ind w:left="993" w:hanging="850"/>
        <w:jc w:val="both"/>
        <w:outlineLvl w:val="0"/>
        <w:rPr>
          <w:rFonts w:ascii="Georgia Pro" w:eastAsia="Times New Roman" w:hAnsi="Georgia Pro" w:cs="Arial"/>
          <w:b/>
          <w:bCs/>
          <w:kern w:val="32"/>
          <w:sz w:val="36"/>
          <w:szCs w:val="36"/>
          <w14:ligatures w14:val="none"/>
        </w:rPr>
      </w:pPr>
      <w:bookmarkStart w:id="48" w:name="_Toc169864376"/>
      <w:bookmarkStart w:id="49" w:name="_Toc170818929"/>
      <w:bookmarkStart w:id="50" w:name="_Toc172814438"/>
      <w:r>
        <w:rPr>
          <w:rFonts w:ascii="Georgia Pro" w:hAnsi="Georgia Pro"/>
          <w:b/>
          <w:sz w:val="36"/>
        </w:rPr>
        <w:t>Szponzorálás</w:t>
      </w:r>
      <w:bookmarkEnd w:id="48"/>
      <w:bookmarkEnd w:id="49"/>
      <w:bookmarkEnd w:id="50"/>
    </w:p>
    <w:p w14:paraId="0691F66A"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A szponzorált lekérhető szolgáltatásokat vagy műsorokat nyújtó médiaszolgáltatóknak meg </w:t>
      </w:r>
      <w:r>
        <w:lastRenderedPageBreak/>
        <w:t xml:space="preserve">kell felelniük a következő követelményeknek: - </w:t>
      </w:r>
    </w:p>
    <w:p w14:paraId="28A6F9FB"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az általuk nyújtott lekérhető szolgáltatások vagy műsorok tartalma semmilyen körülmények között nem befolyásolható oly módon, hogy az hatással legyen a médiaszolgáltató felelősségére és szerkesztői függetlenségére.</w:t>
      </w:r>
    </w:p>
    <w:p w14:paraId="28D0D1E0"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az általuk nyújtott lekérhető szolgáltatások vagy műsorok nem ösztönözhetik közvetlenül áruk vagy szolgáltatások vásárlását vagy bérlését, különösen az említett árukra vagy szolgáltatásokra történő különleges promóciós utalások révén.</w:t>
      </w:r>
    </w:p>
    <w:p w14:paraId="6E1040FC"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a közönséget egyértelműen tájékoztatni kell a szponzorálási megállapodás meglétéről.</w:t>
      </w:r>
    </w:p>
    <w:p w14:paraId="0099EFBF"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a szponzorált műsort a szponzor neve, logója és/vagy egyéb, a szponzorra utaló jelzés, például egy vagy több termékére vagy szolgáltatására való utalás vagy ezek megkülönböztető jele feltüntetésével, műsortól függően a megfelelő módon, a műsor elején, folyamán és/vagy végén egyértelműen meg kell jelölni.</w:t>
      </w:r>
    </w:p>
    <w:p w14:paraId="2C8F30F4"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A lekérhető szolgáltatásokat nyújtó médiaszolgáltatók nem engedélyezhetik, hogy az általuk nyújtott lekérhető szolgáltatásokat vagy műsorokat olyan vállalkozások szponzorálják, amelyek fő tevékenysége cigaretta és egyéb dohánytermékek, valamint elektronikus cigaretták és utántöltő flakonok gyártása vagy értékesítése. </w:t>
      </w:r>
    </w:p>
    <w:p w14:paraId="0C55CDD2"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A lekérhető szolgáltatásokat nyújtó médiaszolgáltatók nem engedélyezhetik, hogy az általuk nyújtott lekérhető szolgáltatások vagy műsorok az államban csak vényre kapható gyógyszereket vagy gyógykezeléseket népszerűsítsenek. </w:t>
      </w:r>
    </w:p>
    <w:p w14:paraId="52C5B3B6"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A 13.3. szakasz sérelme nélkül a lekérhető szolgáltatásokat nyújtó médiaszolgáltatók engedélyezhetik, hogy az általuk nyújtott lekérhető szolgáltatásokat vagy műsorokat olyan vállalkozások nevével vagy arculatával népszerűsítsék, amelyek tevékenysége kiterjed gyógyszerek gyártására vagy értékesítésére, és orvosi kezelésekre. </w:t>
      </w:r>
    </w:p>
    <w:p w14:paraId="058C3B14"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A lekérhető szolgáltatásokat nyújtó médiaszolgáltatók nem engedélyezhetik hírműsoraik és aktuális témákkal foglalkozó műsoraik szponzorálását.</w:t>
      </w:r>
    </w:p>
    <w:p w14:paraId="6FC323E9" w14:textId="77777777" w:rsidR="00664D9B" w:rsidRPr="00F75F53" w:rsidRDefault="00664D9B" w:rsidP="00F53450">
      <w:pPr>
        <w:widowControl w:val="0"/>
        <w:numPr>
          <w:ilvl w:val="1"/>
          <w:numId w:val="5"/>
        </w:numPr>
        <w:spacing w:after="360" w:line="280" w:lineRule="exact"/>
        <w:ind w:left="993" w:hanging="709"/>
        <w:jc w:val="both"/>
        <w:rPr>
          <w:rFonts w:eastAsia="Times New Roman" w:cs="Arial"/>
          <w:kern w:val="0"/>
          <w:szCs w:val="20"/>
          <w14:ligatures w14:val="none"/>
        </w:rPr>
      </w:pPr>
      <w:r>
        <w:t>A lekérhető médiaszolgáltatásokat nyújtó médiaszolgáltatók nem engedélyezhetik a szponzorlogó megjelenítését gyermekműsoraik, dokumentumfilmjeik vagy vallási műsoraik során.</w:t>
      </w:r>
    </w:p>
    <w:p w14:paraId="2C45A3F2" w14:textId="77777777" w:rsidR="00664D9B" w:rsidRPr="00F75F53" w:rsidRDefault="00664D9B" w:rsidP="00E43AAE">
      <w:pPr>
        <w:keepNext/>
        <w:widowControl w:val="0"/>
        <w:numPr>
          <w:ilvl w:val="0"/>
          <w:numId w:val="5"/>
        </w:numPr>
        <w:spacing w:after="240"/>
        <w:ind w:left="993" w:hanging="851"/>
        <w:jc w:val="both"/>
        <w:outlineLvl w:val="0"/>
        <w:rPr>
          <w:rFonts w:ascii="Georgia Pro" w:eastAsia="Times New Roman" w:hAnsi="Georgia Pro" w:cs="Arial"/>
          <w:b/>
          <w:bCs/>
          <w:kern w:val="32"/>
          <w:sz w:val="36"/>
          <w:szCs w:val="36"/>
          <w14:ligatures w14:val="none"/>
        </w:rPr>
      </w:pPr>
      <w:bookmarkStart w:id="51" w:name="_Toc169864377"/>
      <w:bookmarkStart w:id="52" w:name="_Toc170818930"/>
      <w:bookmarkStart w:id="53" w:name="_Toc172814439"/>
      <w:r>
        <w:rPr>
          <w:rFonts w:ascii="Georgia Pro" w:hAnsi="Georgia Pro"/>
          <w:b/>
          <w:sz w:val="36"/>
        </w:rPr>
        <w:t>Termékmegjelenítés</w:t>
      </w:r>
      <w:bookmarkEnd w:id="51"/>
      <w:bookmarkEnd w:id="52"/>
      <w:bookmarkEnd w:id="53"/>
    </w:p>
    <w:p w14:paraId="06AF4FF6"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A lekérhető szolgáltatásokat nyújtó médiaszolgáltatók engedélyezik a termékmegjelenítést az általuk nyújtott lekérhető szolgáltatásokban, kivéve a hírműsorokat és aktuális témákkal foglalkozó műsorokat, a fogyasztóvédelmi ügyekkel foglalkozó műsorokat, a vallási műsorokat és a gyermekműsorokat.</w:t>
      </w:r>
    </w:p>
    <w:p w14:paraId="0E9B4A11"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A lekérhető szolgáltatásokat nyújtó médiaszolgáltatók biztosítják, hogy a termékmegjelenítést tartalmazó műsorok megfeleljenek a következő követelményeknek: -</w:t>
      </w:r>
    </w:p>
    <w:p w14:paraId="76751C67"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lastRenderedPageBreak/>
        <w:t>az ilyen műsorok tartalma és katalógusban rendszerezése semmilyen körülmények között nem befolyásolható oly módon, hogy az hatással legyen a médiaszolgáltató felelősségére és szerkesztői függetlenségére.</w:t>
      </w:r>
    </w:p>
    <w:p w14:paraId="05CF9E66"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nem ösztönözhetik közvetlenül áruk vagy szolgáltatások vásárlását vagy bérlését, különösen azáltal, hogy az említett árukra vagy szolgáltatásokra külön promóciós utalásokat tesznek.</w:t>
      </w:r>
    </w:p>
    <w:p w14:paraId="08FC4FA7" w14:textId="77777777" w:rsidR="00664D9B"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nem emelhetik ki indokolatlanul a szóban forgó terméket.</w:t>
      </w:r>
    </w:p>
    <w:p w14:paraId="1FB82BF3" w14:textId="77777777" w:rsidR="00F53450" w:rsidRDefault="00F53450" w:rsidP="00F53450">
      <w:pPr>
        <w:widowControl w:val="0"/>
        <w:spacing w:after="240" w:line="280" w:lineRule="exact"/>
        <w:ind w:left="1985"/>
        <w:jc w:val="both"/>
        <w:rPr>
          <w:rFonts w:eastAsia="Times New Roman" w:cs="Arial"/>
          <w:kern w:val="0"/>
          <w:szCs w:val="20"/>
          <w:lang w:eastAsia="en-IE"/>
          <w14:ligatures w14:val="none"/>
        </w:rPr>
      </w:pPr>
    </w:p>
    <w:p w14:paraId="3A927284" w14:textId="77777777" w:rsidR="00F53450" w:rsidRPr="00F75F53" w:rsidRDefault="00F53450" w:rsidP="00F53450">
      <w:pPr>
        <w:widowControl w:val="0"/>
        <w:spacing w:after="240" w:line="280" w:lineRule="exact"/>
        <w:ind w:left="1985"/>
        <w:jc w:val="both"/>
        <w:rPr>
          <w:rFonts w:eastAsia="Times New Roman" w:cs="Arial"/>
          <w:kern w:val="0"/>
          <w:szCs w:val="20"/>
          <w:lang w:eastAsia="en-IE"/>
          <w14:ligatures w14:val="none"/>
        </w:rPr>
      </w:pPr>
    </w:p>
    <w:p w14:paraId="52886DAB"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a nézők általi félreértés elkerülése érdekében a közönséget a műsor kezdetén és végén, valamint akkor, amikor a műsor a reklámszünet után folytatódik, megfelelő azonosítóval egyértelműen tájékoztatni kell a termékmegjelenítés meglétéről.</w:t>
      </w:r>
    </w:p>
    <w:p w14:paraId="56E41535"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A 14.1. és 14.2. szakasz sérelme nélkül a műsorok nem tartalmazhatnak olyan termékmegjelenítést, amely: -</w:t>
      </w:r>
    </w:p>
    <w:p w14:paraId="070E752A" w14:textId="77777777" w:rsidR="00664D9B" w:rsidRPr="00F75F53" w:rsidRDefault="00664D9B" w:rsidP="00F53450">
      <w:pPr>
        <w:widowControl w:val="0"/>
        <w:numPr>
          <w:ilvl w:val="0"/>
          <w:numId w:val="14"/>
        </w:numPr>
        <w:spacing w:after="240" w:line="280" w:lineRule="exact"/>
        <w:ind w:left="1985" w:hanging="851"/>
        <w:jc w:val="both"/>
        <w:rPr>
          <w:rFonts w:eastAsia="Times New Roman" w:cs="Arial"/>
          <w:kern w:val="0"/>
          <w:szCs w:val="20"/>
          <w14:ligatures w14:val="none"/>
        </w:rPr>
      </w:pPr>
      <w:r>
        <w:t>cigarettát és egyéb dohánytermékeket, valamint elektronikus cigarettákat és utántöltő flakonokat jelenítenek meg, vagy olyan vállalkozásoktól származó termékmegjelenítések, amelyek fő tevékenysége e termékek gyártása vagy értékesítése.</w:t>
      </w:r>
    </w:p>
    <w:p w14:paraId="50B176BE" w14:textId="77777777" w:rsidR="00664D9B" w:rsidRPr="00F75F53" w:rsidRDefault="00664D9B" w:rsidP="00F53450">
      <w:pPr>
        <w:widowControl w:val="0"/>
        <w:numPr>
          <w:ilvl w:val="0"/>
          <w:numId w:val="14"/>
        </w:numPr>
        <w:spacing w:after="240" w:line="280" w:lineRule="exact"/>
        <w:ind w:left="1985" w:hanging="851"/>
        <w:jc w:val="both"/>
        <w:rPr>
          <w:rFonts w:eastAsia="Times New Roman" w:cs="Arial"/>
          <w:kern w:val="0"/>
          <w:szCs w:val="20"/>
          <w14:ligatures w14:val="none"/>
        </w:rPr>
      </w:pPr>
      <w:r>
        <w:t>az államban csak vényre kapható gyógyszereket vagy gyógykezeléseket jelenítenek meg.</w:t>
      </w:r>
    </w:p>
    <w:p w14:paraId="4325307D"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A 14.1., 14.2. és 14.3. szakasz csak a 2009. december 19. után készült műsorokra alkalmazandó.</w:t>
      </w:r>
    </w:p>
    <w:p w14:paraId="04C2009C" w14:textId="77777777" w:rsidR="00664D9B" w:rsidRPr="00E43AAE" w:rsidRDefault="00664D9B" w:rsidP="00664D9B">
      <w:pPr>
        <w:pStyle w:val="1"/>
        <w:ind w:left="360"/>
        <w:jc w:val="center"/>
        <w:rPr>
          <w:b/>
          <w:bCs/>
          <w:szCs w:val="36"/>
        </w:rPr>
      </w:pPr>
      <w:bookmarkStart w:id="54" w:name="_Toc169864378"/>
      <w:bookmarkStart w:id="55" w:name="_Toc170818931"/>
      <w:bookmarkStart w:id="56" w:name="_Toc172814440"/>
      <w:r>
        <w:rPr>
          <w:b/>
        </w:rPr>
        <w:t>A médiaszolgáltatási szabályzat rendelkezései</w:t>
      </w:r>
      <w:bookmarkEnd w:id="54"/>
      <w:bookmarkEnd w:id="55"/>
      <w:bookmarkEnd w:id="56"/>
    </w:p>
    <w:p w14:paraId="219E01F1" w14:textId="77777777" w:rsidR="00664D9B" w:rsidRPr="00F75F53" w:rsidRDefault="00664D9B" w:rsidP="00F75F53">
      <w:pPr>
        <w:spacing w:after="240" w:line="280" w:lineRule="exact"/>
        <w:ind w:left="131" w:firstLine="720"/>
        <w:jc w:val="both"/>
        <w:rPr>
          <w:szCs w:val="20"/>
        </w:rPr>
      </w:pPr>
      <w:r>
        <w:t>A törvény 46O. szakaszának (1) bekezdésének 5. 6. 7. és 9. pontja alapján a következőkről rendelkezünk.</w:t>
      </w:r>
      <w:bookmarkStart w:id="57" w:name="_Toc169864379"/>
    </w:p>
    <w:p w14:paraId="45BD46E7" w14:textId="77777777" w:rsidR="00664D9B" w:rsidRPr="00F75F53" w:rsidRDefault="00664D9B" w:rsidP="00F75F53">
      <w:pPr>
        <w:keepNext/>
        <w:widowControl w:val="0"/>
        <w:numPr>
          <w:ilvl w:val="0"/>
          <w:numId w:val="5"/>
        </w:numPr>
        <w:spacing w:after="120"/>
        <w:ind w:left="851" w:hanging="851"/>
        <w:outlineLvl w:val="0"/>
        <w:rPr>
          <w:rFonts w:ascii="Georgia Pro" w:eastAsia="Times New Roman" w:hAnsi="Georgia Pro" w:cs="Arial"/>
          <w:b/>
          <w:bCs/>
          <w:kern w:val="32"/>
          <w:sz w:val="36"/>
          <w:szCs w:val="36"/>
          <w14:ligatures w14:val="none"/>
        </w:rPr>
      </w:pPr>
      <w:bookmarkStart w:id="58" w:name="_Toc170818932"/>
      <w:bookmarkStart w:id="59" w:name="_Toc172814441"/>
      <w:r>
        <w:rPr>
          <w:rFonts w:ascii="Georgia Pro" w:hAnsi="Georgia Pro"/>
          <w:b/>
          <w:sz w:val="36"/>
        </w:rPr>
        <w:t>A lekérhető audiovizuális szolgáltatások akadálymentessége</w:t>
      </w:r>
      <w:bookmarkEnd w:id="57"/>
      <w:bookmarkEnd w:id="58"/>
      <w:bookmarkEnd w:id="59"/>
    </w:p>
    <w:p w14:paraId="0955E948" w14:textId="77777777" w:rsidR="00664D9B" w:rsidRPr="00F75F53" w:rsidRDefault="00664D9B" w:rsidP="00CE35E3">
      <w:pPr>
        <w:spacing w:line="280" w:lineRule="exact"/>
        <w:jc w:val="both"/>
        <w:rPr>
          <w:sz w:val="16"/>
          <w:szCs w:val="20"/>
        </w:rPr>
      </w:pPr>
      <w:r>
        <w:tab/>
      </w:r>
    </w:p>
    <w:p w14:paraId="3FE32F12" w14:textId="77777777" w:rsidR="00CE35E3" w:rsidRPr="00F75F53" w:rsidRDefault="00CE35E3" w:rsidP="00CE35E3">
      <w:pPr>
        <w:pStyle w:val="a"/>
        <w:numPr>
          <w:ilvl w:val="1"/>
          <w:numId w:val="5"/>
        </w:numPr>
        <w:spacing w:line="280" w:lineRule="exact"/>
        <w:ind w:left="774"/>
        <w:jc w:val="both"/>
        <w:rPr>
          <w:rFonts w:ascii="Georgia Pro" w:hAnsi="Georgia Pro"/>
          <w:b/>
          <w:bCs/>
          <w:szCs w:val="20"/>
        </w:rPr>
      </w:pPr>
      <w:r>
        <w:t>A lekérhető szolgáltatásokat nyújtó médiaszolgáltatóknak arányos intézkedéseket kell hozniuk annak biztosítására, hogy a lekérhető szolgáltatásokon keresztül elérhetővé tett műsorok az e kódexben és szabályzatban meghatározott akadálymentességi szolgáltatások nyújtása révén folyamatosan és fokozatosan akadálymentessé váljanak a fogyatékossággal élő személyek számára.</w:t>
      </w:r>
    </w:p>
    <w:p w14:paraId="09919D0F" w14:textId="77777777" w:rsidR="00CE35E3" w:rsidRPr="00F75F53" w:rsidRDefault="00CE35E3" w:rsidP="00664D9B">
      <w:pPr>
        <w:spacing w:line="280" w:lineRule="exact"/>
        <w:jc w:val="both"/>
        <w:rPr>
          <w:rFonts w:ascii="Georgia Pro" w:hAnsi="Georgia Pro"/>
          <w:b/>
          <w:bCs/>
          <w:sz w:val="24"/>
        </w:rPr>
      </w:pPr>
    </w:p>
    <w:p w14:paraId="324301EC" w14:textId="77777777" w:rsidR="00664D9B" w:rsidRPr="00E43AAE" w:rsidRDefault="00664D9B" w:rsidP="00F75F53">
      <w:pPr>
        <w:spacing w:line="280" w:lineRule="exact"/>
        <w:ind w:firstLine="720"/>
        <w:jc w:val="both"/>
        <w:rPr>
          <w:rFonts w:ascii="Georgia Pro" w:hAnsi="Georgia Pro"/>
          <w:b/>
          <w:bCs/>
          <w:sz w:val="28"/>
          <w:szCs w:val="28"/>
        </w:rPr>
      </w:pPr>
      <w:r>
        <w:rPr>
          <w:rFonts w:ascii="Georgia Pro" w:hAnsi="Georgia Pro"/>
          <w:b/>
          <w:sz w:val="28"/>
        </w:rPr>
        <w:t>Akadálymentesítési cselekvési terv</w:t>
      </w:r>
    </w:p>
    <w:p w14:paraId="4FAD7A6C" w14:textId="77777777" w:rsidR="00D953A0" w:rsidRPr="00F75F53" w:rsidRDefault="00D953A0" w:rsidP="00D953A0">
      <w:pPr>
        <w:spacing w:line="280" w:lineRule="exact"/>
        <w:jc w:val="both"/>
      </w:pPr>
    </w:p>
    <w:p w14:paraId="4D3E6A35" w14:textId="77777777" w:rsidR="00CE35E3" w:rsidRPr="00F75F53" w:rsidRDefault="00CE35E3" w:rsidP="00CE35E3">
      <w:pPr>
        <w:pStyle w:val="a"/>
        <w:numPr>
          <w:ilvl w:val="1"/>
          <w:numId w:val="5"/>
        </w:numPr>
        <w:spacing w:line="280" w:lineRule="exact"/>
        <w:ind w:left="794"/>
        <w:jc w:val="both"/>
        <w:rPr>
          <w:szCs w:val="20"/>
        </w:rPr>
      </w:pPr>
      <w:r>
        <w:t xml:space="preserve">A lekérhető szolgáltatásokat nyújtó médiaszolgáltatók a Bizottsággal egyeztetett akadálymentesítési cselekvési tervet dolgoznak ki a 15.1. szakaszban meghatározott kötelezettség tekintetében. </w:t>
      </w:r>
    </w:p>
    <w:p w14:paraId="6E7D5F73" w14:textId="77777777" w:rsidR="00CE35E3" w:rsidRPr="007A1F9D" w:rsidRDefault="00CE35E3" w:rsidP="00CE35E3">
      <w:pPr>
        <w:pStyle w:val="a"/>
        <w:numPr>
          <w:ilvl w:val="0"/>
          <w:numId w:val="0"/>
        </w:numPr>
        <w:spacing w:line="280" w:lineRule="exact"/>
        <w:ind w:left="794"/>
        <w:jc w:val="both"/>
        <w:rPr>
          <w:szCs w:val="20"/>
        </w:rPr>
      </w:pPr>
    </w:p>
    <w:p w14:paraId="5AC3A3B4" w14:textId="77777777" w:rsidR="00CE35E3" w:rsidRPr="00F75F53" w:rsidRDefault="00664D9B" w:rsidP="00CE35E3">
      <w:pPr>
        <w:pStyle w:val="a"/>
        <w:numPr>
          <w:ilvl w:val="1"/>
          <w:numId w:val="5"/>
        </w:numPr>
        <w:spacing w:line="280" w:lineRule="exact"/>
        <w:ind w:left="794"/>
        <w:jc w:val="both"/>
        <w:rPr>
          <w:szCs w:val="20"/>
        </w:rPr>
      </w:pPr>
      <w:r>
        <w:t>A lekérhető szolgáltatásokat nyújtó médiaszolgáltatók e kódex és szabályzat közzétételétől számított hat hónapon belül, majd azt követően évente a Bizottság rendelkezésére bocsátják első akadálymentesítési cselekvési tervüket.</w:t>
      </w:r>
    </w:p>
    <w:p w14:paraId="1E6C2402" w14:textId="77777777" w:rsidR="00CE35E3" w:rsidRPr="007A1F9D" w:rsidRDefault="00CE35E3" w:rsidP="00CE35E3">
      <w:pPr>
        <w:pStyle w:val="a"/>
        <w:numPr>
          <w:ilvl w:val="0"/>
          <w:numId w:val="0"/>
        </w:numPr>
        <w:ind w:left="794"/>
        <w:rPr>
          <w:sz w:val="24"/>
        </w:rPr>
      </w:pPr>
    </w:p>
    <w:p w14:paraId="35AE1E9E" w14:textId="77777777" w:rsidR="00CE35E3" w:rsidRDefault="00664D9B" w:rsidP="00CE35E3">
      <w:pPr>
        <w:pStyle w:val="a"/>
        <w:numPr>
          <w:ilvl w:val="1"/>
          <w:numId w:val="5"/>
        </w:numPr>
        <w:spacing w:line="280" w:lineRule="exact"/>
        <w:ind w:left="794"/>
        <w:jc w:val="both"/>
        <w:rPr>
          <w:szCs w:val="20"/>
        </w:rPr>
      </w:pPr>
      <w:r>
        <w:t>A lekérhető szolgáltatásokat nyújtó médiaszolgáltatóknak az első és az azt követő akadálymentesítési cselekvési terv kidolgozása során bizonyítaniuk kell, hogy kellően figyelembe vették a 15.6. szakaszban meghatározott befolyásoló tényezőket.</w:t>
      </w:r>
    </w:p>
    <w:p w14:paraId="014B80EE" w14:textId="77777777" w:rsidR="00F53450" w:rsidRPr="007A1F9D" w:rsidRDefault="00F53450" w:rsidP="00F53450">
      <w:pPr>
        <w:pStyle w:val="a"/>
        <w:numPr>
          <w:ilvl w:val="0"/>
          <w:numId w:val="0"/>
        </w:numPr>
        <w:ind w:left="284"/>
        <w:rPr>
          <w:szCs w:val="20"/>
        </w:rPr>
      </w:pPr>
    </w:p>
    <w:p w14:paraId="6E2368D3" w14:textId="77777777" w:rsidR="00F53450" w:rsidRPr="007A1F9D" w:rsidRDefault="00F53450" w:rsidP="00F53450">
      <w:pPr>
        <w:pStyle w:val="a"/>
        <w:numPr>
          <w:ilvl w:val="0"/>
          <w:numId w:val="0"/>
        </w:numPr>
        <w:ind w:left="284"/>
        <w:rPr>
          <w:szCs w:val="20"/>
        </w:rPr>
      </w:pPr>
    </w:p>
    <w:p w14:paraId="4BD3DAB0" w14:textId="77777777" w:rsidR="00F53450" w:rsidRPr="007A1F9D" w:rsidRDefault="00F53450" w:rsidP="00F53450">
      <w:pPr>
        <w:pStyle w:val="a"/>
        <w:numPr>
          <w:ilvl w:val="0"/>
          <w:numId w:val="0"/>
        </w:numPr>
        <w:ind w:left="284"/>
        <w:rPr>
          <w:szCs w:val="20"/>
        </w:rPr>
      </w:pPr>
    </w:p>
    <w:p w14:paraId="74F1F4DC" w14:textId="77777777" w:rsidR="00F53450" w:rsidRPr="007A1F9D" w:rsidRDefault="00F53450" w:rsidP="00F53450">
      <w:pPr>
        <w:pStyle w:val="a"/>
        <w:numPr>
          <w:ilvl w:val="0"/>
          <w:numId w:val="0"/>
        </w:numPr>
        <w:spacing w:line="280" w:lineRule="exact"/>
        <w:ind w:left="794"/>
        <w:jc w:val="both"/>
        <w:rPr>
          <w:szCs w:val="20"/>
        </w:rPr>
      </w:pPr>
    </w:p>
    <w:p w14:paraId="73D96E95" w14:textId="77777777" w:rsidR="00CE35E3" w:rsidRPr="007A1F9D" w:rsidRDefault="00CE35E3" w:rsidP="00CE35E3">
      <w:pPr>
        <w:pStyle w:val="a"/>
        <w:numPr>
          <w:ilvl w:val="0"/>
          <w:numId w:val="0"/>
        </w:numPr>
        <w:ind w:left="284"/>
        <w:rPr>
          <w:szCs w:val="20"/>
        </w:rPr>
      </w:pPr>
    </w:p>
    <w:p w14:paraId="77744C80" w14:textId="77777777" w:rsidR="00CE35E3" w:rsidRPr="00F75F53" w:rsidRDefault="00664D9B" w:rsidP="00CE35E3">
      <w:pPr>
        <w:pStyle w:val="a"/>
        <w:numPr>
          <w:ilvl w:val="1"/>
          <w:numId w:val="5"/>
        </w:numPr>
        <w:spacing w:line="280" w:lineRule="exact"/>
        <w:ind w:left="794"/>
        <w:jc w:val="both"/>
        <w:rPr>
          <w:szCs w:val="20"/>
        </w:rPr>
      </w:pPr>
      <w:r>
        <w:t>A 15.1. szakaszban meghatározott kötelezettség tekintetében kidolgozandó és a Coimisiún na Meánnal egyeztetett akadálymentesítési cselekvési terv a következőkre terjed ki: -</w:t>
      </w:r>
      <w:bookmarkStart w:id="60" w:name="_Toc165642834"/>
      <w:bookmarkStart w:id="61" w:name="_Toc166156585"/>
      <w:bookmarkStart w:id="62" w:name="_Toc169864380"/>
    </w:p>
    <w:p w14:paraId="43A7CCCD" w14:textId="77777777" w:rsidR="00CE35E3" w:rsidRPr="007A1F9D" w:rsidRDefault="00CE35E3" w:rsidP="00CE35E3">
      <w:pPr>
        <w:pStyle w:val="a"/>
        <w:numPr>
          <w:ilvl w:val="0"/>
          <w:numId w:val="0"/>
        </w:numPr>
        <w:spacing w:line="280" w:lineRule="exact"/>
        <w:ind w:left="720"/>
        <w:jc w:val="both"/>
        <w:rPr>
          <w:szCs w:val="20"/>
        </w:rPr>
      </w:pPr>
    </w:p>
    <w:p w14:paraId="1768A985" w14:textId="77777777" w:rsidR="00664D9B" w:rsidRPr="00F75F53" w:rsidRDefault="00664D9B" w:rsidP="00BC349D">
      <w:pPr>
        <w:pStyle w:val="a"/>
        <w:numPr>
          <w:ilvl w:val="0"/>
          <w:numId w:val="21"/>
        </w:numPr>
        <w:spacing w:line="280" w:lineRule="exact"/>
        <w:ind w:left="1984" w:hanging="992"/>
        <w:jc w:val="both"/>
        <w:rPr>
          <w:szCs w:val="20"/>
        </w:rPr>
      </w:pPr>
      <w:r>
        <w:t>A médiaszolgáltató által az általa nyújtott lekérhető szolgáltatás(ok)on évente rendelkezésre bocsátandó akadálymentesítési szolgáltatások aránya.</w:t>
      </w:r>
      <w:bookmarkEnd w:id="60"/>
      <w:bookmarkEnd w:id="61"/>
      <w:bookmarkEnd w:id="62"/>
    </w:p>
    <w:p w14:paraId="253C0D03" w14:textId="77777777" w:rsidR="00664D9B" w:rsidRPr="007A1F9D" w:rsidRDefault="00664D9B" w:rsidP="00BC349D">
      <w:pPr>
        <w:pStyle w:val="a"/>
        <w:numPr>
          <w:ilvl w:val="0"/>
          <w:numId w:val="0"/>
        </w:numPr>
        <w:spacing w:line="280" w:lineRule="exact"/>
        <w:ind w:left="1984" w:hanging="992"/>
        <w:jc w:val="both"/>
        <w:rPr>
          <w:szCs w:val="20"/>
        </w:rPr>
      </w:pPr>
    </w:p>
    <w:p w14:paraId="0BCC00B0" w14:textId="77777777" w:rsidR="00664D9B" w:rsidRPr="00F75F53" w:rsidRDefault="00664D9B" w:rsidP="00BC349D">
      <w:pPr>
        <w:pStyle w:val="a"/>
        <w:numPr>
          <w:ilvl w:val="0"/>
          <w:numId w:val="21"/>
        </w:numPr>
        <w:spacing w:line="280" w:lineRule="exact"/>
        <w:ind w:left="1984" w:hanging="992"/>
        <w:jc w:val="both"/>
        <w:rPr>
          <w:b/>
          <w:bCs/>
          <w:szCs w:val="20"/>
        </w:rPr>
      </w:pPr>
      <w:bookmarkStart w:id="63" w:name="_Toc165642835"/>
      <w:bookmarkStart w:id="64" w:name="_Toc166156586"/>
      <w:bookmarkStart w:id="65" w:name="_Toc169864381"/>
      <w:r>
        <w:t>A Bizottság által a 15.7. szakasz alapján kidolgozott minőségi előírásoknak való megfelelés érdekében meghozandó intézkedések.</w:t>
      </w:r>
      <w:bookmarkEnd w:id="63"/>
      <w:bookmarkEnd w:id="64"/>
      <w:bookmarkEnd w:id="65"/>
      <w:r>
        <w:t xml:space="preserve"> </w:t>
      </w:r>
    </w:p>
    <w:p w14:paraId="2C431630" w14:textId="77777777" w:rsidR="00664D9B" w:rsidRPr="007A1F9D" w:rsidRDefault="00664D9B" w:rsidP="00BC349D">
      <w:pPr>
        <w:pStyle w:val="a"/>
        <w:numPr>
          <w:ilvl w:val="0"/>
          <w:numId w:val="0"/>
        </w:numPr>
        <w:spacing w:line="280" w:lineRule="exact"/>
        <w:ind w:left="1984" w:hanging="992"/>
        <w:jc w:val="both"/>
        <w:rPr>
          <w:b/>
          <w:bCs/>
          <w:szCs w:val="20"/>
        </w:rPr>
      </w:pPr>
    </w:p>
    <w:p w14:paraId="24B6F666" w14:textId="77777777" w:rsidR="00664D9B" w:rsidRPr="00F75F53" w:rsidRDefault="00664D9B" w:rsidP="00BC349D">
      <w:pPr>
        <w:pStyle w:val="a"/>
        <w:numPr>
          <w:ilvl w:val="0"/>
          <w:numId w:val="21"/>
        </w:numPr>
        <w:spacing w:line="280" w:lineRule="exact"/>
        <w:ind w:left="1984" w:hanging="992"/>
        <w:jc w:val="both"/>
        <w:rPr>
          <w:b/>
          <w:bCs/>
          <w:szCs w:val="20"/>
        </w:rPr>
      </w:pPr>
      <w:bookmarkStart w:id="66" w:name="_Toc165642836"/>
      <w:bookmarkStart w:id="67" w:name="_Toc166156587"/>
      <w:bookmarkStart w:id="68" w:name="_Toc169864382"/>
      <w:r>
        <w:t>A 15.8. szakasz szerinti veszélyhelyzeti tájékoztatásra vonatkozó javaslatok.</w:t>
      </w:r>
      <w:bookmarkEnd w:id="66"/>
      <w:bookmarkEnd w:id="67"/>
      <w:bookmarkEnd w:id="68"/>
    </w:p>
    <w:p w14:paraId="1A175B0F" w14:textId="77777777" w:rsidR="00664D9B" w:rsidRPr="007A1F9D" w:rsidRDefault="00664D9B" w:rsidP="00BC349D">
      <w:pPr>
        <w:pStyle w:val="a"/>
        <w:numPr>
          <w:ilvl w:val="0"/>
          <w:numId w:val="0"/>
        </w:numPr>
        <w:spacing w:line="280" w:lineRule="exact"/>
        <w:ind w:left="1984" w:hanging="992"/>
        <w:jc w:val="both"/>
        <w:rPr>
          <w:b/>
          <w:bCs/>
          <w:szCs w:val="20"/>
        </w:rPr>
      </w:pPr>
    </w:p>
    <w:p w14:paraId="0D0D042D" w14:textId="77777777" w:rsidR="00664D9B" w:rsidRPr="00F75F53" w:rsidRDefault="00664D9B" w:rsidP="00BC349D">
      <w:pPr>
        <w:pStyle w:val="a"/>
        <w:numPr>
          <w:ilvl w:val="0"/>
          <w:numId w:val="21"/>
        </w:numPr>
        <w:spacing w:line="280" w:lineRule="exact"/>
        <w:ind w:left="1984" w:hanging="992"/>
        <w:jc w:val="both"/>
        <w:rPr>
          <w:b/>
          <w:bCs/>
          <w:szCs w:val="20"/>
        </w:rPr>
      </w:pPr>
      <w:bookmarkStart w:id="69" w:name="_Toc165642837"/>
      <w:bookmarkStart w:id="70" w:name="_Toc166156588"/>
      <w:bookmarkStart w:id="71" w:name="_Toc169864383"/>
      <w:r>
        <w:t>Az a mód, ahogyan a médiaszolgáltató népszerűsíti az általa nyújtott lekérhető szolgáltatás(ok)on keresztül rendelkezésre bocsátott akadálymentesítési szolgáltatásokat.</w:t>
      </w:r>
      <w:bookmarkEnd w:id="69"/>
      <w:bookmarkEnd w:id="70"/>
      <w:bookmarkEnd w:id="71"/>
    </w:p>
    <w:p w14:paraId="4765EEE4" w14:textId="77777777" w:rsidR="00664D9B" w:rsidRPr="007A1F9D" w:rsidRDefault="00664D9B" w:rsidP="00BC349D">
      <w:pPr>
        <w:pStyle w:val="a"/>
        <w:numPr>
          <w:ilvl w:val="0"/>
          <w:numId w:val="0"/>
        </w:numPr>
        <w:spacing w:line="280" w:lineRule="exact"/>
        <w:ind w:left="1984" w:hanging="992"/>
        <w:jc w:val="both"/>
        <w:rPr>
          <w:b/>
          <w:bCs/>
          <w:szCs w:val="20"/>
        </w:rPr>
      </w:pPr>
    </w:p>
    <w:p w14:paraId="2C8A71AD" w14:textId="77777777" w:rsidR="00664D9B" w:rsidRPr="00F75F53" w:rsidRDefault="00664D9B" w:rsidP="00BC349D">
      <w:pPr>
        <w:pStyle w:val="a"/>
        <w:numPr>
          <w:ilvl w:val="0"/>
          <w:numId w:val="21"/>
        </w:numPr>
        <w:spacing w:line="280" w:lineRule="exact"/>
        <w:ind w:left="1984" w:hanging="992"/>
        <w:jc w:val="both"/>
        <w:rPr>
          <w:b/>
          <w:bCs/>
          <w:szCs w:val="20"/>
        </w:rPr>
      </w:pPr>
      <w:bookmarkStart w:id="72" w:name="_Toc165642838"/>
      <w:bookmarkStart w:id="73" w:name="_Toc166156589"/>
      <w:bookmarkStart w:id="74" w:name="_Toc169864384"/>
      <w:r>
        <w:t>Javaslatok az akadálymentesítési szolgáltatások felhasználóival való konzultációra a médiaszolgáltató által az általa nyújtott lekérhető médiaszolgáltatás(ok)on keresztül nyújtott akadálymentesítési szolgáltatásokról.</w:t>
      </w:r>
      <w:bookmarkEnd w:id="72"/>
      <w:bookmarkEnd w:id="73"/>
      <w:bookmarkEnd w:id="74"/>
    </w:p>
    <w:p w14:paraId="5637D350" w14:textId="77777777" w:rsidR="00664D9B" w:rsidRPr="007A1F9D" w:rsidRDefault="00664D9B" w:rsidP="00F75F53">
      <w:pPr>
        <w:pStyle w:val="a"/>
        <w:numPr>
          <w:ilvl w:val="0"/>
          <w:numId w:val="0"/>
        </w:numPr>
        <w:ind w:left="1985" w:hanging="992"/>
        <w:jc w:val="both"/>
        <w:rPr>
          <w:b/>
          <w:bCs/>
          <w:szCs w:val="20"/>
        </w:rPr>
      </w:pPr>
    </w:p>
    <w:p w14:paraId="36B27942" w14:textId="77777777" w:rsidR="00664D9B" w:rsidRPr="00F75F53" w:rsidRDefault="00664D9B" w:rsidP="00E43AAE">
      <w:pPr>
        <w:pStyle w:val="a"/>
        <w:numPr>
          <w:ilvl w:val="0"/>
          <w:numId w:val="21"/>
        </w:numPr>
        <w:spacing w:after="240"/>
        <w:ind w:left="1984" w:hanging="992"/>
        <w:contextualSpacing w:val="0"/>
        <w:jc w:val="both"/>
        <w:rPr>
          <w:b/>
          <w:bCs/>
          <w:sz w:val="24"/>
        </w:rPr>
      </w:pPr>
      <w:bookmarkStart w:id="75" w:name="_Toc165642839"/>
      <w:bookmarkStart w:id="76" w:name="_Toc166156590"/>
      <w:bookmarkStart w:id="77" w:name="_Toc169864385"/>
      <w:r>
        <w:t>Javaslatok annak biztosítására, hogy akadálymentes mechanizmus álljon rendelkezésre a közönségtől érkező, az akadálymentesítési szolgáltatások nyújtásával kapcsolatos panaszok és kérdések kezelésére</w:t>
      </w:r>
      <w:r>
        <w:rPr>
          <w:sz w:val="24"/>
        </w:rPr>
        <w:t>.</w:t>
      </w:r>
      <w:bookmarkEnd w:id="75"/>
      <w:bookmarkEnd w:id="76"/>
      <w:bookmarkEnd w:id="77"/>
    </w:p>
    <w:p w14:paraId="77E2A09B" w14:textId="77777777" w:rsidR="00664D9B" w:rsidRPr="00E43AAE" w:rsidRDefault="00664D9B" w:rsidP="00F75F53">
      <w:pPr>
        <w:spacing w:after="120" w:line="280" w:lineRule="exact"/>
        <w:ind w:left="131" w:firstLine="720"/>
        <w:jc w:val="both"/>
        <w:rPr>
          <w:rFonts w:ascii="Georgia Pro" w:hAnsi="Georgia Pro"/>
          <w:b/>
          <w:bCs/>
          <w:sz w:val="28"/>
          <w:szCs w:val="28"/>
        </w:rPr>
      </w:pPr>
      <w:r>
        <w:rPr>
          <w:rFonts w:ascii="Georgia Pro" w:hAnsi="Georgia Pro"/>
          <w:b/>
          <w:sz w:val="28"/>
        </w:rPr>
        <w:t>Befolyásoló tényezők</w:t>
      </w:r>
    </w:p>
    <w:p w14:paraId="4C384D06" w14:textId="77777777" w:rsidR="00664D9B" w:rsidRPr="00F75F53" w:rsidRDefault="00664D9B" w:rsidP="00F75F53">
      <w:pPr>
        <w:pStyle w:val="a"/>
        <w:numPr>
          <w:ilvl w:val="1"/>
          <w:numId w:val="5"/>
        </w:numPr>
        <w:spacing w:after="120" w:line="280" w:lineRule="exact"/>
        <w:ind w:left="851"/>
        <w:jc w:val="both"/>
        <w:rPr>
          <w:szCs w:val="20"/>
        </w:rPr>
      </w:pPr>
      <w:r>
        <w:t>A lekérhető szolgáltatásokat nyújtó médiaszolgáltatóknak a 15.1. szakasz alapján meghozandó és az éves akadálymentesítési cselekvési tervükben pontosítandó arányos intézkedések meghatározásakor bizonyítaniuk kell, hogy kellően figyelembe vették a következő befolyásoló tényezőket.</w:t>
      </w:r>
      <w:r w:rsidRPr="00F75F53">
        <w:rPr>
          <w:rStyle w:val="ab"/>
          <w:szCs w:val="20"/>
          <w:lang w:val="en-IE"/>
        </w:rPr>
        <w:footnoteReference w:id="3"/>
      </w:r>
      <w:r>
        <w:t xml:space="preserve"> Nevezetesen: - </w:t>
      </w:r>
    </w:p>
    <w:p w14:paraId="26EFBC9E" w14:textId="77777777" w:rsidR="00664D9B" w:rsidRPr="00F75F53" w:rsidRDefault="00664D9B" w:rsidP="00664D9B">
      <w:pPr>
        <w:ind w:left="792" w:hanging="432"/>
        <w:jc w:val="both"/>
        <w:rPr>
          <w:b/>
          <w:bCs/>
          <w:szCs w:val="20"/>
        </w:rPr>
      </w:pPr>
    </w:p>
    <w:p w14:paraId="5623C048"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b/>
          <w:bCs/>
          <w:szCs w:val="20"/>
        </w:rPr>
      </w:pPr>
      <w:r>
        <w:lastRenderedPageBreak/>
        <w:t xml:space="preserve">A lekérhető audiovizuális szolgáltatásokat nyújtó médiaszolgáltatók és a nyújtott szolgáltatások jellege. </w:t>
      </w:r>
    </w:p>
    <w:p w14:paraId="34945D8D"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szCs w:val="20"/>
        </w:rPr>
      </w:pPr>
      <w:r>
        <w:t>A lekérhető audiovizuális szolgáltatásokat nyújtó médiaszolgáltatók fejlettségi szintje és a hozzáférhető műsorok nyújtására való képessége.</w:t>
      </w:r>
    </w:p>
    <w:p w14:paraId="3AD5CA6E"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 xml:space="preserve">A médiaszolgáltató által az általa nyújtott lekérhető szolgáltatásokkal kapcsolatban jelenleg nyújtott akadálymentességi szolgáltatások szintje. </w:t>
      </w:r>
    </w:p>
    <w:p w14:paraId="36C3C07E"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A médiaszolgáltató által nyújtott lekérhető szolgáltatások katalógusában szereplő műsortípusok.</w:t>
      </w:r>
    </w:p>
    <w:p w14:paraId="0EBC7625"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 xml:space="preserve">A médiaszolgáltatónál az akadálymentességi szolgáltatások nyújtásával kapcsolatban jelentkező műszaki és humánerőforrás-költségek. </w:t>
      </w:r>
    </w:p>
    <w:p w14:paraId="6F0D3125"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szCs w:val="20"/>
        </w:rPr>
      </w:pPr>
      <w:r>
        <w:t>A médiaszolgáltató műszaki kapacitása az általa nyújtott lekérhető szolgáltatásokhoz kapcsolódó akadálymentességi szolgáltatások nyújtására.</w:t>
      </w:r>
    </w:p>
    <w:p w14:paraId="654A7EE2" w14:textId="77777777" w:rsidR="00F53450" w:rsidRDefault="00F53450" w:rsidP="00F75F53">
      <w:pPr>
        <w:spacing w:after="120" w:line="280" w:lineRule="exact"/>
        <w:ind w:firstLine="720"/>
        <w:jc w:val="both"/>
        <w:rPr>
          <w:rFonts w:ascii="Georgia Pro" w:hAnsi="Georgia Pro"/>
          <w:b/>
          <w:bCs/>
          <w:sz w:val="28"/>
          <w:szCs w:val="28"/>
        </w:rPr>
      </w:pPr>
      <w:bookmarkStart w:id="78" w:name="_Hlk161411306"/>
    </w:p>
    <w:p w14:paraId="72F0370E" w14:textId="77777777" w:rsidR="00F53450" w:rsidRDefault="00F53450" w:rsidP="00F75F53">
      <w:pPr>
        <w:spacing w:after="120" w:line="280" w:lineRule="exact"/>
        <w:ind w:firstLine="720"/>
        <w:jc w:val="both"/>
        <w:rPr>
          <w:rFonts w:ascii="Georgia Pro" w:hAnsi="Georgia Pro"/>
          <w:b/>
          <w:bCs/>
          <w:sz w:val="28"/>
          <w:szCs w:val="28"/>
        </w:rPr>
      </w:pPr>
    </w:p>
    <w:p w14:paraId="6823521F" w14:textId="75F27E9D"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Minőségi előírások</w:t>
      </w:r>
    </w:p>
    <w:p w14:paraId="2E126EDE" w14:textId="77777777" w:rsidR="00664D9B" w:rsidRPr="00F75F53" w:rsidRDefault="00664D9B" w:rsidP="00F53450">
      <w:pPr>
        <w:pStyle w:val="a"/>
        <w:numPr>
          <w:ilvl w:val="1"/>
          <w:numId w:val="5"/>
        </w:numPr>
        <w:spacing w:after="240" w:line="280" w:lineRule="exact"/>
        <w:ind w:left="777" w:hanging="777"/>
        <w:contextualSpacing w:val="0"/>
        <w:jc w:val="both"/>
        <w:rPr>
          <w:szCs w:val="20"/>
        </w:rPr>
      </w:pPr>
      <w:r>
        <w:t xml:space="preserve">A lekérhető szolgáltatásokat nyújtó médiaszolgáltatóknak be kell tartaniuk a Coimisiún na Meán által alkalmazott és a nyilvánossággal és a lekérhető szolgáltatásokat nyújtó médiaszolgáltatókkal folytatott konzultációt követően kidolgozott akadálymentességi szolgáltatások nyújtására vonatkozó minőségi előírásokat, amennyiben ez megvalósítható. </w:t>
      </w:r>
    </w:p>
    <w:p w14:paraId="1433FAF1" w14:textId="77777777"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Veszélyhelyzeti tájékoztatás</w:t>
      </w:r>
    </w:p>
    <w:bookmarkEnd w:id="78"/>
    <w:p w14:paraId="292E9D2F" w14:textId="77777777" w:rsidR="00664D9B" w:rsidRPr="00F75F53" w:rsidRDefault="00664D9B" w:rsidP="00F53450">
      <w:pPr>
        <w:pStyle w:val="a"/>
        <w:numPr>
          <w:ilvl w:val="1"/>
          <w:numId w:val="5"/>
        </w:numPr>
        <w:spacing w:after="240" w:line="280" w:lineRule="exact"/>
        <w:ind w:left="777" w:hanging="777"/>
        <w:contextualSpacing w:val="0"/>
        <w:jc w:val="both"/>
        <w:rPr>
          <w:szCs w:val="20"/>
        </w:rPr>
      </w:pPr>
      <w:r>
        <w:t>Amennyiben egy lekérhető szolgáltatás veszélyhelyzeti információkat továbbít, beleértve a természeti katasztrófákkal kapcsolatos nyilvános közleményeket és bejelentéseket, a szolgáltató biztosítja, hogy ezeket az információkat a fogyatékossággal élő személyek számára akadálymentes módon nyújtsák.</w:t>
      </w:r>
    </w:p>
    <w:p w14:paraId="7C50DF4D" w14:textId="24CD4F42"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Jelentéstétel</w:t>
      </w:r>
    </w:p>
    <w:p w14:paraId="459374E6" w14:textId="77777777" w:rsidR="00664D9B" w:rsidRPr="00F75F53" w:rsidRDefault="00664D9B" w:rsidP="00F53450">
      <w:pPr>
        <w:pStyle w:val="a"/>
        <w:numPr>
          <w:ilvl w:val="1"/>
          <w:numId w:val="5"/>
        </w:numPr>
        <w:spacing w:after="240" w:line="280" w:lineRule="exact"/>
        <w:ind w:left="774"/>
        <w:jc w:val="both"/>
        <w:rPr>
          <w:szCs w:val="20"/>
        </w:rPr>
      </w:pPr>
      <w:r>
        <w:t xml:space="preserve">Annak érdekében, hogy a Bizottság eleget tehessen az audiovizuális médiaszolgáltatásokról szóló irányelv 7. cikkének (2) bekezdésében meghatározott jelentéstételi kötelezettségének, a lekérhető szolgáltatásokat nyújtó médiaszolgáltatók a Bizottsággal egyeztetett első és későbbi éves akadálymentesítési cselekvési tervek végrehajtásáról a későbbiekben meghatározandó módon jelentést nyújtanak be a Bizottságnak. </w:t>
      </w:r>
    </w:p>
    <w:p w14:paraId="44F872FF" w14:textId="77777777" w:rsidR="00664D9B" w:rsidRPr="00E43AAE" w:rsidRDefault="00664D9B" w:rsidP="00E43AAE">
      <w:pPr>
        <w:pStyle w:val="2"/>
        <w:jc w:val="center"/>
        <w:rPr>
          <w:rFonts w:ascii="Georgia Pro" w:hAnsi="Georgia Pro"/>
          <w:sz w:val="36"/>
          <w:szCs w:val="36"/>
        </w:rPr>
      </w:pPr>
      <w:r>
        <w:br w:type="column"/>
      </w:r>
      <w:bookmarkStart w:id="79" w:name="_Toc172814442"/>
      <w:r>
        <w:rPr>
          <w:rFonts w:ascii="Georgia Pro" w:hAnsi="Georgia Pro"/>
          <w:sz w:val="36"/>
        </w:rPr>
        <w:lastRenderedPageBreak/>
        <w:t>Iránymutatás</w:t>
      </w:r>
      <w:bookmarkEnd w:id="79"/>
    </w:p>
    <w:p w14:paraId="0A607981" w14:textId="77777777" w:rsidR="00664D9B" w:rsidRPr="00E43AAE" w:rsidRDefault="00664D9B" w:rsidP="00E43AAE">
      <w:pPr>
        <w:spacing w:after="120"/>
        <w:ind w:left="709" w:hanging="709"/>
        <w:jc w:val="center"/>
        <w:rPr>
          <w:rFonts w:ascii="Georgia Pro" w:hAnsi="Georgia Pro"/>
          <w:b/>
          <w:bCs/>
          <w:sz w:val="36"/>
          <w:szCs w:val="36"/>
        </w:rPr>
      </w:pPr>
      <w:r>
        <w:rPr>
          <w:rFonts w:ascii="Georgia Pro" w:hAnsi="Georgia Pro"/>
          <w:b/>
          <w:sz w:val="36"/>
        </w:rPr>
        <w:t xml:space="preserve">Befolyásoló tényezők </w:t>
      </w:r>
    </w:p>
    <w:p w14:paraId="32220DAD" w14:textId="77777777" w:rsidR="00664D9B" w:rsidRPr="00F75F53" w:rsidRDefault="00664D9B" w:rsidP="00F53450">
      <w:pPr>
        <w:spacing w:after="240" w:line="280" w:lineRule="exact"/>
        <w:jc w:val="both"/>
        <w:rPr>
          <w:szCs w:val="20"/>
        </w:rPr>
      </w:pPr>
      <w:r>
        <w:t xml:space="preserve">A Coimisiún na Meán „Médiaszolgáltatási kódex és médiaszolgáltatási szabályzat – lekérhető audiovizuális szolgáltatásokat nyújtó médiaszolgáltatók” című dokumentumának 15. szakasza kimondja, hogy a lekérhető szolgáltatásaikon keresztül elérhetővé tett műsorok folyamatos és fokozatos akadálymentességének biztosítása érdekében meghozandó arányos intézkedések meghatározásakor a lekérhető szolgáltatásokat nyújtó médiaszolgáltatóknak az első és az azt követő akadálymentesítési cselekvési tervük kidolgozása során bizonyítaniuk kell, hogy kellően figyelembe vették a szabályzat 15.6. szakaszában meghatározott befolyásoló tényezőket. Ez a dokumentum további iránymutatást nyújt e tekintetben. </w:t>
      </w:r>
    </w:p>
    <w:p w14:paraId="5F736815"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A lekérhető audiovizuális szolgáltatásokat nyújtó médiaszolgáltatók és a nyújtott szolgáltatások jellege.</w:t>
      </w:r>
      <w:r>
        <w:rPr>
          <w:sz w:val="28"/>
        </w:rPr>
        <w:t xml:space="preserve"> </w:t>
      </w:r>
    </w:p>
    <w:p w14:paraId="696CDD58" w14:textId="77777777" w:rsidR="00664D9B" w:rsidRPr="00F75F53" w:rsidRDefault="00664D9B" w:rsidP="00F53450">
      <w:pPr>
        <w:pStyle w:val="a"/>
        <w:numPr>
          <w:ilvl w:val="0"/>
          <w:numId w:val="0"/>
        </w:numPr>
        <w:spacing w:after="240" w:line="280" w:lineRule="exact"/>
        <w:ind w:left="720"/>
        <w:jc w:val="both"/>
        <w:rPr>
          <w:szCs w:val="20"/>
        </w:rPr>
      </w:pPr>
      <w:r>
        <w:rPr>
          <w:b/>
        </w:rPr>
        <w:t>Iránymutatás:</w:t>
      </w:r>
      <w:r>
        <w:t xml:space="preserve"> A szolgáltatás(ok) köz- vagy magánszolgáltatás jellegű(ek)-e?  A szolgáltatás állami támogatásban részesül-e, és ennek következtében nagyobb közszolgáltatási kötelezettséggel járhat?  A szolgáltatásnak vannak-e olyan kulturális, társadalmi vagy nyelvi céljai, amelyek hatással lehetnek az akadálymentes szolgáltatások nyújtására való képességére?</w:t>
      </w:r>
    </w:p>
    <w:p w14:paraId="10747281" w14:textId="77777777" w:rsidR="00664D9B" w:rsidRPr="007A1F9D" w:rsidRDefault="00664D9B" w:rsidP="00F53450">
      <w:pPr>
        <w:pStyle w:val="a"/>
        <w:numPr>
          <w:ilvl w:val="0"/>
          <w:numId w:val="0"/>
        </w:numPr>
        <w:spacing w:after="240" w:line="280" w:lineRule="exact"/>
        <w:ind w:left="720"/>
        <w:jc w:val="both"/>
        <w:rPr>
          <w:b/>
          <w:bCs/>
          <w:szCs w:val="20"/>
        </w:rPr>
      </w:pPr>
    </w:p>
    <w:p w14:paraId="5E598A2A"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A lekérhető audiovizuális szolgáltatásokat nyújtó médiaszolgáltatók fejlettségi szintje és a hozzáférhető műsorok nyújtására való képessége.</w:t>
      </w:r>
      <w:r>
        <w:rPr>
          <w:sz w:val="28"/>
        </w:rPr>
        <w:t xml:space="preserve">  </w:t>
      </w:r>
    </w:p>
    <w:p w14:paraId="2C165C27" w14:textId="77777777" w:rsidR="00664D9B" w:rsidRPr="00F75F53" w:rsidRDefault="00664D9B" w:rsidP="00F53450">
      <w:pPr>
        <w:pStyle w:val="a"/>
        <w:numPr>
          <w:ilvl w:val="0"/>
          <w:numId w:val="0"/>
        </w:numPr>
        <w:spacing w:after="240" w:line="280" w:lineRule="exact"/>
        <w:ind w:left="720"/>
        <w:jc w:val="both"/>
        <w:rPr>
          <w:szCs w:val="20"/>
        </w:rPr>
      </w:pPr>
      <w:r>
        <w:rPr>
          <w:b/>
        </w:rPr>
        <w:t xml:space="preserve">Iránymutatás: </w:t>
      </w:r>
      <w:r>
        <w:t>Mennyi ideje működik/működnek a szolgáltatás(ok)?  Mennyi tapasztalattal rendelkezik a médiaszolgáltató az akadálymentes szolgáltatások nyújtása terén? Rendelkezik-e a médiaszolgáltató szakértelemmel az akadálymentességi szolgáltatások nyújtása terén, vagy rendelkezésére áll-e ilyen szakértelem? Mekkora a piaci részesedésük?</w:t>
      </w:r>
    </w:p>
    <w:p w14:paraId="70DA1769" w14:textId="77777777" w:rsidR="00664D9B" w:rsidRPr="00F75F53" w:rsidRDefault="00664D9B" w:rsidP="00F53450">
      <w:pPr>
        <w:pStyle w:val="a"/>
        <w:numPr>
          <w:ilvl w:val="0"/>
          <w:numId w:val="0"/>
        </w:numPr>
        <w:spacing w:after="240" w:line="280" w:lineRule="exact"/>
        <w:ind w:left="720"/>
        <w:jc w:val="both"/>
        <w:rPr>
          <w:b/>
          <w:bCs/>
          <w:szCs w:val="20"/>
          <w:lang w:val="en-IE"/>
        </w:rPr>
      </w:pPr>
    </w:p>
    <w:p w14:paraId="79C10FC7"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Az akadálymentes szolgáltatások jelenlegi nyújtásának szintje.</w:t>
      </w:r>
    </w:p>
    <w:p w14:paraId="7E873036" w14:textId="77777777" w:rsidR="00664D9B" w:rsidRPr="00F75F53" w:rsidRDefault="00664D9B" w:rsidP="00F53450">
      <w:pPr>
        <w:pStyle w:val="a"/>
        <w:numPr>
          <w:ilvl w:val="0"/>
          <w:numId w:val="0"/>
        </w:numPr>
        <w:spacing w:after="240" w:line="280" w:lineRule="exact"/>
        <w:ind w:left="720"/>
        <w:jc w:val="both"/>
        <w:rPr>
          <w:szCs w:val="20"/>
        </w:rPr>
      </w:pPr>
      <w:r>
        <w:rPr>
          <w:b/>
        </w:rPr>
        <w:t>Iránymutatás:</w:t>
      </w:r>
      <w:r>
        <w:t xml:space="preserve"> Mi a kiindulópontjuk? Mennyi feliratozás, zárt feliratozás, jeltolmácsolás vagy audiokommentár áll rendelkezésre az általuk nyújtott lekérhető szolgáltatás(ok)on?</w:t>
      </w:r>
    </w:p>
    <w:p w14:paraId="23518F9D" w14:textId="77777777" w:rsidR="00664D9B" w:rsidRPr="007A1F9D" w:rsidRDefault="00664D9B" w:rsidP="00F53450">
      <w:pPr>
        <w:pStyle w:val="a"/>
        <w:numPr>
          <w:ilvl w:val="0"/>
          <w:numId w:val="0"/>
        </w:numPr>
        <w:spacing w:after="240" w:line="280" w:lineRule="exact"/>
        <w:ind w:left="720"/>
        <w:jc w:val="both"/>
        <w:rPr>
          <w:szCs w:val="20"/>
        </w:rPr>
      </w:pPr>
    </w:p>
    <w:p w14:paraId="0AFF4797"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A lekérhető audiovizuális médiaszolgáltatás(ok) katalógusában szereplő műsortípusok.</w:t>
      </w:r>
      <w:r>
        <w:rPr>
          <w:sz w:val="28"/>
        </w:rPr>
        <w:t xml:space="preserve"> </w:t>
      </w:r>
    </w:p>
    <w:p w14:paraId="7E6A1F41" w14:textId="77777777" w:rsidR="00664D9B" w:rsidRPr="00F75F53" w:rsidRDefault="00664D9B" w:rsidP="00F53450">
      <w:pPr>
        <w:pStyle w:val="a"/>
        <w:numPr>
          <w:ilvl w:val="0"/>
          <w:numId w:val="0"/>
        </w:numPr>
        <w:spacing w:after="240" w:line="280" w:lineRule="exact"/>
        <w:ind w:left="720"/>
        <w:jc w:val="both"/>
        <w:rPr>
          <w:szCs w:val="20"/>
        </w:rPr>
      </w:pPr>
      <w:r>
        <w:rPr>
          <w:b/>
        </w:rPr>
        <w:t>Iránymutatás:</w:t>
      </w:r>
      <w:r>
        <w:t xml:space="preserve"> A szolgáltatás(ok) sok tartalmat szerez(nek) be harmadik felektől?  Mennyi hazai gyártású műsort biztosít a szolgáltatás? Önállóan készítik-e a műsorokat? Ezek a kérdések relevánsak, mivel a katalógusban szereplő műsorok típusa befolyásolja a költségeket, a műszaki eszközöket, a személyzetet és az akadálymentességi szolgáltatások nyújtásának képességét.</w:t>
      </w:r>
    </w:p>
    <w:p w14:paraId="483DF1AE" w14:textId="77777777" w:rsidR="00664D9B" w:rsidRPr="007A1F9D" w:rsidRDefault="00664D9B" w:rsidP="00F53450">
      <w:pPr>
        <w:pStyle w:val="a"/>
        <w:numPr>
          <w:ilvl w:val="0"/>
          <w:numId w:val="0"/>
        </w:numPr>
        <w:spacing w:after="240" w:line="280" w:lineRule="exact"/>
        <w:ind w:left="720"/>
        <w:jc w:val="both"/>
        <w:rPr>
          <w:b/>
          <w:bCs/>
          <w:szCs w:val="20"/>
        </w:rPr>
      </w:pPr>
    </w:p>
    <w:p w14:paraId="0B6D7DCD"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A lekérhető audiovizuális szolgáltatásokat nyújtó médiaszolgáltatónál az akadálymentességi szolgáltatásokkal kapcsolatban jelentkező technikai és emberierőforrás-költségek.</w:t>
      </w:r>
    </w:p>
    <w:p w14:paraId="027FCFEF" w14:textId="77777777" w:rsidR="00664D9B" w:rsidRPr="00F75F53" w:rsidRDefault="00664D9B" w:rsidP="00F53450">
      <w:pPr>
        <w:pStyle w:val="a"/>
        <w:numPr>
          <w:ilvl w:val="0"/>
          <w:numId w:val="0"/>
        </w:numPr>
        <w:spacing w:after="240" w:line="280" w:lineRule="exact"/>
        <w:ind w:left="720"/>
        <w:jc w:val="both"/>
        <w:rPr>
          <w:szCs w:val="20"/>
        </w:rPr>
      </w:pPr>
      <w:r>
        <w:rPr>
          <w:b/>
        </w:rPr>
        <w:lastRenderedPageBreak/>
        <w:t>Iránymutatás:</w:t>
      </w:r>
      <w:r>
        <w:t xml:space="preserve"> Mi a médiaszolgáltató pénzügyi kapacitása és az akadálymentességi szolgáltatások nyújtásának várható pénzügyi hatásai?</w:t>
      </w:r>
    </w:p>
    <w:p w14:paraId="7C58A89C" w14:textId="77777777" w:rsidR="00664D9B" w:rsidRPr="007A1F9D" w:rsidRDefault="00664D9B" w:rsidP="00F53450">
      <w:pPr>
        <w:pStyle w:val="a"/>
        <w:numPr>
          <w:ilvl w:val="0"/>
          <w:numId w:val="0"/>
        </w:numPr>
        <w:spacing w:after="240" w:line="280" w:lineRule="exact"/>
        <w:ind w:left="720"/>
        <w:jc w:val="both"/>
        <w:rPr>
          <w:szCs w:val="20"/>
        </w:rPr>
      </w:pPr>
    </w:p>
    <w:p w14:paraId="70496FFE" w14:textId="77777777" w:rsidR="00E43AAE" w:rsidRPr="007A1F9D" w:rsidRDefault="00E43AAE" w:rsidP="00F53450">
      <w:pPr>
        <w:pStyle w:val="a"/>
        <w:numPr>
          <w:ilvl w:val="0"/>
          <w:numId w:val="0"/>
        </w:numPr>
        <w:spacing w:after="240" w:line="280" w:lineRule="exact"/>
        <w:ind w:left="720"/>
        <w:jc w:val="both"/>
        <w:rPr>
          <w:szCs w:val="20"/>
        </w:rPr>
      </w:pPr>
    </w:p>
    <w:p w14:paraId="4C5A55D7" w14:textId="77777777" w:rsidR="00E43AAE" w:rsidRPr="007A1F9D" w:rsidRDefault="00E43AAE" w:rsidP="00F53450">
      <w:pPr>
        <w:pStyle w:val="a"/>
        <w:numPr>
          <w:ilvl w:val="0"/>
          <w:numId w:val="0"/>
        </w:numPr>
        <w:spacing w:after="240" w:line="280" w:lineRule="exact"/>
        <w:ind w:left="720"/>
        <w:jc w:val="both"/>
        <w:rPr>
          <w:szCs w:val="20"/>
        </w:rPr>
      </w:pPr>
    </w:p>
    <w:p w14:paraId="409BE89B" w14:textId="77777777" w:rsidR="00E43AAE" w:rsidRPr="007A1F9D" w:rsidRDefault="00E43AAE" w:rsidP="00F53450">
      <w:pPr>
        <w:pStyle w:val="a"/>
        <w:numPr>
          <w:ilvl w:val="0"/>
          <w:numId w:val="0"/>
        </w:numPr>
        <w:spacing w:after="240" w:line="280" w:lineRule="exact"/>
        <w:ind w:left="720"/>
        <w:jc w:val="both"/>
        <w:rPr>
          <w:szCs w:val="20"/>
        </w:rPr>
      </w:pPr>
    </w:p>
    <w:p w14:paraId="3837516F"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 xml:space="preserve">A lekérhető audiovizuális szolgáltatásokat nyújtó médiaszolgáltató műszaki kapacitása. </w:t>
      </w:r>
    </w:p>
    <w:p w14:paraId="3D3BE1F8" w14:textId="77777777" w:rsidR="00811F2C" w:rsidRPr="00F75F53" w:rsidRDefault="00664D9B" w:rsidP="00F53450">
      <w:pPr>
        <w:pStyle w:val="a"/>
        <w:numPr>
          <w:ilvl w:val="0"/>
          <w:numId w:val="0"/>
        </w:numPr>
        <w:spacing w:after="240" w:line="280" w:lineRule="exact"/>
        <w:ind w:left="720"/>
        <w:jc w:val="both"/>
        <w:rPr>
          <w:szCs w:val="20"/>
        </w:rPr>
      </w:pPr>
      <w:r>
        <w:rPr>
          <w:b/>
        </w:rPr>
        <w:t>Iránymutatás:</w:t>
      </w:r>
      <w:r>
        <w:t xml:space="preserve"> Jelenleg milyen létesítmények és szakértelem áll rendelkezésre a szolgáltatáson belül az akadálymentességi szolgáltatások nyújtásához? Rendelkezik-e a szolgáltatás az akadálymentességi szolgáltatások nyújtásához szükséges műszaki kapacitással?  Milyen szintű és típusú műszaki eszközökre és szakértelemre lenne szükség?</w:t>
      </w:r>
    </w:p>
    <w:sectPr w:rsidR="00811F2C" w:rsidRPr="00F75F53" w:rsidSect="00664D9B">
      <w:pgSz w:w="11906" w:h="16838"/>
      <w:pgMar w:top="1440" w:right="1440" w:bottom="187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1223A" w14:textId="77777777" w:rsidR="007F51B3" w:rsidRPr="00265440" w:rsidRDefault="007F51B3" w:rsidP="0089118F">
      <w:r w:rsidRPr="00265440">
        <w:separator/>
      </w:r>
    </w:p>
  </w:endnote>
  <w:endnote w:type="continuationSeparator" w:id="0">
    <w:p w14:paraId="50B3C0F1" w14:textId="77777777" w:rsidR="007F51B3" w:rsidRPr="00265440" w:rsidRDefault="007F51B3" w:rsidP="0089118F">
      <w:r w:rsidRPr="002654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DengXian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eorgia Pro Light">
    <w:charset w:val="00"/>
    <w:family w:val="roman"/>
    <w:pitch w:val="variable"/>
    <w:sig w:usb0="800002AF" w:usb1="00000003"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rPr>
      <w:id w:val="-1293204102"/>
      <w:docPartObj>
        <w:docPartGallery w:val="Page Numbers (Bottom of Page)"/>
        <w:docPartUnique/>
      </w:docPartObj>
    </w:sdtPr>
    <w:sdtEndPr>
      <w:rPr>
        <w:rStyle w:val="aa"/>
      </w:rPr>
    </w:sdtEndPr>
    <w:sdtContent>
      <w:p w14:paraId="6CC9289B" w14:textId="77777777" w:rsidR="00340AA2" w:rsidRPr="00265440" w:rsidRDefault="00340AA2" w:rsidP="00054FCD">
        <w:pPr>
          <w:pStyle w:val="a5"/>
          <w:framePr w:wrap="none" w:vAnchor="text" w:hAnchor="margin" w:xAlign="right" w:y="1"/>
          <w:rPr>
            <w:rStyle w:val="aa"/>
          </w:rPr>
        </w:pPr>
        <w:r w:rsidRPr="00265440">
          <w:rPr>
            <w:rStyle w:val="aa"/>
          </w:rPr>
          <w:fldChar w:fldCharType="begin"/>
        </w:r>
        <w:r w:rsidRPr="00265440">
          <w:rPr>
            <w:rStyle w:val="aa"/>
          </w:rPr>
          <w:instrText xml:space="preserve"> PAGE </w:instrText>
        </w:r>
        <w:r w:rsidRPr="00265440">
          <w:rPr>
            <w:rStyle w:val="aa"/>
          </w:rPr>
          <w:fldChar w:fldCharType="end"/>
        </w:r>
      </w:p>
    </w:sdtContent>
  </w:sdt>
  <w:p w14:paraId="7C27BFCF" w14:textId="77777777" w:rsidR="00340AA2" w:rsidRPr="00265440" w:rsidRDefault="00340AA2" w:rsidP="00340AA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color w:val="3A1300"/>
      </w:rPr>
      <w:id w:val="1217555781"/>
      <w:docPartObj>
        <w:docPartGallery w:val="Page Numbers (Bottom of Page)"/>
        <w:docPartUnique/>
      </w:docPartObj>
    </w:sdtPr>
    <w:sdtEndPr>
      <w:rPr>
        <w:rStyle w:val="aa"/>
      </w:rPr>
    </w:sdtEndPr>
    <w:sdtContent>
      <w:p w14:paraId="587FF89C" w14:textId="77777777" w:rsidR="00340AA2" w:rsidRPr="00265440" w:rsidRDefault="00340AA2" w:rsidP="00054FCD">
        <w:pPr>
          <w:pStyle w:val="a5"/>
          <w:framePr w:wrap="none" w:vAnchor="text" w:hAnchor="margin" w:xAlign="right" w:y="1"/>
          <w:rPr>
            <w:rStyle w:val="aa"/>
            <w:color w:val="3A1300"/>
          </w:rPr>
        </w:pPr>
        <w:r w:rsidRPr="00265440">
          <w:rPr>
            <w:rStyle w:val="aa"/>
            <w:color w:val="3A1300"/>
          </w:rPr>
          <w:fldChar w:fldCharType="begin"/>
        </w:r>
        <w:r w:rsidRPr="00265440">
          <w:rPr>
            <w:rStyle w:val="aa"/>
            <w:color w:val="3A1300"/>
          </w:rPr>
          <w:instrText xml:space="preserve"> PAGE </w:instrText>
        </w:r>
        <w:r w:rsidRPr="00265440">
          <w:rPr>
            <w:rStyle w:val="aa"/>
            <w:color w:val="3A1300"/>
          </w:rPr>
          <w:fldChar w:fldCharType="separate"/>
        </w:r>
        <w:r w:rsidRPr="00265440">
          <w:rPr>
            <w:rStyle w:val="aa"/>
            <w:color w:val="3A1300"/>
          </w:rPr>
          <w:t>3</w:t>
        </w:r>
        <w:r w:rsidRPr="00265440">
          <w:rPr>
            <w:rStyle w:val="aa"/>
            <w:color w:val="3A1300"/>
          </w:rPr>
          <w:fldChar w:fldCharType="end"/>
        </w:r>
      </w:p>
    </w:sdtContent>
  </w:sdt>
  <w:p w14:paraId="4363B73A" w14:textId="77777777" w:rsidR="00BC349D" w:rsidRDefault="00D07292" w:rsidP="00BC349D">
    <w:pPr>
      <w:pStyle w:val="a5"/>
      <w:ind w:left="2268"/>
      <w:rPr>
        <w:color w:val="3A1300"/>
      </w:rPr>
    </w:pPr>
    <w:r>
      <w:rPr>
        <w:color w:val="3A1300"/>
      </w:rPr>
      <w:t xml:space="preserve">A lekérhető audiovizuális médiaszolgáltatásokra vonatkozó kódex </w:t>
    </w:r>
  </w:p>
  <w:p w14:paraId="4071629F" w14:textId="1AC64577" w:rsidR="00340AA2" w:rsidRPr="00265440" w:rsidRDefault="00D07292" w:rsidP="00BC349D">
    <w:pPr>
      <w:pStyle w:val="a5"/>
      <w:ind w:left="2268"/>
      <w:rPr>
        <w:color w:val="3A1300"/>
      </w:rPr>
    </w:pPr>
    <w:r>
      <w:rPr>
        <w:color w:val="3A1300"/>
      </w:rPr>
      <w:t>és a médiaszolgáltatási szabályzat tervezete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40FB" w14:textId="77777777" w:rsidR="0016323E" w:rsidRPr="00265440" w:rsidRDefault="0016323E" w:rsidP="0016323E">
    <w:pPr>
      <w:pStyle w:val="a5"/>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6770E" w14:textId="77777777" w:rsidR="007F51B3" w:rsidRPr="00265440" w:rsidRDefault="007F51B3" w:rsidP="0089118F">
      <w:r w:rsidRPr="00265440">
        <w:separator/>
      </w:r>
    </w:p>
  </w:footnote>
  <w:footnote w:type="continuationSeparator" w:id="0">
    <w:p w14:paraId="2C647078" w14:textId="77777777" w:rsidR="007F51B3" w:rsidRPr="00265440" w:rsidRDefault="007F51B3" w:rsidP="0089118F">
      <w:r w:rsidRPr="00265440">
        <w:continuationSeparator/>
      </w:r>
    </w:p>
  </w:footnote>
  <w:footnote w:id="1">
    <w:p w14:paraId="32FE5480" w14:textId="77777777" w:rsidR="00664D9B" w:rsidRPr="00045EF4" w:rsidRDefault="00664D9B" w:rsidP="00664D9B">
      <w:pPr>
        <w:pStyle w:val="ac"/>
        <w:rPr>
          <w:sz w:val="18"/>
          <w:szCs w:val="18"/>
        </w:rPr>
      </w:pPr>
      <w:r>
        <w:rPr>
          <w:rStyle w:val="ab"/>
          <w:sz w:val="18"/>
          <w:szCs w:val="18"/>
        </w:rPr>
        <w:footnoteRef/>
      </w:r>
      <w:r>
        <w:rPr>
          <w:sz w:val="18"/>
        </w:rPr>
        <w:t xml:space="preserve"> </w:t>
      </w:r>
      <w:r>
        <w:rPr>
          <w:sz w:val="16"/>
        </w:rPr>
        <w:t>Ez magában foglalja többek között az írországi Traveller Community és a roma közösségek tagjait.</w:t>
      </w:r>
    </w:p>
  </w:footnote>
  <w:footnote w:id="2">
    <w:p w14:paraId="61FC6EAA" w14:textId="77777777" w:rsidR="00664D9B" w:rsidRPr="00045EF4" w:rsidRDefault="00664D9B" w:rsidP="00664D9B">
      <w:pPr>
        <w:pStyle w:val="ac"/>
        <w:rPr>
          <w:sz w:val="18"/>
          <w:szCs w:val="18"/>
        </w:rPr>
      </w:pPr>
      <w:r>
        <w:rPr>
          <w:rStyle w:val="ab"/>
          <w:sz w:val="18"/>
          <w:szCs w:val="18"/>
        </w:rPr>
        <w:footnoteRef/>
      </w:r>
      <w:r>
        <w:rPr>
          <w:sz w:val="18"/>
        </w:rPr>
        <w:t xml:space="preserve"> A kizárólag az életkornak a szolgáltatás felhasználói általi önbevallásán alapuló életkor-ellenőrzési intézkedés a 10.4. szakasz alkalmazásában nem lehet hatékony intézkedés.</w:t>
      </w:r>
    </w:p>
  </w:footnote>
  <w:footnote w:id="3">
    <w:p w14:paraId="2C2E6A7E" w14:textId="77777777" w:rsidR="00664D9B" w:rsidRPr="00045EF4" w:rsidRDefault="00664D9B" w:rsidP="00664D9B">
      <w:pPr>
        <w:pStyle w:val="ac"/>
        <w:rPr>
          <w:sz w:val="18"/>
          <w:szCs w:val="18"/>
        </w:rPr>
      </w:pPr>
      <w:r>
        <w:rPr>
          <w:rStyle w:val="ab"/>
          <w:sz w:val="18"/>
          <w:szCs w:val="18"/>
        </w:rPr>
        <w:footnoteRef/>
      </w:r>
      <w:r>
        <w:rPr>
          <w:sz w:val="18"/>
        </w:rPr>
        <w:t xml:space="preserve"> A Bizottság e befolyásoló tényezőkre vonatkozóan nem kötelező erejű iránymutatást dolgozott ki, amely a https://cnam.ie címen érhető 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ADD2" w14:textId="77777777" w:rsidR="0089118F" w:rsidRPr="00265440" w:rsidRDefault="00870833" w:rsidP="00340AA2">
    <w:pPr>
      <w:pStyle w:val="a4"/>
    </w:pPr>
    <w:r>
      <w:rPr>
        <w:noProof/>
      </w:rPr>
      <w:drawing>
        <wp:anchor distT="0" distB="0" distL="114300" distR="114300" simplePos="0" relativeHeight="251658240" behindDoc="1" locked="0" layoutInCell="1" allowOverlap="1" wp14:anchorId="625C999E" wp14:editId="157E2F59">
          <wp:simplePos x="0" y="0"/>
          <wp:positionH relativeFrom="column">
            <wp:posOffset>-1079500</wp:posOffset>
          </wp:positionH>
          <wp:positionV relativeFrom="paragraph">
            <wp:posOffset>-475615</wp:posOffset>
          </wp:positionV>
          <wp:extent cx="7560000" cy="10695874"/>
          <wp:effectExtent l="0" t="0" r="0" b="0"/>
          <wp:wrapNone/>
          <wp:docPr id="161897056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9802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7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FB39" w14:textId="77777777" w:rsidR="00870833" w:rsidRPr="00265440" w:rsidRDefault="00870833" w:rsidP="0016323E">
    <w:pPr>
      <w:pStyle w:val="a4"/>
      <w:ind w:left="-426"/>
    </w:pPr>
    <w:r>
      <w:rPr>
        <w:noProof/>
      </w:rPr>
      <w:drawing>
        <wp:anchor distT="0" distB="0" distL="114300" distR="114300" simplePos="0" relativeHeight="251659264" behindDoc="1" locked="0" layoutInCell="1" allowOverlap="1" wp14:anchorId="24EB20DB" wp14:editId="6B583BE3">
          <wp:simplePos x="0" y="0"/>
          <wp:positionH relativeFrom="column">
            <wp:posOffset>-417526</wp:posOffset>
          </wp:positionH>
          <wp:positionV relativeFrom="paragraph">
            <wp:posOffset>-450215</wp:posOffset>
          </wp:positionV>
          <wp:extent cx="7559999" cy="10695874"/>
          <wp:effectExtent l="0" t="0" r="0" b="0"/>
          <wp:wrapNone/>
          <wp:docPr id="193163227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5821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D0A"/>
    <w:multiLevelType w:val="hybridMultilevel"/>
    <w:tmpl w:val="7CFC5A32"/>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 w15:restartNumberingAfterBreak="0">
    <w:nsid w:val="0C164AC0"/>
    <w:multiLevelType w:val="hybridMultilevel"/>
    <w:tmpl w:val="56BE29C6"/>
    <w:lvl w:ilvl="0" w:tplc="F948EE84">
      <w:start w:val="1"/>
      <w:numFmt w:val="lowerLetter"/>
      <w:lvlText w:val="(%1)"/>
      <w:lvlJc w:val="left"/>
      <w:pPr>
        <w:ind w:left="1344" w:hanging="360"/>
      </w:pPr>
      <w:rPr>
        <w:rFonts w:hint="default"/>
        <w:b w:val="0"/>
        <w:bCs w:val="0"/>
        <w:i w:val="0"/>
        <w:iCs w:val="0"/>
        <w:spacing w:val="0"/>
        <w:w w:val="100"/>
        <w:sz w:val="20"/>
        <w:szCs w:val="20"/>
        <w:lang w:val="en-US" w:eastAsia="en-US" w:bidi="ar-SA"/>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2" w15:restartNumberingAfterBreak="0">
    <w:nsid w:val="116C1017"/>
    <w:multiLevelType w:val="hybridMultilevel"/>
    <w:tmpl w:val="C71E744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6732BC"/>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7E498B"/>
    <w:multiLevelType w:val="hybridMultilevel"/>
    <w:tmpl w:val="4CB42924"/>
    <w:lvl w:ilvl="0" w:tplc="A9EA1952">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B80FBC"/>
    <w:multiLevelType w:val="hybridMultilevel"/>
    <w:tmpl w:val="35AED21E"/>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6" w15:restartNumberingAfterBreak="0">
    <w:nsid w:val="26BD6076"/>
    <w:multiLevelType w:val="hybridMultilevel"/>
    <w:tmpl w:val="CC927E8A"/>
    <w:lvl w:ilvl="0" w:tplc="1020DE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932143"/>
    <w:multiLevelType w:val="hybridMultilevel"/>
    <w:tmpl w:val="9F282896"/>
    <w:lvl w:ilvl="0" w:tplc="7646D5B2">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9454D8"/>
    <w:multiLevelType w:val="multilevel"/>
    <w:tmpl w:val="E222D90C"/>
    <w:lvl w:ilvl="0">
      <w:start w:val="1"/>
      <w:numFmt w:val="decimal"/>
      <w:lvlText w:val="%1."/>
      <w:lvlJc w:val="left"/>
      <w:pPr>
        <w:ind w:left="360" w:hanging="360"/>
      </w:pPr>
    </w:lvl>
    <w:lvl w:ilvl="1">
      <w:numFmt w:val="bullet"/>
      <w:lvlText w:val="-"/>
      <w:lvlJc w:val="left"/>
      <w:pPr>
        <w:ind w:left="720" w:hanging="360"/>
      </w:pPr>
      <w:rPr>
        <w:rFonts w:ascii="Courier New" w:eastAsia="Courier New" w:hAnsi="Courier New" w:cs="Courier New" w:hint="default"/>
        <w:b w:val="0"/>
        <w:bCs w:val="0"/>
        <w:i w:val="0"/>
        <w:iCs w:val="0"/>
        <w:spacing w:val="0"/>
        <w:w w:val="99"/>
        <w:sz w:val="20"/>
        <w:szCs w:val="20"/>
        <w:lang w:val="en-US" w:eastAsia="en-US" w:bidi="ar-S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CC74AE"/>
    <w:multiLevelType w:val="multilevel"/>
    <w:tmpl w:val="79F07960"/>
    <w:lvl w:ilvl="0">
      <w:start w:val="1"/>
      <w:numFmt w:val="decimal"/>
      <w:lvlText w:val="%1."/>
      <w:lvlJc w:val="left"/>
      <w:pPr>
        <w:ind w:left="720" w:hanging="360"/>
      </w:pPr>
      <w:rPr>
        <w:rFonts w:ascii="Georgia Pro" w:eastAsiaTheme="majorEastAsia" w:hAnsi="Georgia Pro" w:cstheme="majorBidi" w:hint="default"/>
        <w:sz w:val="36"/>
        <w:szCs w:val="36"/>
      </w:rPr>
    </w:lvl>
    <w:lvl w:ilvl="1">
      <w:start w:val="1"/>
      <w:numFmt w:val="decimal"/>
      <w:isLgl/>
      <w:lvlText w:val="%1.%2"/>
      <w:lvlJc w:val="left"/>
      <w:pPr>
        <w:ind w:left="1134" w:hanging="774"/>
      </w:pPr>
      <w:rPr>
        <w:rFonts w:ascii="Arial" w:hAnsi="Arial" w:cs="Arial" w:hint="default"/>
        <w:b w:val="0"/>
        <w:b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CF3337"/>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3A2915"/>
    <w:multiLevelType w:val="hybridMultilevel"/>
    <w:tmpl w:val="72FC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A37E8"/>
    <w:multiLevelType w:val="hybridMultilevel"/>
    <w:tmpl w:val="EE40BA64"/>
    <w:lvl w:ilvl="0" w:tplc="1D1E9248">
      <w:numFmt w:val="bullet"/>
      <w:lvlText w:val="-"/>
      <w:lvlJc w:val="left"/>
      <w:pPr>
        <w:ind w:left="-1242"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522" w:hanging="360"/>
      </w:pPr>
      <w:rPr>
        <w:rFonts w:ascii="Courier New" w:hAnsi="Courier New" w:cs="Courier New" w:hint="default"/>
      </w:rPr>
    </w:lvl>
    <w:lvl w:ilvl="2" w:tplc="FFFFFFFF" w:tentative="1">
      <w:start w:val="1"/>
      <w:numFmt w:val="bullet"/>
      <w:lvlText w:val=""/>
      <w:lvlJc w:val="left"/>
      <w:pPr>
        <w:ind w:left="198" w:hanging="360"/>
      </w:pPr>
      <w:rPr>
        <w:rFonts w:ascii="Wingdings" w:hAnsi="Wingdings" w:hint="default"/>
      </w:rPr>
    </w:lvl>
    <w:lvl w:ilvl="3" w:tplc="FFFFFFFF" w:tentative="1">
      <w:start w:val="1"/>
      <w:numFmt w:val="bullet"/>
      <w:lvlText w:val=""/>
      <w:lvlJc w:val="left"/>
      <w:pPr>
        <w:ind w:left="918" w:hanging="360"/>
      </w:pPr>
      <w:rPr>
        <w:rFonts w:ascii="Symbol" w:hAnsi="Symbol" w:hint="default"/>
      </w:rPr>
    </w:lvl>
    <w:lvl w:ilvl="4" w:tplc="FFFFFFFF" w:tentative="1">
      <w:start w:val="1"/>
      <w:numFmt w:val="bullet"/>
      <w:lvlText w:val="o"/>
      <w:lvlJc w:val="left"/>
      <w:pPr>
        <w:ind w:left="1638" w:hanging="360"/>
      </w:pPr>
      <w:rPr>
        <w:rFonts w:ascii="Courier New" w:hAnsi="Courier New" w:cs="Courier New" w:hint="default"/>
      </w:rPr>
    </w:lvl>
    <w:lvl w:ilvl="5" w:tplc="FFFFFFFF" w:tentative="1">
      <w:start w:val="1"/>
      <w:numFmt w:val="bullet"/>
      <w:lvlText w:val=""/>
      <w:lvlJc w:val="left"/>
      <w:pPr>
        <w:ind w:left="2358" w:hanging="360"/>
      </w:pPr>
      <w:rPr>
        <w:rFonts w:ascii="Wingdings" w:hAnsi="Wingdings" w:hint="default"/>
      </w:rPr>
    </w:lvl>
    <w:lvl w:ilvl="6" w:tplc="FFFFFFFF" w:tentative="1">
      <w:start w:val="1"/>
      <w:numFmt w:val="bullet"/>
      <w:lvlText w:val=""/>
      <w:lvlJc w:val="left"/>
      <w:pPr>
        <w:ind w:left="3078" w:hanging="360"/>
      </w:pPr>
      <w:rPr>
        <w:rFonts w:ascii="Symbol" w:hAnsi="Symbol" w:hint="default"/>
      </w:rPr>
    </w:lvl>
    <w:lvl w:ilvl="7" w:tplc="FFFFFFFF" w:tentative="1">
      <w:start w:val="1"/>
      <w:numFmt w:val="bullet"/>
      <w:lvlText w:val="o"/>
      <w:lvlJc w:val="left"/>
      <w:pPr>
        <w:ind w:left="3798" w:hanging="360"/>
      </w:pPr>
      <w:rPr>
        <w:rFonts w:ascii="Courier New" w:hAnsi="Courier New" w:cs="Courier New" w:hint="default"/>
      </w:rPr>
    </w:lvl>
    <w:lvl w:ilvl="8" w:tplc="FFFFFFFF" w:tentative="1">
      <w:start w:val="1"/>
      <w:numFmt w:val="bullet"/>
      <w:lvlText w:val=""/>
      <w:lvlJc w:val="left"/>
      <w:pPr>
        <w:ind w:left="4518" w:hanging="360"/>
      </w:pPr>
      <w:rPr>
        <w:rFonts w:ascii="Wingdings" w:hAnsi="Wingdings" w:hint="default"/>
      </w:rPr>
    </w:lvl>
  </w:abstractNum>
  <w:abstractNum w:abstractNumId="13" w15:restartNumberingAfterBreak="0">
    <w:nsid w:val="44CA2FF2"/>
    <w:multiLevelType w:val="hybridMultilevel"/>
    <w:tmpl w:val="8E8CFD5C"/>
    <w:lvl w:ilvl="0" w:tplc="1809001B">
      <w:start w:val="1"/>
      <w:numFmt w:val="lowerRoman"/>
      <w:lvlText w:val="%1."/>
      <w:lvlJc w:val="right"/>
      <w:pPr>
        <w:ind w:left="144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495C1874"/>
    <w:multiLevelType w:val="hybridMultilevel"/>
    <w:tmpl w:val="5B44A6FC"/>
    <w:lvl w:ilvl="0" w:tplc="1D1E9248">
      <w:numFmt w:val="bullet"/>
      <w:lvlText w:val="-"/>
      <w:lvlJc w:val="left"/>
      <w:pPr>
        <w:ind w:left="981"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1701" w:hanging="360"/>
      </w:pPr>
      <w:rPr>
        <w:rFonts w:ascii="Courier New" w:hAnsi="Courier New" w:cs="Courier New" w:hint="default"/>
      </w:rPr>
    </w:lvl>
    <w:lvl w:ilvl="2" w:tplc="FFFFFFFF" w:tentative="1">
      <w:start w:val="1"/>
      <w:numFmt w:val="bullet"/>
      <w:lvlText w:val=""/>
      <w:lvlJc w:val="left"/>
      <w:pPr>
        <w:ind w:left="2421" w:hanging="360"/>
      </w:pPr>
      <w:rPr>
        <w:rFonts w:ascii="Wingdings" w:hAnsi="Wingdings" w:hint="default"/>
      </w:rPr>
    </w:lvl>
    <w:lvl w:ilvl="3" w:tplc="FFFFFFFF" w:tentative="1">
      <w:start w:val="1"/>
      <w:numFmt w:val="bullet"/>
      <w:lvlText w:val=""/>
      <w:lvlJc w:val="left"/>
      <w:pPr>
        <w:ind w:left="3141" w:hanging="360"/>
      </w:pPr>
      <w:rPr>
        <w:rFonts w:ascii="Symbol" w:hAnsi="Symbol" w:hint="default"/>
      </w:rPr>
    </w:lvl>
    <w:lvl w:ilvl="4" w:tplc="FFFFFFFF" w:tentative="1">
      <w:start w:val="1"/>
      <w:numFmt w:val="bullet"/>
      <w:lvlText w:val="o"/>
      <w:lvlJc w:val="left"/>
      <w:pPr>
        <w:ind w:left="3861" w:hanging="360"/>
      </w:pPr>
      <w:rPr>
        <w:rFonts w:ascii="Courier New" w:hAnsi="Courier New" w:cs="Courier New" w:hint="default"/>
      </w:rPr>
    </w:lvl>
    <w:lvl w:ilvl="5" w:tplc="FFFFFFFF" w:tentative="1">
      <w:start w:val="1"/>
      <w:numFmt w:val="bullet"/>
      <w:lvlText w:val=""/>
      <w:lvlJc w:val="left"/>
      <w:pPr>
        <w:ind w:left="4581" w:hanging="360"/>
      </w:pPr>
      <w:rPr>
        <w:rFonts w:ascii="Wingdings" w:hAnsi="Wingdings" w:hint="default"/>
      </w:rPr>
    </w:lvl>
    <w:lvl w:ilvl="6" w:tplc="FFFFFFFF" w:tentative="1">
      <w:start w:val="1"/>
      <w:numFmt w:val="bullet"/>
      <w:lvlText w:val=""/>
      <w:lvlJc w:val="left"/>
      <w:pPr>
        <w:ind w:left="5301" w:hanging="360"/>
      </w:pPr>
      <w:rPr>
        <w:rFonts w:ascii="Symbol" w:hAnsi="Symbol" w:hint="default"/>
      </w:rPr>
    </w:lvl>
    <w:lvl w:ilvl="7" w:tplc="FFFFFFFF" w:tentative="1">
      <w:start w:val="1"/>
      <w:numFmt w:val="bullet"/>
      <w:lvlText w:val="o"/>
      <w:lvlJc w:val="left"/>
      <w:pPr>
        <w:ind w:left="6021" w:hanging="360"/>
      </w:pPr>
      <w:rPr>
        <w:rFonts w:ascii="Courier New" w:hAnsi="Courier New" w:cs="Courier New" w:hint="default"/>
      </w:rPr>
    </w:lvl>
    <w:lvl w:ilvl="8" w:tplc="FFFFFFFF" w:tentative="1">
      <w:start w:val="1"/>
      <w:numFmt w:val="bullet"/>
      <w:lvlText w:val=""/>
      <w:lvlJc w:val="left"/>
      <w:pPr>
        <w:ind w:left="6741" w:hanging="360"/>
      </w:pPr>
      <w:rPr>
        <w:rFonts w:ascii="Wingdings" w:hAnsi="Wingdings" w:hint="default"/>
      </w:rPr>
    </w:lvl>
  </w:abstractNum>
  <w:abstractNum w:abstractNumId="15" w15:restartNumberingAfterBreak="0">
    <w:nsid w:val="49BE3648"/>
    <w:multiLevelType w:val="hybridMultilevel"/>
    <w:tmpl w:val="A51A7256"/>
    <w:lvl w:ilvl="0" w:tplc="DEA894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176912"/>
    <w:multiLevelType w:val="hybridMultilevel"/>
    <w:tmpl w:val="1F6AA5F4"/>
    <w:lvl w:ilvl="0" w:tplc="ADD65A0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59223A24"/>
    <w:multiLevelType w:val="hybridMultilevel"/>
    <w:tmpl w:val="A960486A"/>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8" w15:restartNumberingAfterBreak="0">
    <w:nsid w:val="5BC97CB2"/>
    <w:multiLevelType w:val="hybridMultilevel"/>
    <w:tmpl w:val="F698EF0C"/>
    <w:lvl w:ilvl="0" w:tplc="1809001B">
      <w:start w:val="1"/>
      <w:numFmt w:val="lowerRoman"/>
      <w:lvlText w:val="%1."/>
      <w:lvlJc w:val="right"/>
      <w:pPr>
        <w:ind w:left="72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D13353"/>
    <w:multiLevelType w:val="hybridMultilevel"/>
    <w:tmpl w:val="5958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9C43E9"/>
    <w:multiLevelType w:val="hybridMultilevel"/>
    <w:tmpl w:val="8C10D11C"/>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1" w15:restartNumberingAfterBreak="0">
    <w:nsid w:val="5F5C2152"/>
    <w:multiLevelType w:val="hybridMultilevel"/>
    <w:tmpl w:val="F9C2537C"/>
    <w:lvl w:ilvl="0" w:tplc="21B6B450">
      <w:start w:val="1"/>
      <w:numFmt w:val="lowerRoman"/>
      <w:lvlText w:val="%1."/>
      <w:lvlJc w:val="righ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CA0A2E"/>
    <w:multiLevelType w:val="hybridMultilevel"/>
    <w:tmpl w:val="C0CE4BD4"/>
    <w:lvl w:ilvl="0" w:tplc="60589DFC">
      <w:start w:val="1"/>
      <w:numFmt w:val="lowerRoman"/>
      <w:lvlText w:val="%1."/>
      <w:lvlJc w:val="right"/>
      <w:pPr>
        <w:ind w:left="1287" w:hanging="360"/>
      </w:pPr>
      <w:rPr>
        <w:rFonts w:hint="default"/>
        <w:b w:val="0"/>
        <w:bCs w:val="0"/>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3" w15:restartNumberingAfterBreak="0">
    <w:nsid w:val="670215FE"/>
    <w:multiLevelType w:val="hybridMultilevel"/>
    <w:tmpl w:val="EEDE55C4"/>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4" w15:restartNumberingAfterBreak="0">
    <w:nsid w:val="79A76029"/>
    <w:multiLevelType w:val="hybridMultilevel"/>
    <w:tmpl w:val="50E4A3F2"/>
    <w:lvl w:ilvl="0" w:tplc="039844B6">
      <w:start w:val="1"/>
      <w:numFmt w:val="lowerLetter"/>
      <w:lvlText w:val="(%1)"/>
      <w:lvlJc w:val="left"/>
      <w:pPr>
        <w:ind w:left="1287" w:hanging="360"/>
      </w:pPr>
      <w:rPr>
        <w:rFonts w:hint="default"/>
        <w:b w:val="0"/>
        <w:bCs w:val="0"/>
        <w:i w:val="0"/>
        <w:iCs w:val="0"/>
        <w:spacing w:val="0"/>
        <w:w w:val="99"/>
        <w:sz w:val="20"/>
        <w:szCs w:val="20"/>
        <w:lang w:val="en-US" w:eastAsia="en-US" w:bidi="ar-SA"/>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1696617775">
    <w:abstractNumId w:val="7"/>
  </w:num>
  <w:num w:numId="2" w16cid:durableId="735515046">
    <w:abstractNumId w:val="15"/>
  </w:num>
  <w:num w:numId="3" w16cid:durableId="1265502502">
    <w:abstractNumId w:val="19"/>
  </w:num>
  <w:num w:numId="4" w16cid:durableId="773019144">
    <w:abstractNumId w:val="11"/>
  </w:num>
  <w:num w:numId="5" w16cid:durableId="1737703338">
    <w:abstractNumId w:val="9"/>
  </w:num>
  <w:num w:numId="6" w16cid:durableId="133254632">
    <w:abstractNumId w:val="12"/>
  </w:num>
  <w:num w:numId="7" w16cid:durableId="922180977">
    <w:abstractNumId w:val="8"/>
  </w:num>
  <w:num w:numId="8" w16cid:durableId="1569998479">
    <w:abstractNumId w:val="14"/>
  </w:num>
  <w:num w:numId="9" w16cid:durableId="1331178629">
    <w:abstractNumId w:val="5"/>
  </w:num>
  <w:num w:numId="10" w16cid:durableId="1040862919">
    <w:abstractNumId w:val="20"/>
  </w:num>
  <w:num w:numId="11" w16cid:durableId="1203638559">
    <w:abstractNumId w:val="0"/>
  </w:num>
  <w:num w:numId="12" w16cid:durableId="1893736434">
    <w:abstractNumId w:val="13"/>
  </w:num>
  <w:num w:numId="13" w16cid:durableId="554436099">
    <w:abstractNumId w:val="17"/>
  </w:num>
  <w:num w:numId="14" w16cid:durableId="1149639240">
    <w:abstractNumId w:val="23"/>
  </w:num>
  <w:num w:numId="15" w16cid:durableId="1134327547">
    <w:abstractNumId w:val="24"/>
  </w:num>
  <w:num w:numId="16" w16cid:durableId="1938828355">
    <w:abstractNumId w:val="1"/>
  </w:num>
  <w:num w:numId="17" w16cid:durableId="1972440742">
    <w:abstractNumId w:val="4"/>
  </w:num>
  <w:num w:numId="18" w16cid:durableId="641496805">
    <w:abstractNumId w:val="2"/>
  </w:num>
  <w:num w:numId="19" w16cid:durableId="537200979">
    <w:abstractNumId w:val="22"/>
  </w:num>
  <w:num w:numId="20" w16cid:durableId="190530196">
    <w:abstractNumId w:val="18"/>
  </w:num>
  <w:num w:numId="21" w16cid:durableId="572081058">
    <w:abstractNumId w:val="21"/>
  </w:num>
  <w:num w:numId="22" w16cid:durableId="323752374">
    <w:abstractNumId w:val="6"/>
  </w:num>
  <w:num w:numId="23" w16cid:durableId="65760404">
    <w:abstractNumId w:val="10"/>
  </w:num>
  <w:num w:numId="24" w16cid:durableId="1829327300">
    <w:abstractNumId w:val="3"/>
  </w:num>
  <w:num w:numId="25" w16cid:durableId="2510094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9D"/>
    <w:rsid w:val="00021E3D"/>
    <w:rsid w:val="00034680"/>
    <w:rsid w:val="000434FC"/>
    <w:rsid w:val="00045EF4"/>
    <w:rsid w:val="00056FAF"/>
    <w:rsid w:val="000A2847"/>
    <w:rsid w:val="000C29E5"/>
    <w:rsid w:val="0016323E"/>
    <w:rsid w:val="00172532"/>
    <w:rsid w:val="001A114D"/>
    <w:rsid w:val="00210997"/>
    <w:rsid w:val="00237DEA"/>
    <w:rsid w:val="00265440"/>
    <w:rsid w:val="002C7120"/>
    <w:rsid w:val="002F014F"/>
    <w:rsid w:val="00340AA2"/>
    <w:rsid w:val="00356BEA"/>
    <w:rsid w:val="00386169"/>
    <w:rsid w:val="003916CE"/>
    <w:rsid w:val="003D1A37"/>
    <w:rsid w:val="00407D2F"/>
    <w:rsid w:val="00422A93"/>
    <w:rsid w:val="004356E9"/>
    <w:rsid w:val="00495B87"/>
    <w:rsid w:val="004D21FC"/>
    <w:rsid w:val="00552A2A"/>
    <w:rsid w:val="005968F3"/>
    <w:rsid w:val="005C5A6E"/>
    <w:rsid w:val="00601882"/>
    <w:rsid w:val="0060233F"/>
    <w:rsid w:val="00607A00"/>
    <w:rsid w:val="00614F2C"/>
    <w:rsid w:val="00622C66"/>
    <w:rsid w:val="00640C27"/>
    <w:rsid w:val="006510ED"/>
    <w:rsid w:val="00657C5F"/>
    <w:rsid w:val="00664D9B"/>
    <w:rsid w:val="006B4338"/>
    <w:rsid w:val="006C0C86"/>
    <w:rsid w:val="006F2FFF"/>
    <w:rsid w:val="00715B3E"/>
    <w:rsid w:val="00767C53"/>
    <w:rsid w:val="00772CC7"/>
    <w:rsid w:val="007A1F9D"/>
    <w:rsid w:val="007A72A3"/>
    <w:rsid w:val="007C19BB"/>
    <w:rsid w:val="007C4D57"/>
    <w:rsid w:val="007F51B3"/>
    <w:rsid w:val="00811F2C"/>
    <w:rsid w:val="00821EDA"/>
    <w:rsid w:val="0082231D"/>
    <w:rsid w:val="00857BB7"/>
    <w:rsid w:val="00857F10"/>
    <w:rsid w:val="00870833"/>
    <w:rsid w:val="008817C7"/>
    <w:rsid w:val="00891045"/>
    <w:rsid w:val="0089118F"/>
    <w:rsid w:val="008E2686"/>
    <w:rsid w:val="008F51DF"/>
    <w:rsid w:val="00961CB8"/>
    <w:rsid w:val="00963F15"/>
    <w:rsid w:val="00975A49"/>
    <w:rsid w:val="00990B7B"/>
    <w:rsid w:val="009C18F9"/>
    <w:rsid w:val="009D6339"/>
    <w:rsid w:val="009E179C"/>
    <w:rsid w:val="00A0293F"/>
    <w:rsid w:val="00A3551A"/>
    <w:rsid w:val="00A61DBC"/>
    <w:rsid w:val="00A940AC"/>
    <w:rsid w:val="00AC0A0F"/>
    <w:rsid w:val="00AC72DF"/>
    <w:rsid w:val="00AF56D0"/>
    <w:rsid w:val="00B05FFB"/>
    <w:rsid w:val="00B22C14"/>
    <w:rsid w:val="00B82BFB"/>
    <w:rsid w:val="00BC349D"/>
    <w:rsid w:val="00BD4C07"/>
    <w:rsid w:val="00BE51D7"/>
    <w:rsid w:val="00C143A2"/>
    <w:rsid w:val="00C3660C"/>
    <w:rsid w:val="00C72956"/>
    <w:rsid w:val="00C9666D"/>
    <w:rsid w:val="00CE35E3"/>
    <w:rsid w:val="00D07292"/>
    <w:rsid w:val="00D34AE1"/>
    <w:rsid w:val="00D815B7"/>
    <w:rsid w:val="00D953A0"/>
    <w:rsid w:val="00DB2437"/>
    <w:rsid w:val="00DE48EB"/>
    <w:rsid w:val="00E02E02"/>
    <w:rsid w:val="00E43AAE"/>
    <w:rsid w:val="00E80CC2"/>
    <w:rsid w:val="00E9185A"/>
    <w:rsid w:val="00EF717B"/>
    <w:rsid w:val="00F054FE"/>
    <w:rsid w:val="00F528CF"/>
    <w:rsid w:val="00F53450"/>
    <w:rsid w:val="00F71A44"/>
    <w:rsid w:val="00F7556C"/>
    <w:rsid w:val="00F75F53"/>
    <w:rsid w:val="00F86EAD"/>
    <w:rsid w:val="00F919CF"/>
    <w:rsid w:val="00FF377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53D66"/>
  <w15:chartTrackingRefBased/>
  <w15:docId w15:val="{E44405F2-958D-4603-81D8-6EA8B16B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hu-H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3660C"/>
    <w:rPr>
      <w:rFonts w:ascii="Arial" w:hAnsi="Arial"/>
      <w:sz w:val="20"/>
    </w:rPr>
  </w:style>
  <w:style w:type="paragraph" w:styleId="1">
    <w:name w:val="heading 1"/>
    <w:basedOn w:val="a0"/>
    <w:next w:val="a0"/>
    <w:link w:val="1Char"/>
    <w:qFormat/>
    <w:rsid w:val="00811F2C"/>
    <w:pPr>
      <w:keepNext/>
      <w:keepLines/>
      <w:spacing w:before="360" w:after="240"/>
      <w:outlineLvl w:val="0"/>
    </w:pPr>
    <w:rPr>
      <w:rFonts w:ascii="Georgia Pro" w:eastAsiaTheme="majorEastAsia" w:hAnsi="Georgia Pro" w:cstheme="majorBidi"/>
      <w:color w:val="3A1300"/>
      <w:sz w:val="36"/>
      <w:szCs w:val="32"/>
    </w:rPr>
  </w:style>
  <w:style w:type="paragraph" w:styleId="2">
    <w:name w:val="heading 2"/>
    <w:basedOn w:val="1"/>
    <w:next w:val="a0"/>
    <w:link w:val="2Char"/>
    <w:uiPriority w:val="9"/>
    <w:unhideWhenUsed/>
    <w:qFormat/>
    <w:rsid w:val="0060233F"/>
    <w:pPr>
      <w:spacing w:before="40"/>
      <w:outlineLvl w:val="1"/>
    </w:pPr>
    <w:rPr>
      <w:rFonts w:ascii="Arial" w:hAnsi="Arial"/>
      <w:b/>
      <w:sz w:val="24"/>
      <w:szCs w:val="26"/>
    </w:rPr>
  </w:style>
  <w:style w:type="paragraph" w:styleId="3">
    <w:name w:val="heading 3"/>
    <w:basedOn w:val="2"/>
    <w:next w:val="a0"/>
    <w:link w:val="3Char"/>
    <w:uiPriority w:val="9"/>
    <w:unhideWhenUsed/>
    <w:qFormat/>
    <w:rsid w:val="0060233F"/>
    <w:pPr>
      <w:spacing w:before="0" w:after="12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89118F"/>
    <w:pPr>
      <w:tabs>
        <w:tab w:val="center" w:pos="4513"/>
        <w:tab w:val="right" w:pos="9026"/>
      </w:tabs>
    </w:pPr>
  </w:style>
  <w:style w:type="character" w:customStyle="1" w:styleId="Char">
    <w:name w:val="Κεφαλίδα Char"/>
    <w:basedOn w:val="a1"/>
    <w:link w:val="a4"/>
    <w:uiPriority w:val="99"/>
    <w:rsid w:val="0089118F"/>
  </w:style>
  <w:style w:type="paragraph" w:styleId="a5">
    <w:name w:val="footer"/>
    <w:basedOn w:val="a0"/>
    <w:link w:val="Char0"/>
    <w:uiPriority w:val="99"/>
    <w:unhideWhenUsed/>
    <w:rsid w:val="0089118F"/>
    <w:pPr>
      <w:tabs>
        <w:tab w:val="center" w:pos="4513"/>
        <w:tab w:val="right" w:pos="9026"/>
      </w:tabs>
    </w:pPr>
  </w:style>
  <w:style w:type="character" w:customStyle="1" w:styleId="Char0">
    <w:name w:val="Υποσέλιδο Char"/>
    <w:basedOn w:val="a1"/>
    <w:link w:val="a5"/>
    <w:uiPriority w:val="99"/>
    <w:rsid w:val="0089118F"/>
  </w:style>
  <w:style w:type="paragraph" w:styleId="a6">
    <w:name w:val="No Spacing"/>
    <w:basedOn w:val="a0"/>
    <w:uiPriority w:val="1"/>
    <w:qFormat/>
    <w:rsid w:val="0089118F"/>
  </w:style>
  <w:style w:type="paragraph" w:customStyle="1" w:styleId="BasicParagraph">
    <w:name w:val="[Basic Paragraph]"/>
    <w:basedOn w:val="a0"/>
    <w:uiPriority w:val="99"/>
    <w:rsid w:val="0089118F"/>
    <w:pPr>
      <w:autoSpaceDE w:val="0"/>
      <w:autoSpaceDN w:val="0"/>
      <w:adjustRightInd w:val="0"/>
      <w:spacing w:line="288" w:lineRule="auto"/>
      <w:textAlignment w:val="center"/>
    </w:pPr>
    <w:rPr>
      <w:rFonts w:ascii="Times" w:hAnsi="Times" w:cs="Times"/>
      <w:color w:val="000000"/>
      <w:kern w:val="0"/>
    </w:rPr>
  </w:style>
  <w:style w:type="character" w:customStyle="1" w:styleId="1Char">
    <w:name w:val="Επικεφαλίδα 1 Char"/>
    <w:basedOn w:val="a1"/>
    <w:link w:val="1"/>
    <w:rsid w:val="00811F2C"/>
    <w:rPr>
      <w:rFonts w:ascii="Georgia Pro" w:eastAsiaTheme="majorEastAsia" w:hAnsi="Georgia Pro" w:cstheme="majorBidi"/>
      <w:color w:val="3A1300"/>
      <w:sz w:val="36"/>
      <w:szCs w:val="32"/>
    </w:rPr>
  </w:style>
  <w:style w:type="character" w:customStyle="1" w:styleId="2Char">
    <w:name w:val="Επικεφαλίδα 2 Char"/>
    <w:basedOn w:val="a1"/>
    <w:link w:val="2"/>
    <w:uiPriority w:val="9"/>
    <w:rsid w:val="0060233F"/>
    <w:rPr>
      <w:rFonts w:ascii="Arial" w:eastAsiaTheme="majorEastAsia" w:hAnsi="Arial" w:cstheme="majorBidi"/>
      <w:b/>
      <w:color w:val="3A1300"/>
      <w:szCs w:val="26"/>
    </w:rPr>
  </w:style>
  <w:style w:type="paragraph" w:styleId="a7">
    <w:name w:val="Title"/>
    <w:basedOn w:val="a0"/>
    <w:next w:val="a0"/>
    <w:link w:val="Char1"/>
    <w:uiPriority w:val="10"/>
    <w:qFormat/>
    <w:rsid w:val="00767C53"/>
    <w:pPr>
      <w:contextualSpacing/>
    </w:pPr>
    <w:rPr>
      <w:rFonts w:ascii="Georgia Pro Light" w:eastAsiaTheme="majorEastAsia" w:hAnsi="Georgia Pro Light" w:cstheme="majorBidi"/>
      <w:color w:val="FFFFFF" w:themeColor="background1"/>
      <w:spacing w:val="-10"/>
      <w:kern w:val="28"/>
      <w:sz w:val="72"/>
      <w:szCs w:val="56"/>
    </w:rPr>
  </w:style>
  <w:style w:type="character" w:customStyle="1" w:styleId="Char1">
    <w:name w:val="Τίτλος Char"/>
    <w:basedOn w:val="a1"/>
    <w:link w:val="a7"/>
    <w:uiPriority w:val="10"/>
    <w:rsid w:val="00767C53"/>
    <w:rPr>
      <w:rFonts w:ascii="Georgia Pro Light" w:eastAsiaTheme="majorEastAsia" w:hAnsi="Georgia Pro Light" w:cstheme="majorBidi"/>
      <w:color w:val="FFFFFF" w:themeColor="background1"/>
      <w:spacing w:val="-10"/>
      <w:kern w:val="28"/>
      <w:sz w:val="72"/>
      <w:szCs w:val="56"/>
    </w:rPr>
  </w:style>
  <w:style w:type="paragraph" w:styleId="a8">
    <w:name w:val="Subtitle"/>
    <w:basedOn w:val="a7"/>
    <w:next w:val="a0"/>
    <w:link w:val="Char2"/>
    <w:uiPriority w:val="11"/>
    <w:qFormat/>
    <w:rsid w:val="00601882"/>
    <w:pPr>
      <w:numPr>
        <w:ilvl w:val="1"/>
      </w:numPr>
      <w:spacing w:after="160"/>
    </w:pPr>
    <w:rPr>
      <w:rFonts w:ascii="Georgia Pro" w:hAnsi="Georgia Pro"/>
      <w:color w:val="BA7A57"/>
      <w:spacing w:val="15"/>
      <w:szCs w:val="22"/>
    </w:rPr>
  </w:style>
  <w:style w:type="character" w:customStyle="1" w:styleId="Char2">
    <w:name w:val="Υπότιτλος Char"/>
    <w:basedOn w:val="a1"/>
    <w:link w:val="a8"/>
    <w:uiPriority w:val="11"/>
    <w:rsid w:val="00601882"/>
    <w:rPr>
      <w:rFonts w:ascii="Georgia Pro" w:eastAsiaTheme="majorEastAsia" w:hAnsi="Georgia Pro" w:cstheme="majorBidi"/>
      <w:color w:val="BA7A57"/>
      <w:spacing w:val="15"/>
      <w:kern w:val="28"/>
      <w:sz w:val="72"/>
      <w:szCs w:val="22"/>
    </w:rPr>
  </w:style>
  <w:style w:type="paragraph" w:styleId="a">
    <w:name w:val="List Paragraph"/>
    <w:basedOn w:val="a0"/>
    <w:uiPriority w:val="34"/>
    <w:qFormat/>
    <w:rsid w:val="00B05FFB"/>
    <w:pPr>
      <w:numPr>
        <w:numId w:val="1"/>
      </w:numPr>
      <w:ind w:left="284" w:hanging="284"/>
      <w:contextualSpacing/>
    </w:pPr>
  </w:style>
  <w:style w:type="paragraph" w:styleId="a9">
    <w:name w:val="TOC Heading"/>
    <w:basedOn w:val="1"/>
    <w:next w:val="a0"/>
    <w:uiPriority w:val="39"/>
    <w:unhideWhenUsed/>
    <w:qFormat/>
    <w:rsid w:val="00811F2C"/>
    <w:pPr>
      <w:spacing w:before="480" w:line="276" w:lineRule="auto"/>
      <w:outlineLvl w:val="9"/>
    </w:pPr>
    <w:rPr>
      <w:bCs/>
      <w:kern w:val="0"/>
      <w:szCs w:val="28"/>
      <w:lang w:eastAsia="en-US"/>
      <w14:ligatures w14:val="none"/>
    </w:rPr>
  </w:style>
  <w:style w:type="paragraph" w:styleId="10">
    <w:name w:val="toc 1"/>
    <w:basedOn w:val="a0"/>
    <w:next w:val="a0"/>
    <w:autoRedefine/>
    <w:uiPriority w:val="39"/>
    <w:unhideWhenUsed/>
    <w:rsid w:val="00340AA2"/>
    <w:pPr>
      <w:tabs>
        <w:tab w:val="right" w:pos="8828"/>
      </w:tabs>
      <w:spacing w:before="360" w:after="240"/>
    </w:pPr>
    <w:rPr>
      <w:rFonts w:cstheme="minorHAnsi"/>
      <w:b/>
      <w:bCs/>
      <w:szCs w:val="20"/>
    </w:rPr>
  </w:style>
  <w:style w:type="paragraph" w:styleId="20">
    <w:name w:val="toc 2"/>
    <w:basedOn w:val="a0"/>
    <w:next w:val="a0"/>
    <w:autoRedefine/>
    <w:uiPriority w:val="39"/>
    <w:unhideWhenUsed/>
    <w:rsid w:val="00E43AAE"/>
    <w:pPr>
      <w:tabs>
        <w:tab w:val="left" w:pos="600"/>
        <w:tab w:val="right" w:pos="8828"/>
      </w:tabs>
      <w:spacing w:before="240" w:after="240"/>
    </w:pPr>
    <w:rPr>
      <w:rFonts w:ascii="Georgia Pro" w:hAnsi="Georgia Pro" w:cstheme="minorHAnsi"/>
      <w:b/>
      <w:bCs/>
      <w:iCs/>
      <w:noProof/>
      <w:szCs w:val="20"/>
      <w:lang w:eastAsia="en-IE"/>
    </w:rPr>
  </w:style>
  <w:style w:type="paragraph" w:styleId="30">
    <w:name w:val="toc 3"/>
    <w:basedOn w:val="a0"/>
    <w:next w:val="a0"/>
    <w:autoRedefine/>
    <w:uiPriority w:val="39"/>
    <w:unhideWhenUsed/>
    <w:rsid w:val="00E43AAE"/>
    <w:pPr>
      <w:tabs>
        <w:tab w:val="left" w:pos="600"/>
        <w:tab w:val="right" w:pos="8828"/>
      </w:tabs>
      <w:spacing w:after="240"/>
    </w:pPr>
    <w:rPr>
      <w:rFonts w:cstheme="minorHAnsi"/>
      <w:szCs w:val="20"/>
    </w:rPr>
  </w:style>
  <w:style w:type="paragraph" w:styleId="4">
    <w:name w:val="toc 4"/>
    <w:basedOn w:val="a0"/>
    <w:next w:val="a0"/>
    <w:autoRedefine/>
    <w:uiPriority w:val="39"/>
    <w:semiHidden/>
    <w:unhideWhenUsed/>
    <w:rsid w:val="007C19BB"/>
    <w:pPr>
      <w:ind w:left="600"/>
    </w:pPr>
    <w:rPr>
      <w:rFonts w:asciiTheme="minorHAnsi" w:hAnsiTheme="minorHAnsi" w:cstheme="minorHAnsi"/>
      <w:szCs w:val="20"/>
    </w:rPr>
  </w:style>
  <w:style w:type="paragraph" w:styleId="5">
    <w:name w:val="toc 5"/>
    <w:basedOn w:val="a0"/>
    <w:next w:val="a0"/>
    <w:autoRedefine/>
    <w:uiPriority w:val="39"/>
    <w:semiHidden/>
    <w:unhideWhenUsed/>
    <w:rsid w:val="007C19BB"/>
    <w:pPr>
      <w:ind w:left="800"/>
    </w:pPr>
    <w:rPr>
      <w:rFonts w:asciiTheme="minorHAnsi" w:hAnsiTheme="minorHAnsi" w:cstheme="minorHAnsi"/>
      <w:szCs w:val="20"/>
    </w:rPr>
  </w:style>
  <w:style w:type="paragraph" w:styleId="6">
    <w:name w:val="toc 6"/>
    <w:basedOn w:val="a0"/>
    <w:next w:val="a0"/>
    <w:autoRedefine/>
    <w:uiPriority w:val="39"/>
    <w:semiHidden/>
    <w:unhideWhenUsed/>
    <w:rsid w:val="007C19BB"/>
    <w:pPr>
      <w:ind w:left="1000"/>
    </w:pPr>
    <w:rPr>
      <w:rFonts w:asciiTheme="minorHAnsi" w:hAnsiTheme="minorHAnsi" w:cstheme="minorHAnsi"/>
      <w:szCs w:val="20"/>
    </w:rPr>
  </w:style>
  <w:style w:type="paragraph" w:styleId="7">
    <w:name w:val="toc 7"/>
    <w:basedOn w:val="a0"/>
    <w:next w:val="a0"/>
    <w:autoRedefine/>
    <w:uiPriority w:val="39"/>
    <w:semiHidden/>
    <w:unhideWhenUsed/>
    <w:rsid w:val="007C19BB"/>
    <w:pPr>
      <w:ind w:left="1200"/>
    </w:pPr>
    <w:rPr>
      <w:rFonts w:asciiTheme="minorHAnsi" w:hAnsiTheme="minorHAnsi" w:cstheme="minorHAnsi"/>
      <w:szCs w:val="20"/>
    </w:rPr>
  </w:style>
  <w:style w:type="paragraph" w:styleId="8">
    <w:name w:val="toc 8"/>
    <w:basedOn w:val="a0"/>
    <w:next w:val="a0"/>
    <w:autoRedefine/>
    <w:uiPriority w:val="39"/>
    <w:semiHidden/>
    <w:unhideWhenUsed/>
    <w:rsid w:val="007C19BB"/>
    <w:pPr>
      <w:ind w:left="1400"/>
    </w:pPr>
    <w:rPr>
      <w:rFonts w:asciiTheme="minorHAnsi" w:hAnsiTheme="minorHAnsi" w:cstheme="minorHAnsi"/>
      <w:szCs w:val="20"/>
    </w:rPr>
  </w:style>
  <w:style w:type="paragraph" w:styleId="9">
    <w:name w:val="toc 9"/>
    <w:basedOn w:val="a0"/>
    <w:next w:val="a0"/>
    <w:autoRedefine/>
    <w:uiPriority w:val="39"/>
    <w:semiHidden/>
    <w:unhideWhenUsed/>
    <w:rsid w:val="007C19BB"/>
    <w:pPr>
      <w:ind w:left="1600"/>
    </w:pPr>
    <w:rPr>
      <w:rFonts w:asciiTheme="minorHAnsi" w:hAnsiTheme="minorHAnsi" w:cstheme="minorHAnsi"/>
      <w:szCs w:val="20"/>
    </w:rPr>
  </w:style>
  <w:style w:type="character" w:styleId="-">
    <w:name w:val="Hyperlink"/>
    <w:basedOn w:val="a1"/>
    <w:uiPriority w:val="99"/>
    <w:unhideWhenUsed/>
    <w:rsid w:val="00811F2C"/>
    <w:rPr>
      <w:color w:val="0563C1" w:themeColor="hyperlink"/>
      <w:u w:val="single"/>
    </w:rPr>
  </w:style>
  <w:style w:type="paragraph" w:customStyle="1" w:styleId="Introduction">
    <w:name w:val="Introduction"/>
    <w:basedOn w:val="a0"/>
    <w:qFormat/>
    <w:rsid w:val="009E179C"/>
    <w:rPr>
      <w:color w:val="3A1300"/>
      <w:sz w:val="28"/>
      <w:szCs w:val="28"/>
    </w:rPr>
  </w:style>
  <w:style w:type="character" w:customStyle="1" w:styleId="3Char">
    <w:name w:val="Επικεφαλίδα 3 Char"/>
    <w:basedOn w:val="a1"/>
    <w:link w:val="3"/>
    <w:uiPriority w:val="9"/>
    <w:rsid w:val="0060233F"/>
    <w:rPr>
      <w:rFonts w:ascii="Arial" w:eastAsiaTheme="majorEastAsia" w:hAnsi="Arial" w:cstheme="majorBidi"/>
      <w:b/>
      <w:color w:val="3A1300"/>
      <w:szCs w:val="26"/>
    </w:rPr>
  </w:style>
  <w:style w:type="character" w:styleId="aa">
    <w:name w:val="page number"/>
    <w:basedOn w:val="a1"/>
    <w:uiPriority w:val="99"/>
    <w:semiHidden/>
    <w:unhideWhenUsed/>
    <w:rsid w:val="00340AA2"/>
  </w:style>
  <w:style w:type="character" w:styleId="ab">
    <w:name w:val="footnote reference"/>
    <w:uiPriority w:val="99"/>
    <w:unhideWhenUsed/>
    <w:rsid w:val="00664D9B"/>
    <w:rPr>
      <w:rFonts w:ascii="Arial" w:hAnsi="Arial"/>
      <w:sz w:val="20"/>
      <w:vertAlign w:val="superscript"/>
    </w:rPr>
  </w:style>
  <w:style w:type="paragraph" w:styleId="ac">
    <w:name w:val="footnote text"/>
    <w:aliases w:val="fn"/>
    <w:basedOn w:val="a0"/>
    <w:link w:val="Char3"/>
    <w:uiPriority w:val="99"/>
    <w:unhideWhenUsed/>
    <w:qFormat/>
    <w:rsid w:val="00664D9B"/>
    <w:rPr>
      <w:szCs w:val="20"/>
    </w:rPr>
  </w:style>
  <w:style w:type="character" w:customStyle="1" w:styleId="Char3">
    <w:name w:val="Κείμενο υποσημείωσης Char"/>
    <w:aliases w:val="fn Char"/>
    <w:basedOn w:val="a1"/>
    <w:link w:val="ac"/>
    <w:uiPriority w:val="99"/>
    <w:rsid w:val="00664D9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usersupport@cnam.ie" TargetMode="External"/><Relationship Id="rId2" Type="http://schemas.openxmlformats.org/officeDocument/2006/relationships/customXml" Target="../customXml/item2.xml"/><Relationship Id="rId16" Type="http://schemas.openxmlformats.org/officeDocument/2006/relationships/hyperlink" Target="http://www.cnam.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f36453-e2cd-4d64-942e-7a2b6a84fd09">
      <UserInfo>
        <DisplayName>Declan McLoughlin</DisplayName>
        <AccountId>38</AccountId>
        <AccountType/>
      </UserInfo>
      <UserInfo>
        <DisplayName>Robert Crowley</DisplayName>
        <AccountId>13608</AccountId>
        <AccountType/>
      </UserInfo>
    </SharedWithUsers>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9" ma:contentTypeDescription="Create a new document." ma:contentTypeScope="" ma:versionID="6624ec33e39870989899003c5a960dc9">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aa7a8d5b061004b25ffc330d7642cc70"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80E3C-A93E-4F9C-B242-C60246E4E01D}">
  <ds:schemaRefs>
    <ds:schemaRef ds:uri="http://schemas.microsoft.com/office/2006/metadata/properties"/>
    <ds:schemaRef ds:uri="http://schemas.microsoft.com/office/infopath/2007/PartnerControls"/>
    <ds:schemaRef ds:uri="48f36453-e2cd-4d64-942e-7a2b6a84fd09"/>
    <ds:schemaRef ds:uri="352e5c34-a945-474f-be28-b8d918ca2f88"/>
  </ds:schemaRefs>
</ds:datastoreItem>
</file>

<file path=customXml/itemProps2.xml><?xml version="1.0" encoding="utf-8"?>
<ds:datastoreItem xmlns:ds="http://schemas.openxmlformats.org/officeDocument/2006/customXml" ds:itemID="{5CE8856E-2EA9-41BE-86A2-852AE70B1FEE}">
  <ds:schemaRefs>
    <ds:schemaRef ds:uri="http://schemas.microsoft.com/sharepoint/v3/contenttype/forms"/>
  </ds:schemaRefs>
</ds:datastoreItem>
</file>

<file path=customXml/itemProps3.xml><?xml version="1.0" encoding="utf-8"?>
<ds:datastoreItem xmlns:ds="http://schemas.openxmlformats.org/officeDocument/2006/customXml" ds:itemID="{7D99A453-F551-4031-8AEB-83A3EA095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6025</Words>
  <Characters>32537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McLoughlin</dc:creator>
  <cp:keywords/>
  <dc:description/>
  <cp:lastModifiedBy>Rena Tsintzira</cp:lastModifiedBy>
  <cp:revision>12</cp:revision>
  <cp:lastPrinted>2024-07-05T09:30:00Z</cp:lastPrinted>
  <dcterms:created xsi:type="dcterms:W3CDTF">2024-07-02T16:36:00Z</dcterms:created>
  <dcterms:modified xsi:type="dcterms:W3CDTF">2024-07-25T13:38:00Z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ies>
</file>