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74EDAEFB" w:rsidR="00707565" w:rsidRPr="00C66449" w:rsidRDefault="00707565" w:rsidP="00D92212">
      <w:pPr>
        <w:ind w:left="6387" w:right="49" w:hanging="378"/>
        <w:jc w:val="center"/>
        <w:rPr>
          <w:b/>
          <w:szCs w:val="24"/>
          <w:lang w:val="el-GR"/>
        </w:rPr>
      </w:pPr>
      <w:r>
        <w:rPr>
          <w:b/>
        </w:rPr>
        <w:t>Udkast</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LOV</w:t>
      </w:r>
    </w:p>
    <w:p w14:paraId="0740D84F" w14:textId="5A84A9FA" w:rsidR="00DE3FCE" w:rsidRPr="00C04037" w:rsidRDefault="00DE3FCE" w:rsidP="00DE3FCE">
      <w:pPr>
        <w:jc w:val="center"/>
        <w:rPr>
          <w:b/>
          <w:caps/>
        </w:rPr>
      </w:pPr>
      <w:r>
        <w:rPr>
          <w:b/>
          <w:caps/>
        </w:rPr>
        <w:t>OM ÆNDRING AF ARTIKEL 2 OG 20</w:t>
      </w:r>
      <w:r>
        <w:rPr>
          <w:b/>
          <w:caps/>
          <w:vertAlign w:val="superscript"/>
        </w:rPr>
        <w:t>7</w:t>
      </w:r>
      <w:r>
        <w:rPr>
          <w:b/>
          <w:caps/>
        </w:rPr>
        <w:t xml:space="preserve"> I REPUBLIKKEN LITAUENS LOV OM SPIL</w:t>
      </w:r>
    </w:p>
    <w:p w14:paraId="5A20FC9E" w14:textId="43E302BE" w:rsidR="00F57874" w:rsidRPr="00C04037" w:rsidRDefault="00DE3FCE" w:rsidP="00DE3FCE">
      <w:pPr>
        <w:jc w:val="center"/>
        <w:rPr>
          <w:b/>
          <w:caps/>
        </w:rPr>
      </w:pPr>
      <w:r>
        <w:rPr>
          <w:b/>
          <w:caps/>
        </w:rPr>
        <w:t xml:space="preserve">NR. IX-325 </w:t>
      </w:r>
    </w:p>
    <w:p w14:paraId="6FB2CCE1" w14:textId="77777777" w:rsidR="007A525D" w:rsidRDefault="007A525D">
      <w:pPr>
        <w:jc w:val="center"/>
        <w:rPr>
          <w:szCs w:val="24"/>
        </w:rPr>
      </w:pPr>
    </w:p>
    <w:p w14:paraId="08D1F4BF" w14:textId="072351C3" w:rsidR="00F57874" w:rsidRPr="00F12EAF" w:rsidRDefault="00C66449">
      <w:pPr>
        <w:jc w:val="center"/>
        <w:rPr>
          <w:szCs w:val="24"/>
        </w:rPr>
      </w:pPr>
      <w:r>
        <w:t>Nr.      af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Artikel 1. Ændring af artikel 2</w:t>
      </w:r>
    </w:p>
    <w:p w14:paraId="56191B23" w14:textId="193C5573" w:rsidR="008074DB" w:rsidRDefault="008074DB" w:rsidP="00831EBE">
      <w:pPr>
        <w:ind w:firstLine="720"/>
        <w:jc w:val="both"/>
        <w:rPr>
          <w:szCs w:val="24"/>
        </w:rPr>
      </w:pPr>
      <w:r>
        <w:t>Artikel 2, stk. 31, ændres som følger:</w:t>
      </w:r>
    </w:p>
    <w:p w14:paraId="2BD267D2" w14:textId="7978C855" w:rsidR="003D1173" w:rsidRDefault="003D1173" w:rsidP="00831EBE">
      <w:pPr>
        <w:ind w:firstLine="720"/>
        <w:jc w:val="both"/>
        <w:rPr>
          <w:color w:val="000000"/>
        </w:rPr>
      </w:pPr>
      <w:r>
        <w:t>"</w:t>
      </w:r>
      <w:r>
        <w:rPr>
          <w:color w:val="000000"/>
        </w:rPr>
        <w:t>31. Udtrykket "kontrollerende person", der anvendes i denne lov, skal forstås som udtrykket "modtager" som defineret i Republikken Litauens lov om forebyggelse af hvidvaskning af penge og finansiering af terrorisme. Andre udtryk, der anvendes i denne lov, skal forstås som defineret i lov om forebyggelse af hvidvaskning af penge og finansiering af terrorisme, Republikken Litauens lov om finansielle regnskaber og Republikken Litauens lov om betalinger."</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Artikel 2. Ændring af artikel 20</w:t>
      </w:r>
      <w:r>
        <w:rPr>
          <w:b/>
          <w:vertAlign w:val="superscript"/>
        </w:rPr>
        <w:t>7</w:t>
      </w:r>
    </w:p>
    <w:p w14:paraId="03C9EC55" w14:textId="7E9093D8" w:rsidR="00241196" w:rsidRPr="00AE66B1" w:rsidRDefault="00241196" w:rsidP="00AE66B1">
      <w:pPr>
        <w:ind w:firstLine="720"/>
        <w:jc w:val="both"/>
        <w:rPr>
          <w:color w:val="000000"/>
          <w:szCs w:val="24"/>
        </w:rPr>
      </w:pPr>
      <w:r>
        <w:t>Artikel 20</w:t>
      </w:r>
      <w:r>
        <w:rPr>
          <w:vertAlign w:val="superscript"/>
        </w:rPr>
        <w:t>7</w:t>
      </w:r>
      <w:r>
        <w:t xml:space="preserve"> ændres og får følgende ordlyd:</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Artikel 20</w:t>
      </w:r>
      <w:r>
        <w:rPr>
          <w:b/>
          <w:color w:val="000000"/>
          <w:vertAlign w:val="superscript"/>
        </w:rPr>
        <w:t>7</w:t>
      </w:r>
      <w:r>
        <w:rPr>
          <w:b/>
          <w:color w:val="000000"/>
        </w:rPr>
        <w:t xml:space="preserve">. </w:t>
      </w:r>
      <w:r>
        <w:rPr>
          <w:b/>
        </w:rPr>
        <w:t>Foranstaltninger til bekæmpelse af ulovlige fjernspiludbydere og procedurer for betaling for deltagelse i fjernspil</w:t>
      </w:r>
    </w:p>
    <w:p w14:paraId="422F135F" w14:textId="6B476C79" w:rsidR="003712E3" w:rsidRPr="00D92212" w:rsidRDefault="003712E3" w:rsidP="003712E3">
      <w:pPr>
        <w:ind w:firstLine="720"/>
        <w:jc w:val="both"/>
        <w:rPr>
          <w:bCs/>
          <w:color w:val="000000"/>
          <w:szCs w:val="24"/>
        </w:rPr>
      </w:pPr>
      <w:r>
        <w:rPr>
          <w:color w:val="000000"/>
        </w:rPr>
        <w:t>1. Efter at have foretaget en undersøgelse og konstateret, at en ulovlig spiludbyder organiserer fjernspil i Republikken Litauen, udsteder den litauiske spilkontrolmyndighed en eller begge de obligatoriske instrukser:</w:t>
      </w:r>
    </w:p>
    <w:p w14:paraId="604E9F0D" w14:textId="1A72885B" w:rsidR="003712E3" w:rsidRPr="00D92212" w:rsidRDefault="00F537F9" w:rsidP="003712E3">
      <w:pPr>
        <w:ind w:firstLine="720"/>
        <w:jc w:val="both"/>
        <w:rPr>
          <w:bCs/>
          <w:color w:val="000000"/>
          <w:szCs w:val="24"/>
        </w:rPr>
      </w:pPr>
      <w:r>
        <w:rPr>
          <w:color w:val="000000"/>
        </w:rPr>
        <w:t>1) at betalingstjenesteudbyderen indstiller betalinger eller andre finansielle transaktioner vedrørende en enhed, der er involveret i ulovlige fjernspilaktiviteter i Republikken Litauen, herunder betalinger for deltagelse i fjernspil, der organiseres af ulovlige spiludbydere, udbetaling af gevinster og accept af indsatser til fordel for den enhed, der organiserer ulovlige spil</w:t>
      </w:r>
    </w:p>
    <w:p w14:paraId="7077647A" w14:textId="1429E83D" w:rsidR="003712E3" w:rsidRPr="00D92212" w:rsidRDefault="00F537F9" w:rsidP="00433BA1">
      <w:pPr>
        <w:ind w:firstLine="720"/>
        <w:jc w:val="both"/>
        <w:rPr>
          <w:bCs/>
          <w:color w:val="000000"/>
          <w:szCs w:val="24"/>
        </w:rPr>
      </w:pPr>
      <w:r>
        <w:rPr>
          <w:color w:val="000000"/>
        </w:rPr>
        <w:t>2) i overensstemmelse med proceduren i artikel 98 i Republikken Litauens lov om elektronisk kommunikation at fjerne oplysninger, der anvendes til ulovlig drift af fjernspil, eller at fjerne adgangen til disse oplysninger.</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Kontrolmyndigheden skal med henblik på at udstede et påbud som omhandlet i denne artikels stk. 1, nr. 1, senest tre arbejdsdage efter opdagelsen af den ulovlige fjernspilleaktivitet</w:t>
      </w:r>
      <w:r>
        <w:t xml:space="preserve"> </w:t>
      </w:r>
      <w:r>
        <w:rPr>
          <w:color w:val="000000"/>
        </w:rPr>
        <w:t>indgive en ansøgning om tilladelse til at foretage en handling ved forvaltningsdomstolen i første instans. En ansøgning om tilladelse til at foretage en handling skal indeholde navnet på den person, der påstås at have begået overtrædelsen, arten af de påståede overtrædelser og den påtænkte handling. Forvaltningsdomstolen i første instans behandler ansøgningen om tilladelse til at foretage en handling og træffer en begrundet afgørelse om imødekommelse eller afvisning af ansøgningen om tilladelse til at foretage en handling. Ansøgningen om tilladelse til at foretage en handling skal behandles, og der skal træffes en afgørelse senest tre dage efter indgivelsen af ansøgningen om tilladelse til at foretage en handling. Hvis kontrolmyndigheden ikke er enig i afgørelsen fra forvaltningsdomstolen i første instans om afslag på en ansøgning om tilladelse til at foretage en handling, har den ret til at indbringe afgørelsen for Litauens øverste forvaltningsdomstol senest syv dage efter en sådan afgørelse. Litauens øverste forvaltningsdomstol skal behandle klagen over afgørelsen fra forvaltningsdomstolen i første instans om afslag på ansøgningen om tilladelse til at foretage en handling senest syv dage efter modtagelsen af kontrolmyndighedens klage. Repræsentanten for kontrolmyndigheden har ret til at være til stede, når klagen behandles under en mundtlig procedure. En afgørelse truffet af Litauens øverste forvaltningsdomstol er endelig og kan ikke appelleres. Domstolene skal, når de behandler anmodninger og appeller vedrørende udstedelsen af den pågældende tilladelse til at foretage en handling, sikre fortroligheden af de modtagne oplysninger og den påtænkte handling.</w:t>
      </w:r>
    </w:p>
    <w:p w14:paraId="2527BBD0" w14:textId="309CBEA9" w:rsidR="003712E3" w:rsidRDefault="003712E3" w:rsidP="003712E3">
      <w:pPr>
        <w:ind w:firstLine="720"/>
        <w:jc w:val="both"/>
        <w:rPr>
          <w:color w:val="000000"/>
          <w:szCs w:val="24"/>
        </w:rPr>
      </w:pPr>
      <w:r>
        <w:lastRenderedPageBreak/>
        <w:t>3</w:t>
      </w:r>
      <w:r>
        <w:rPr>
          <w:color w:val="000000"/>
        </w:rPr>
        <w:t>. Kontrolmyndigheden offentliggør oplysninger om de identificerede ulovlige spiludbydere, der ulovligt arrangerer fjernspil i Republikken Litauen (disse udbydere er ikke omfattet af kontrolmyndighedens</w:t>
      </w:r>
      <w:r>
        <w:t xml:space="preserve"> </w:t>
      </w:r>
      <w:r>
        <w:rPr>
          <w:color w:val="000000"/>
        </w:rPr>
        <w:t>liste over enheder, der har tilladelse til at udføre fjernspilaktiviteter i Republikken Litauen (i det følgende benævnt "listen")), og skal oplyse, at de angivne aktiviteter i forbindelse med levering af fjernspilletjenester udføres ulovligt.</w:t>
      </w:r>
    </w:p>
    <w:p w14:paraId="5275184C" w14:textId="0A761486" w:rsidR="00E76A47" w:rsidRPr="00D92212" w:rsidRDefault="00E76A47" w:rsidP="00B371EB">
      <w:pPr>
        <w:ind w:firstLine="720"/>
        <w:jc w:val="both"/>
        <w:rPr>
          <w:bCs/>
          <w:iCs/>
        </w:rPr>
      </w:pPr>
      <w:r>
        <w:rPr>
          <w:color w:val="000000"/>
        </w:rPr>
        <w:t>4. En betalingstjenesteudbyder må kun gennemføre betalings- og/eller fjernbetalingstransaktioner relateret til, eller initieret med betalingskort til fordel for, de enheder, der er opført på listen</w:t>
      </w:r>
      <w:r>
        <w:t xml:space="preserve">. </w:t>
      </w:r>
    </w:p>
    <w:p w14:paraId="5B63201C" w14:textId="55EB2EE4" w:rsidR="00CF58B3" w:rsidRPr="00D92212" w:rsidRDefault="00E76A47" w:rsidP="00CF58B3">
      <w:pPr>
        <w:ind w:firstLine="720"/>
        <w:jc w:val="both"/>
        <w:rPr>
          <w:bCs/>
          <w:iCs/>
        </w:rPr>
      </w:pPr>
      <w:r>
        <w:rPr>
          <w:color w:val="000000"/>
        </w:rPr>
        <w:t>5.</w:t>
      </w:r>
      <w:r>
        <w:t xml:space="preserve"> En enhed føjes til listen på den dato, hvor en spillelicens udstedes til enheden, og fjernes fra listen på den dato, hvor spillelicensen trækkes tilbage. Listen med navnet på den juridiske enhed, koden for den juridiske enhed, kontonummeret og det unikke identifikationsnummer for forhandlere, som betalingskortorganisationen har tildelt, offentliggøres af kontrolmyndigheden på dens websted. </w:t>
      </w:r>
    </w:p>
    <w:p w14:paraId="067B233A" w14:textId="3391AC68" w:rsidR="003712E3" w:rsidRPr="00D92212" w:rsidRDefault="00241196" w:rsidP="000F7446">
      <w:pPr>
        <w:ind w:firstLine="720"/>
        <w:jc w:val="both"/>
        <w:rPr>
          <w:color w:val="000000"/>
          <w:szCs w:val="24"/>
        </w:rPr>
      </w:pPr>
      <w:r>
        <w:t>6</w:t>
      </w:r>
      <w:r>
        <w:rPr>
          <w:color w:val="000000"/>
        </w:rPr>
        <w:t>. Proceduren for begrænsning af betalinger for deltagelse i fjernspil, der organiseres af ulovlige spiludbydere, og udbetaling af gevinster gennem betalingstjenesteudbydere, der opererer i Republikken Litauen, fastlægges af kontrolmyndigheden efter aftale med Litauens nationalbank."</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Artikel 3. Ikrafttræden og gennemførelse af loven</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Denne lov træder i kraft den 1. maj 2025 med undtagelse af denne artikels stk. 2.</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Direktøren for spilkontrolmyndigheden under finansministeriet i Republikken Litauen skal vedtage gennemførelseslovgivning i medfør af denne lov inden den 31. januar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Jeg erklærer hermed denne lov vedtaget af Seimas (Republikken Litauens parlament).</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Republikkens præsident</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E4981"/>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449"/>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da-DK"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2.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187C8-7DAE-40FA-A600-3FEC5541C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4509</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