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Projekts</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LIKUMS</w:t>
      </w:r>
    </w:p>
    <w:p w14:paraId="0740D84F" w14:textId="5A84A9FA" w:rsidR="00DE3FCE" w:rsidRPr="00C04037" w:rsidRDefault="00DE3FCE" w:rsidP="00DE3FCE">
      <w:pPr>
        <w:jc w:val="center"/>
        <w:rPr>
          <w:b/>
          <w:caps/>
        </w:rPr>
      </w:pPr>
      <w:r>
        <w:rPr>
          <w:b/>
          <w:caps/>
        </w:rPr>
        <w:t>PAR GROZĪJUMIEM 2. PANTĀ UN 20</w:t>
      </w:r>
      <w:r>
        <w:rPr>
          <w:b/>
          <w:caps/>
          <w:vertAlign w:val="superscript"/>
        </w:rPr>
        <w:t>7</w:t>
      </w:r>
      <w:r>
        <w:rPr>
          <w:b/>
          <w:caps/>
        </w:rPr>
        <w:t>. PANTĀ LIETUVAS REPUBLIKAS AZARTSPĒĻU LIKUMĀ</w:t>
      </w:r>
    </w:p>
    <w:p w14:paraId="5A20FC9E" w14:textId="43E302BE" w:rsidR="00F57874" w:rsidRPr="00C04037" w:rsidRDefault="00DE3FCE" w:rsidP="00DE3FCE">
      <w:pPr>
        <w:jc w:val="center"/>
        <w:rPr>
          <w:b/>
          <w:caps/>
        </w:rPr>
      </w:pPr>
      <w:r>
        <w:rPr>
          <w:b/>
          <w:caps/>
        </w:rPr>
        <w:t xml:space="preserve">NR. IX-325 </w:t>
      </w:r>
    </w:p>
    <w:p w14:paraId="6FB2CCE1" w14:textId="77777777" w:rsidR="007A525D" w:rsidRDefault="007A525D">
      <w:pPr>
        <w:jc w:val="center"/>
        <w:rPr>
          <w:szCs w:val="24"/>
        </w:rPr>
      </w:pPr>
    </w:p>
    <w:p w14:paraId="08D1F4BF" w14:textId="62DEB0E5" w:rsidR="00F57874" w:rsidRPr="00F12EAF" w:rsidRDefault="00010B6F">
      <w:pPr>
        <w:jc w:val="center"/>
        <w:rPr>
          <w:szCs w:val="24"/>
        </w:rPr>
      </w:pPr>
      <w:r>
        <w:t>2024. </w:t>
      </w:r>
      <w:r w:rsidR="005D6E3D">
        <w:t xml:space="preserve">gada </w:t>
      </w:r>
      <w:r>
        <w:t>        , Nr.      </w:t>
      </w:r>
    </w:p>
    <w:p w14:paraId="79A6EADF" w14:textId="77777777" w:rsidR="00F57874" w:rsidRPr="00F12EAF" w:rsidRDefault="00010B6F">
      <w:pPr>
        <w:jc w:val="center"/>
        <w:rPr>
          <w:b/>
          <w:szCs w:val="24"/>
        </w:rPr>
      </w:pPr>
      <w:r>
        <w:t>Viļņā</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1. pants. Grozījums 2. pantā</w:t>
      </w:r>
    </w:p>
    <w:p w14:paraId="56191B23" w14:textId="193C5573" w:rsidR="008074DB" w:rsidRDefault="008074DB" w:rsidP="00831EBE">
      <w:pPr>
        <w:ind w:firstLine="720"/>
        <w:jc w:val="both"/>
        <w:rPr>
          <w:szCs w:val="24"/>
        </w:rPr>
      </w:pPr>
      <w:r>
        <w:t>2. panta 31. punktu groza un izsaka šādā redakcijā:</w:t>
      </w:r>
    </w:p>
    <w:p w14:paraId="2BD267D2" w14:textId="7978C855" w:rsidR="003D1173" w:rsidRDefault="003D1173" w:rsidP="00831EBE">
      <w:pPr>
        <w:ind w:firstLine="720"/>
        <w:jc w:val="both"/>
        <w:rPr>
          <w:color w:val="000000"/>
        </w:rPr>
      </w:pPr>
      <w:r>
        <w:t>“</w:t>
      </w:r>
      <w:r>
        <w:rPr>
          <w:color w:val="000000"/>
        </w:rPr>
        <w:t>31. Šajā likumā lietotais termins “kontrolieris” ir jāsaprot kā termins “saņēmējs”, kā definēts Lietuvas Republikas Likumā par nelikumīgi iegūtu līdzekļu legalizācijas un teroristu finansēšanas novēršanu. Citi šajā likumā lietotie termini ir definēti Likumā par nelikumīgi iegūtu līdzekļu legalizācijas un teroristu finansēšanas novēršanu, Lietuvas Republikas Finanšu grāmatvedības likumā un Lietuvas Republikas Likumā par maksājumiem.”</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2. pants. Grozījums 20</w:t>
      </w:r>
      <w:r>
        <w:rPr>
          <w:b/>
          <w:vertAlign w:val="superscript"/>
        </w:rPr>
        <w:t>7</w:t>
      </w:r>
      <w:r>
        <w:rPr>
          <w:b/>
        </w:rPr>
        <w:t>. pantā</w:t>
      </w:r>
    </w:p>
    <w:p w14:paraId="03C9EC55" w14:textId="7E9093D8" w:rsidR="00241196" w:rsidRPr="00AE66B1" w:rsidRDefault="00241196" w:rsidP="00AE66B1">
      <w:pPr>
        <w:ind w:firstLine="720"/>
        <w:jc w:val="both"/>
        <w:rPr>
          <w:color w:val="000000"/>
          <w:szCs w:val="24"/>
        </w:rPr>
      </w:pPr>
      <w:r>
        <w:t>Likuma 20</w:t>
      </w:r>
      <w:r>
        <w:rPr>
          <w:vertAlign w:val="superscript"/>
        </w:rPr>
        <w:t>7</w:t>
      </w:r>
      <w:r>
        <w:t>. pantu groza un izsaka šādā redakcijā:</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20.</w:t>
      </w:r>
      <w:r>
        <w:rPr>
          <w:b/>
          <w:color w:val="000000"/>
          <w:vertAlign w:val="superscript"/>
        </w:rPr>
        <w:t>7</w:t>
      </w:r>
      <w:r>
        <w:rPr>
          <w:b/>
          <w:color w:val="000000"/>
        </w:rPr>
        <w:t xml:space="preserve"> pants. </w:t>
      </w:r>
      <w:r>
        <w:rPr>
          <w:b/>
        </w:rPr>
        <w:t>Pasākumi, kuru mērķis ir cīnīties pret nelikumīgiem attālinātu azartspēļu organizētājiem, un kārtība, kādā notiek maksājumi par dalību attālinātās azartspēlēs</w:t>
      </w:r>
    </w:p>
    <w:p w14:paraId="422F135F" w14:textId="6B476C79" w:rsidR="003712E3" w:rsidRPr="00D92212" w:rsidRDefault="003712E3" w:rsidP="003712E3">
      <w:pPr>
        <w:ind w:firstLine="720"/>
        <w:jc w:val="both"/>
        <w:rPr>
          <w:bCs/>
          <w:color w:val="000000"/>
          <w:szCs w:val="24"/>
        </w:rPr>
      </w:pPr>
      <w:r>
        <w:rPr>
          <w:color w:val="000000"/>
        </w:rPr>
        <w:t>1. Pēc izmeklēšanas veikšanas un konstatēšanas, ka attālinātas azartspēles Lietuvas Republikā organizē nelikumīgs azartspēļu organizētājs, Lietuvas Azartspēļu kontroles iestāde izdod kādu no šādiem obligātajiem rīkojumiem (vai tos abus):</w:t>
      </w:r>
    </w:p>
    <w:p w14:paraId="604E9F0D" w14:textId="1A72885B" w:rsidR="003712E3" w:rsidRPr="00D92212" w:rsidRDefault="00F537F9" w:rsidP="003712E3">
      <w:pPr>
        <w:ind w:firstLine="720"/>
        <w:jc w:val="both"/>
        <w:rPr>
          <w:bCs/>
          <w:color w:val="000000"/>
          <w:szCs w:val="24"/>
        </w:rPr>
      </w:pPr>
      <w:r>
        <w:rPr>
          <w:color w:val="000000"/>
        </w:rPr>
        <w:t>1) maksājumu pakalpojumu sniedzējam pārtraukt maksājumus vai citus finanšu darījumus, kas saistīti ar subjektu, kurš iesaistīts nelikumīgās attālinātās azartspēlēs Lietuvas Republikā, tostarp maksājumus par dalību attālinātās spēlēs, ko organizē nelikumīgi azartspēļu organizētāji, laimestu izmaksas un likmju pieņemšanu par labu subjektam, kas organizē nelikumīgas azartspēles;</w:t>
      </w:r>
    </w:p>
    <w:p w14:paraId="7077647A" w14:textId="1429E83D" w:rsidR="003712E3" w:rsidRPr="00D92212" w:rsidRDefault="00F537F9" w:rsidP="00433BA1">
      <w:pPr>
        <w:ind w:firstLine="720"/>
        <w:jc w:val="both"/>
        <w:rPr>
          <w:bCs/>
          <w:color w:val="000000"/>
          <w:szCs w:val="24"/>
        </w:rPr>
      </w:pPr>
      <w:r>
        <w:rPr>
          <w:color w:val="000000"/>
        </w:rPr>
        <w:t>2) saskaņā ar procedūru, kas noteikta Lietuvas Republikas Likuma par elektroniskajiem sakariem 98. pantā, izņemt informāciju, kura izmantota attālinātu azartspēļu nelikumīgai norisei, vai liegt piekļuvi šai informācijai.</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Nolūkā izdot šā panta 1. punkta 1) apakšpunktā minēto rīkojumu Kontroles iestāde trīs darbdienu laikā pēc nelikumīgu attālinātu azartspēļu atklāšanas pirmās instances administratīvajā tiesā iesniedz pieteikumu, lai saņemtu atļauju rīkoties. Pieteikumā par atļauju rīkoties ir jānorāda tās personas vārds un uzvārds, kura, iespējams, ir izdarījusi pārkāpumu, iespējamo pārkāpumu raksturs un iecerētā rīcība. Pirmās instances administratīvā tiesa izskata pieteikumu par atļauju rīkoties un izdod pamatotu rīkojumu, ar kuru pieteikums par atļauju rīkoties tiek apmierināts vai noraidīts. Pieteikums par atļauju rīkoties ir jāizskata un rīkojums ir jāizdod ne vēlāk kā trīs dienas pēc pieteikuma par atļauju rīkoties saņemšanas. Ja kontroles iestāde nepiekrīt pirmās instances administratīvās tiesas lēmumam, ar kuru pieteikums par atļauju rīkoties ir noraidīts, tai ir tiesības septiņu dienu laikā pēc šāda lēmuma pieņemšanas to pārsūdzēt Lietuvas Augstākajā administratīvajā tiesā. Lietuvas Augstākajai administratīvajai tiesai ir jāizskata pārsūdzība par pirmās instances administratīvās tiesas lēmumu, ar kuru noraidīts pieteikums par atļauju rīkoties, ne vēlāk kā septiņu dienu laikā no Kontroles iestādes pārsūdzības saņemšanas dienas. Kontroles iestādes pārstāvim ir tiesības būt klāt pārsūdzības izskatīšanā mutvārdu procesā. Lietuvas Augstākās administratīvās tiesas lēmums ir galīgs un nav pārsūdzams. Tiesām, izskatot lūgumus un pārsūdzības saistībā ar atļaujas rīkoties piešķiršanu, ir jāpārbauda saņemtās informācijas un plānotās rīcības konfidencialitāte.</w:t>
      </w:r>
    </w:p>
    <w:p w14:paraId="2527BBD0" w14:textId="309CBEA9" w:rsidR="003712E3" w:rsidRDefault="003712E3" w:rsidP="003712E3">
      <w:pPr>
        <w:ind w:firstLine="720"/>
        <w:jc w:val="both"/>
        <w:rPr>
          <w:color w:val="000000"/>
          <w:szCs w:val="24"/>
        </w:rPr>
      </w:pPr>
      <w:r>
        <w:t>3</w:t>
      </w:r>
      <w:r>
        <w:rPr>
          <w:color w:val="000000"/>
        </w:rPr>
        <w:t xml:space="preserve">. Kontroles iestāde publisko informāciju par identificētajiem nelikumīgajiem azartspēļu organizētājiem, kas Lietuvas Republikā nelikumīgi organizē attālinātas azartspēles (šie organizētāji nav iekļauti Kontroles iestādes to subjektu sarakstā, kuriem Lietuvas Republikā atļauts iesaistīties </w:t>
      </w:r>
      <w:r>
        <w:rPr>
          <w:color w:val="000000"/>
        </w:rPr>
        <w:lastRenderedPageBreak/>
        <w:t>attālinātās azartspēļu darbībās (turpmāk šajā pantā “saraksts”)), un paziņo, ka konkrētās darbības attiecībā uz attālinātu azartspēļu pakalpojumu sniegšanu tiek veiktas nelikumīgi.</w:t>
      </w:r>
    </w:p>
    <w:p w14:paraId="5275184C" w14:textId="0A761486" w:rsidR="00E76A47" w:rsidRPr="00D92212" w:rsidRDefault="00E76A47" w:rsidP="00B371EB">
      <w:pPr>
        <w:ind w:firstLine="720"/>
        <w:jc w:val="both"/>
        <w:rPr>
          <w:bCs/>
          <w:iCs/>
        </w:rPr>
      </w:pPr>
      <w:r>
        <w:rPr>
          <w:color w:val="000000"/>
        </w:rPr>
        <w:t>4. Maksājumu pakalpojumu sniedzējs maksājumu un/vai distances maksājumu darījumus, kas saistīti ar maksājumu karti vai iniciēti ar maksājumu karti, veic tikai sarakstā iekļauto subjektu labā.</w:t>
      </w:r>
      <w:r>
        <w:t xml:space="preserve"> </w:t>
      </w:r>
    </w:p>
    <w:p w14:paraId="5B63201C" w14:textId="55EB2EE4" w:rsidR="00CF58B3" w:rsidRPr="00D92212" w:rsidRDefault="00E76A47" w:rsidP="00CF58B3">
      <w:pPr>
        <w:ind w:firstLine="720"/>
        <w:jc w:val="both"/>
        <w:rPr>
          <w:bCs/>
          <w:iCs/>
        </w:rPr>
      </w:pPr>
      <w:r>
        <w:rPr>
          <w:color w:val="000000"/>
        </w:rPr>
        <w:t>5.</w:t>
      </w:r>
      <w:r>
        <w:t xml:space="preserve"> Subjektu sarakstam pievieno dienā, kad subjektam tiek piešķirta azartspēļu licence, un to svītro no saraksta dienā, kurā azartspēļu licence tiek atsaukta. Kontroles iestāde savā tīmekļa vietnē publicē sarakstu, kurā norādīts tiesību subjekta nosaukums, tiesību subjekta kods, konta numurs un unikālais tirgotāja identifikācijas numurs, ko piešķīrusi maksājumu karšu organizācija. </w:t>
      </w:r>
    </w:p>
    <w:p w14:paraId="067B233A" w14:textId="3391AC68" w:rsidR="003712E3" w:rsidRPr="00D92212" w:rsidRDefault="00241196" w:rsidP="000F7446">
      <w:pPr>
        <w:ind w:firstLine="720"/>
        <w:jc w:val="both"/>
        <w:rPr>
          <w:color w:val="000000"/>
          <w:szCs w:val="24"/>
        </w:rPr>
      </w:pPr>
      <w:r>
        <w:t>6</w:t>
      </w:r>
      <w:r>
        <w:rPr>
          <w:color w:val="000000"/>
        </w:rPr>
        <w:t>. Kārtību, kādā ierobežo maksājumus par dalību attālinātās azartspēlēs, ko organizē nelikumīgi azartspēļu organizētāji, un laimestu izmaksu ar tādu maksājumu pakalpojumu sniedzēju starpniecību, kuri darbojas Lietuvas Republikā, nosaka Kontroles iestāde, vienojoties ar Lietuvas Banku.”</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3. pants. Likuma stāšanās spēkā un īstenošana</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Šis likums, izņemot šā panta 2. punktā minēto, stājas spēkā 2025. gada 1. maijā.</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Lietuvas Republikas Finanšu ministrijas Azartspēļu kontroles iestādes direktors līdz 2025. gada 31. janvārim pieņem šā likuma īstenošanas tiesību aktus.</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Ar šo apliecinu, ka šo likumu ir pieņēmis Lietuvas Republikas Seims (Lietuvas parlaments).</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Republikas prezidents</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39A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D6E3D"/>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61C"/>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v-LV"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3.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4.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4309</Characters>
  <Application>Microsoft Office Word</Application>
  <DocSecurity>0</DocSecurity>
  <Lines>35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