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Dit is een machinevertaling</w:t>
      </w:r>
    </w:p>
    <w:p w14:paraId="48A46481" w14:textId="77777777">
      <w:pPr>
        <w:pStyle w:val="P68B1DB1-Title1"/>
        <w:spacing w:before="0"/>
        <w:ind w:left="0"/>
      </w:pPr>
    </w:p>
    <w:p w14:paraId="5DDBFD33" w14:textId="3AD4A40E">
      <w:pPr>
        <w:pStyle w:val="P68B1DB1-Title1"/>
        <w:spacing w:before="0"/>
        <w:ind w:left="0"/>
      </w:pPr>
      <w:r>
        <w:t xml:space="preserve">Jurisprudentie met betrekking tot Richtlijn (EU) 2015/1535</w:t>
      </w:r>
    </w:p>
    <w:p w14:paraId="5AFCD03C" w14:textId="77777777">
      <w:pPr>
        <w:pStyle w:val="BodyText"/>
      </w:pPr>
    </w:p>
    <w:p w14:paraId="55805DA1" w14:textId="3A3D4AA9">
      <w:pPr>
        <w:pStyle w:val="BodyText"/>
      </w:pPr>
      <w:r>
        <w:t xml:space="preserve">Dit document bevat de belangrijkste arresten en beschikkingen van het Hof van Justitie van de Europese Unie betreffende het toepassingsgebied en de toepassing van Richtlijn (EU) 2015/1535, die voorziet in een informatieprocedure op het gebied van technische voorschriften en regels betreffende de diensten van de informatiemaatschappij. Het is de bedoeling dat het als leidraad dient voor de overheden, het bedrijfsleven en de burgers van de lidstaten.</w:t>
      </w:r>
    </w:p>
    <w:p w14:paraId="4F3E66AE" w14:textId="77777777">
      <w:pPr>
        <w:pStyle w:val="BodyText"/>
        <w:rPr>
          <w:sz w:val="22"/>
          <w:szCs w:val="18"/>
        </w:rPr>
      </w:pPr>
    </w:p>
    <w:p w14:paraId="53D6EBA0" w14:textId="77777777">
      <w:pPr>
        <w:pStyle w:val="BodyText"/>
      </w:pPr>
      <w:r>
        <w:t xml:space="preserve">Aangezien dit document niet uitputtend is, kunnen sommige relevante besluiten niet worden opgenomen.</w:t>
      </w:r>
    </w:p>
    <w:p w14:paraId="771A43E5" w14:textId="77777777">
      <w:pPr>
        <w:pStyle w:val="BodyText"/>
      </w:pPr>
    </w:p>
    <w:p w14:paraId="45186CE0" w14:textId="45ABA22D">
      <w:pPr>
        <w:pStyle w:val="BodyText"/>
      </w:pPr>
      <w:r>
        <w:t xml:space="preserve">De arresten worden in chronologische volgorde gepresenteerd en het stuk bestaat uit vier delen:</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De beschikkingen waaruit uittreksels in dit document zijn samengesteld, verwijzen naar opeenvolgende richtlijnen betreffende een informatieprocedure op het gebied van technische voorschriften. De onderstaande equivalentietabel illustreert de continuïteit van de belangrijkste bepalingen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Concordantietabel van de belangrijkste bepalingen </w:t>
      </w:r>
    </w:p>
    <w:p w14:paraId="74F41B86" w14:textId="7258661E">
      <w:pPr>
        <w:pStyle w:val="P68B1DB1-Normal5"/>
        <w:spacing w:after="0" w:line="240" w:lineRule="auto"/>
        <w:jc w:val="center"/>
        <w:rPr>
          <w:bCs/>
        </w:rPr>
      </w:pPr>
      <w:r>
        <w:t xml:space="preserve">Richtlijnen (EU) 2015/1535, 98/34/EG en 83/189/EEG</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Inhoud van de bepalingen</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Richtlijn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Richtlijn 98/34/EG</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Richtlijn 83/189/EEG</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Definitie van “producten”</w:t>
            </w:r>
          </w:p>
        </w:tc>
        <w:tc>
          <w:tcPr>
            <w:tcW w:w="2457" w:type="dxa"/>
          </w:tcPr>
          <w:p w14:paraId="4A418F3D" w14:textId="11CADE6C">
            <w:pPr>
              <w:pStyle w:val="P68B1DB1-Normal7"/>
              <w:spacing w:line="240" w:lineRule="auto"/>
            </w:pPr>
            <w:r>
              <w:t xml:space="preserve">Artikel 1, lid 1, onder a)</w:t>
            </w:r>
          </w:p>
        </w:tc>
        <w:tc>
          <w:tcPr>
            <w:tcW w:w="2315" w:type="dxa"/>
          </w:tcPr>
          <w:p w14:paraId="5020F0EC" w14:textId="29FBC8B8">
            <w:pPr>
              <w:pStyle w:val="P68B1DB1-Normal7"/>
              <w:spacing w:line="240" w:lineRule="auto"/>
            </w:pPr>
            <w:r>
              <w:t xml:space="preserve">Artikel 1, lid 1</w:t>
            </w:r>
          </w:p>
        </w:tc>
        <w:tc>
          <w:tcPr>
            <w:tcW w:w="2315" w:type="dxa"/>
          </w:tcPr>
          <w:p w14:paraId="1AC77ECE" w14:textId="6BC392C6">
            <w:pPr>
              <w:pStyle w:val="P68B1DB1-Normal7"/>
              <w:spacing w:line="240" w:lineRule="auto"/>
            </w:pPr>
            <w:r>
              <w:t xml:space="preserve">Artikel 1, lid 7</w:t>
            </w:r>
          </w:p>
        </w:tc>
      </w:tr>
      <w:tr w14:paraId="4F3F95AF" w14:textId="77777777">
        <w:trPr>
          <w:trHeight w:val="599"/>
        </w:trPr>
        <w:tc>
          <w:tcPr>
            <w:tcW w:w="3119" w:type="dxa"/>
          </w:tcPr>
          <w:p w14:paraId="42CDA066" w14:textId="77777777">
            <w:pPr>
              <w:pStyle w:val="P68B1DB1-Normal7"/>
              <w:spacing w:line="240" w:lineRule="auto"/>
            </w:pPr>
            <w:r>
              <w:t xml:space="preserve">Definitie van “diensten”</w:t>
            </w:r>
          </w:p>
        </w:tc>
        <w:tc>
          <w:tcPr>
            <w:tcW w:w="2457" w:type="dxa"/>
          </w:tcPr>
          <w:p w14:paraId="658F3867" w14:textId="6E2F4A98">
            <w:pPr>
              <w:pStyle w:val="P68B1DB1-Normal7"/>
              <w:spacing w:line="240" w:lineRule="auto"/>
            </w:pPr>
            <w:r>
              <w:t xml:space="preserve">Artikel 1, lid 1, onder b)</w:t>
            </w:r>
          </w:p>
        </w:tc>
        <w:tc>
          <w:tcPr>
            <w:tcW w:w="2315" w:type="dxa"/>
          </w:tcPr>
          <w:p w14:paraId="4273AEF8" w14:textId="51C8B937">
            <w:pPr>
              <w:pStyle w:val="P68B1DB1-Normal7"/>
              <w:spacing w:line="240" w:lineRule="auto"/>
            </w:pPr>
            <w:r>
              <w:t xml:space="preserve">Artikel 1, lid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Definitie van “technische specificatie”</w:t>
            </w:r>
          </w:p>
        </w:tc>
        <w:tc>
          <w:tcPr>
            <w:tcW w:w="2457" w:type="dxa"/>
          </w:tcPr>
          <w:p w14:paraId="1CD6781C" w14:textId="4816FB95">
            <w:pPr>
              <w:pStyle w:val="P68B1DB1-Normal7"/>
              <w:spacing w:line="240" w:lineRule="auto"/>
            </w:pPr>
            <w:r>
              <w:t xml:space="preserve">Artikel 1, lid 1, onder c)</w:t>
            </w:r>
          </w:p>
        </w:tc>
        <w:tc>
          <w:tcPr>
            <w:tcW w:w="2315" w:type="dxa"/>
          </w:tcPr>
          <w:p w14:paraId="6ACA8AFC" w14:textId="5CBBFC47">
            <w:pPr>
              <w:pStyle w:val="P68B1DB1-Normal7"/>
              <w:spacing w:line="240" w:lineRule="auto"/>
            </w:pPr>
            <w:r>
              <w:t xml:space="preserve">Artikel 1, lid 3</w:t>
            </w:r>
          </w:p>
        </w:tc>
        <w:tc>
          <w:tcPr>
            <w:tcW w:w="2315" w:type="dxa"/>
          </w:tcPr>
          <w:p w14:paraId="7742C3F4" w14:textId="668574B6">
            <w:pPr>
              <w:pStyle w:val="P68B1DB1-Normal7"/>
              <w:spacing w:line="240" w:lineRule="auto"/>
            </w:pPr>
            <w:r>
              <w:t xml:space="preserve">Artikel 1, lid 1</w:t>
            </w:r>
          </w:p>
        </w:tc>
      </w:tr>
      <w:tr w14:paraId="39DCA993" w14:textId="77777777">
        <w:trPr>
          <w:trHeight w:val="599"/>
        </w:trPr>
        <w:tc>
          <w:tcPr>
            <w:tcW w:w="3119" w:type="dxa"/>
          </w:tcPr>
          <w:p w14:paraId="412D2403" w14:textId="77777777">
            <w:pPr>
              <w:pStyle w:val="P68B1DB1-Normal7"/>
              <w:spacing w:line="240" w:lineRule="auto"/>
            </w:pPr>
            <w:r>
              <w:t xml:space="preserve">Definitie van “andere eisen”</w:t>
            </w:r>
          </w:p>
        </w:tc>
        <w:tc>
          <w:tcPr>
            <w:tcW w:w="2457" w:type="dxa"/>
          </w:tcPr>
          <w:p w14:paraId="7BCB4CC5" w14:textId="4C804DFA">
            <w:pPr>
              <w:pStyle w:val="P68B1DB1-Normal7"/>
              <w:spacing w:line="240" w:lineRule="auto"/>
            </w:pPr>
            <w:r>
              <w:t xml:space="preserve">Artikel 1, lid 1, onder d)</w:t>
            </w:r>
          </w:p>
        </w:tc>
        <w:tc>
          <w:tcPr>
            <w:tcW w:w="2315" w:type="dxa"/>
          </w:tcPr>
          <w:p w14:paraId="414D1EEC" w14:textId="18CAA0FE">
            <w:pPr>
              <w:pStyle w:val="P68B1DB1-Normal7"/>
              <w:spacing w:line="240" w:lineRule="auto"/>
            </w:pPr>
            <w:r>
              <w:t xml:space="preserve">Artikel 1, lid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Definitie van “regel betreffende diensten”</w:t>
            </w:r>
          </w:p>
        </w:tc>
        <w:tc>
          <w:tcPr>
            <w:tcW w:w="2457" w:type="dxa"/>
          </w:tcPr>
          <w:p w14:paraId="136F7BB7" w14:textId="4AA67A90">
            <w:pPr>
              <w:pStyle w:val="P68B1DB1-Normal7"/>
              <w:spacing w:line="240" w:lineRule="auto"/>
            </w:pPr>
            <w:r>
              <w:t xml:space="preserve">Artikel 1, lid 1, onder e)</w:t>
            </w:r>
          </w:p>
        </w:tc>
        <w:tc>
          <w:tcPr>
            <w:tcW w:w="2315" w:type="dxa"/>
          </w:tcPr>
          <w:p w14:paraId="36E9CD4F" w14:textId="1B75247A">
            <w:pPr>
              <w:pStyle w:val="P68B1DB1-Normal7"/>
              <w:spacing w:line="240" w:lineRule="auto"/>
            </w:pPr>
            <w:r>
              <w:t xml:space="preserve">Artikel 1, lid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Begrip technisch voorschrift</w:t>
            </w:r>
          </w:p>
        </w:tc>
        <w:tc>
          <w:tcPr>
            <w:tcW w:w="2457" w:type="dxa"/>
          </w:tcPr>
          <w:p w14:paraId="46C85599" w14:textId="1342B29E">
            <w:pPr>
              <w:pStyle w:val="P68B1DB1-Normal7"/>
              <w:spacing w:line="240" w:lineRule="auto"/>
            </w:pPr>
            <w:r>
              <w:t xml:space="preserve">Artikel 1, lid 1, onder f)</w:t>
            </w:r>
          </w:p>
        </w:tc>
        <w:tc>
          <w:tcPr>
            <w:tcW w:w="2315" w:type="dxa"/>
          </w:tcPr>
          <w:p w14:paraId="0E88B9E2" w14:textId="31F951B8">
            <w:pPr>
              <w:pStyle w:val="P68B1DB1-Normal7"/>
              <w:spacing w:line="240" w:lineRule="auto"/>
            </w:pPr>
            <w:r>
              <w:t xml:space="preserve">Artikel 1, lid 11</w:t>
            </w:r>
          </w:p>
        </w:tc>
        <w:tc>
          <w:tcPr>
            <w:tcW w:w="2315" w:type="dxa"/>
          </w:tcPr>
          <w:p w14:paraId="2E4FCAC6" w14:textId="1930FF48">
            <w:pPr>
              <w:pStyle w:val="P68B1DB1-Normal7"/>
              <w:spacing w:line="240" w:lineRule="auto"/>
            </w:pPr>
            <w:r>
              <w:t xml:space="preserve">Artikel 1, lid 5</w:t>
            </w:r>
          </w:p>
        </w:tc>
      </w:tr>
      <w:tr w14:paraId="0C829266" w14:textId="77777777">
        <w:trPr>
          <w:trHeight w:val="599"/>
        </w:trPr>
        <w:tc>
          <w:tcPr>
            <w:tcW w:w="3119" w:type="dxa"/>
          </w:tcPr>
          <w:p w14:paraId="2E36B6FC" w14:textId="77777777">
            <w:pPr>
              <w:pStyle w:val="P68B1DB1-Normal7"/>
              <w:spacing w:line="240" w:lineRule="auto"/>
            </w:pPr>
            <w:r>
              <w:t>Aanmeldingsverplichting</w:t>
            </w:r>
          </w:p>
        </w:tc>
        <w:tc>
          <w:tcPr>
            <w:tcW w:w="2457" w:type="dxa"/>
          </w:tcPr>
          <w:p w14:paraId="04169FF7" w14:textId="77777777">
            <w:pPr>
              <w:pStyle w:val="P68B1DB1-Normal7"/>
              <w:spacing w:line="240" w:lineRule="auto"/>
            </w:pPr>
            <w:r>
              <w:t xml:space="preserve">Artikel 5, lid 1, eerste volzin</w:t>
            </w:r>
          </w:p>
        </w:tc>
        <w:tc>
          <w:tcPr>
            <w:tcW w:w="2315" w:type="dxa"/>
          </w:tcPr>
          <w:p w14:paraId="730385F8" w14:textId="77777777">
            <w:pPr>
              <w:pStyle w:val="P68B1DB1-Normal7"/>
              <w:spacing w:line="240" w:lineRule="auto"/>
            </w:pPr>
            <w:r>
              <w:t xml:space="preserve">Artikel 8, lid 1, eerste volzin</w:t>
            </w:r>
          </w:p>
        </w:tc>
        <w:tc>
          <w:tcPr>
            <w:tcW w:w="2315" w:type="dxa"/>
          </w:tcPr>
          <w:p w14:paraId="6937609F" w14:textId="5A2377E0">
            <w:pPr>
              <w:pStyle w:val="P68B1DB1-Normal8"/>
              <w:spacing w:line="240" w:lineRule="auto"/>
            </w:pPr>
            <w:r>
              <w:t xml:space="preserve">Artikel 8, lid 1</w:t>
            </w:r>
          </w:p>
        </w:tc>
      </w:tr>
      <w:tr w14:paraId="4472DE96" w14:textId="77777777">
        <w:trPr>
          <w:trHeight w:val="599"/>
        </w:trPr>
        <w:tc>
          <w:tcPr>
            <w:tcW w:w="3119" w:type="dxa"/>
          </w:tcPr>
          <w:p w14:paraId="08371658" w14:textId="2AE2569B">
            <w:pPr>
              <w:pStyle w:val="P68B1DB1-Normal7"/>
              <w:spacing w:line="240" w:lineRule="auto"/>
            </w:pPr>
            <w:r>
              <w:t xml:space="preserve">Kennisgeving van basis- of betrokken bepalingen</w:t>
            </w:r>
          </w:p>
        </w:tc>
        <w:tc>
          <w:tcPr>
            <w:tcW w:w="2457" w:type="dxa"/>
          </w:tcPr>
          <w:p w14:paraId="4460E5CA" w14:textId="77777777">
            <w:pPr>
              <w:pStyle w:val="P68B1DB1-Normal7"/>
              <w:spacing w:line="240" w:lineRule="auto"/>
            </w:pPr>
            <w:r>
              <w:t xml:space="preserve">Artikel 5, lid 1, tweede volzin</w:t>
            </w:r>
          </w:p>
        </w:tc>
        <w:tc>
          <w:tcPr>
            <w:tcW w:w="2315" w:type="dxa"/>
          </w:tcPr>
          <w:p w14:paraId="545C5C96" w14:textId="77777777">
            <w:pPr>
              <w:pStyle w:val="P68B1DB1-Normal7"/>
              <w:spacing w:line="240" w:lineRule="auto"/>
            </w:pPr>
            <w:r>
              <w:t xml:space="preserve">Artikel 8, lid 1, tweede volzin</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Heraanmelding tijdens de status-quoperiode</w:t>
            </w:r>
          </w:p>
        </w:tc>
        <w:tc>
          <w:tcPr>
            <w:tcW w:w="2457" w:type="dxa"/>
          </w:tcPr>
          <w:p w14:paraId="65494BDB" w14:textId="77777777">
            <w:pPr>
              <w:pStyle w:val="P68B1DB1-Normal7"/>
              <w:spacing w:line="240" w:lineRule="auto"/>
            </w:pPr>
            <w:r>
              <w:t xml:space="preserve">Artikel 5, lid 1, derde zin</w:t>
            </w:r>
          </w:p>
        </w:tc>
        <w:tc>
          <w:tcPr>
            <w:tcW w:w="2315" w:type="dxa"/>
          </w:tcPr>
          <w:p w14:paraId="47F0091E" w14:textId="77777777">
            <w:pPr>
              <w:pStyle w:val="P68B1DB1-Normal7"/>
              <w:spacing w:line="240" w:lineRule="auto"/>
            </w:pPr>
            <w:r>
              <w:t xml:space="preserve">Artikel 8, lid 1, derde zin</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Opschortende termijn</w:t>
            </w:r>
          </w:p>
        </w:tc>
        <w:tc>
          <w:tcPr>
            <w:tcW w:w="2457" w:type="dxa"/>
          </w:tcPr>
          <w:p w14:paraId="0FDAA36A" w14:textId="77777777">
            <w:pPr>
              <w:pStyle w:val="P68B1DB1-Normal7"/>
              <w:spacing w:line="240" w:lineRule="auto"/>
            </w:pPr>
            <w:r>
              <w:t xml:space="preserve">Artikel 6</w:t>
            </w:r>
          </w:p>
        </w:tc>
        <w:tc>
          <w:tcPr>
            <w:tcW w:w="2315" w:type="dxa"/>
          </w:tcPr>
          <w:p w14:paraId="51BBC4E4" w14:textId="77777777">
            <w:pPr>
              <w:pStyle w:val="P68B1DB1-Normal7"/>
              <w:spacing w:line="240" w:lineRule="auto"/>
            </w:pPr>
            <w:r>
              <w:t xml:space="preserve">Artikel 9</w:t>
            </w:r>
          </w:p>
        </w:tc>
        <w:tc>
          <w:tcPr>
            <w:tcW w:w="2315" w:type="dxa"/>
          </w:tcPr>
          <w:p w14:paraId="2B7D3F30" w14:textId="77777777">
            <w:pPr>
              <w:pStyle w:val="P68B1DB1-Normal8"/>
              <w:spacing w:line="240" w:lineRule="auto"/>
            </w:pPr>
            <w:r>
              <w:t xml:space="preserve">Artikel 9</w:t>
            </w:r>
          </w:p>
        </w:tc>
      </w:tr>
      <w:tr w14:paraId="31FCCE62" w14:textId="77777777">
        <w:trPr>
          <w:trHeight w:val="599"/>
        </w:trPr>
        <w:tc>
          <w:tcPr>
            <w:tcW w:w="3119" w:type="dxa"/>
          </w:tcPr>
          <w:p w14:paraId="067F46A1" w14:textId="77777777">
            <w:pPr>
              <w:pStyle w:val="P68B1DB1-Normal7"/>
              <w:spacing w:line="240" w:lineRule="auto"/>
            </w:pPr>
            <w:r>
              <w:t xml:space="preserve">Uitzonderingen op kennisgevings- en standstillverplichtingen</w:t>
            </w:r>
          </w:p>
        </w:tc>
        <w:tc>
          <w:tcPr>
            <w:tcW w:w="2457" w:type="dxa"/>
          </w:tcPr>
          <w:p w14:paraId="5BC53094" w14:textId="77777777">
            <w:pPr>
              <w:pStyle w:val="P68B1DB1-Normal7"/>
              <w:spacing w:line="240" w:lineRule="auto"/>
            </w:pPr>
            <w:r>
              <w:t xml:space="preserve">Artikel 7</w:t>
            </w:r>
          </w:p>
        </w:tc>
        <w:tc>
          <w:tcPr>
            <w:tcW w:w="2315" w:type="dxa"/>
          </w:tcPr>
          <w:p w14:paraId="36E59068" w14:textId="77777777">
            <w:pPr>
              <w:pStyle w:val="P68B1DB1-Normal7"/>
              <w:spacing w:line="240" w:lineRule="auto"/>
            </w:pPr>
            <w:r>
              <w:t xml:space="preserve">Artikel 10</w:t>
            </w:r>
          </w:p>
        </w:tc>
        <w:tc>
          <w:tcPr>
            <w:tcW w:w="2315" w:type="dxa"/>
          </w:tcPr>
          <w:p w14:paraId="1FE1BC2D" w14:textId="77777777">
            <w:pPr>
              <w:pStyle w:val="P68B1DB1-Normal8"/>
              <w:spacing w:line="240" w:lineRule="auto"/>
            </w:pPr>
            <w:r>
              <w:t xml:space="preserve">Artikel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Disclaimer</w:t>
      </w:r>
    </w:p>
    <w:p w14:paraId="0CB71D4E" w14:textId="7BF1CD8D">
      <w:pPr>
        <w:jc w:val="both"/>
        <w:rPr>
          <w:rFonts w:ascii="Times New Roman" w:hAnsi="Times New Roman" w:cs="Times New Roman"/>
          <w:sz w:val="24"/>
          <w:szCs w:val="24"/>
        </w:rPr>
        <w:pStyle w:val="P68B1DB1-Normal7"/>
      </w:pPr>
      <w:r>
        <w:t xml:space="preserve">De informatie en richtsnoeren in dit document zijn bedoeld om bij te dragen tot een beter begrip van de kennisgevingsregels van Richtlijn (EU) 2015/1535.</w:t>
      </w:r>
    </w:p>
    <w:p w14:paraId="67EC004B" w14:textId="434F8650">
      <w:pPr>
        <w:jc w:val="both"/>
        <w:rPr>
          <w:rFonts w:ascii="Times New Roman" w:hAnsi="Times New Roman" w:cs="Times New Roman"/>
          <w:sz w:val="24"/>
          <w:szCs w:val="24"/>
        </w:rPr>
        <w:pStyle w:val="P68B1DB1-Normal7"/>
      </w:pPr>
      <w:r>
        <w:t xml:space="preserve">Dit is louter bedoeld als leidraad. Alleen de tekst van de richtlijn heeft rechtskracht en kan rechten en verplichtingen scheppen voor particulieren en lidstaten. Dit document schept geen afdwingbare rechten of verwachtingen.</w:t>
      </w:r>
    </w:p>
    <w:p w14:paraId="63D425FC" w14:textId="2836B58B">
      <w:pPr>
        <w:jc w:val="both"/>
        <w:rPr>
          <w:rFonts w:ascii="Times New Roman" w:hAnsi="Times New Roman" w:cs="Times New Roman"/>
          <w:sz w:val="24"/>
          <w:szCs w:val="24"/>
        </w:rPr>
        <w:pStyle w:val="P68B1DB1-Normal7"/>
      </w:pPr>
      <w:r>
        <w:t xml:space="preserve">De bindende uitlegging van de wetgeving van de Europese Unie valt onder de exclusieve bevoegdheid van het Hof van Justitie van de Europese Unie. De in dit document naar voren gebrachte standpunten laten het standpunt dat de Commissie voor het Hof van Justitie zou kunnen innemen, onverlet.</w:t>
      </w:r>
    </w:p>
    <w:p w14:paraId="5CC222EA" w14:textId="4A13BEE2">
      <w:pPr>
        <w:jc w:val="both"/>
        <w:rPr>
          <w:rFonts w:ascii="Times New Roman" w:hAnsi="Times New Roman" w:cs="Times New Roman"/>
          <w:sz w:val="24"/>
          <w:szCs w:val="24"/>
        </w:rPr>
        <w:pStyle w:val="P68B1DB1-Normal7"/>
      </w:pPr>
      <w:r>
        <w:t xml:space="preserve">Aangezien dit document de stand van de jurisprudentie ten tijde van de opstelling ervan weergeeft, moet het worden beschouwd als een “levend instrument” dat voor verbetering vatbaar is en kan de inhoud ervan zonder opzegtermijn worden gewijzigd.</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Indeling als technisch voorschrift</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het begrip ‚technisch voorschrift ’omvat vier categorieën maatregelen, te weten i)“technische specificaties” in de zin van artikel 1, lid 3, van richtlijn 98/34, ii) “andere eisen” in de zin van artikel 1, lid 4, van deze richtlijn, iii) “regels betreffende diensten” als bedoeld in artikel 1, lid 5, van deze richtlijn, en iv) “wettelijke en bestuursrechtelijke bepalingen van de lidstaten [...] waarbij de vervaardiging, de invoer, het in de handel brengen of het gebruik van een product dan wel de verrichting of het gebruik van een dienst of de vestiging als dienstverlener worden verboden”.”</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Arrest van 2 februari 2016</w:t>
        </w:r>
      </w:hyperlink>
      <w:r>
        <w:t xml:space="preserve">, </w:t>
      </w:r>
      <w:r>
        <w:rPr>
          <w:i/>
        </w:rPr>
        <w:t>Ince</w:t>
      </w:r>
      <w:r>
        <w:t xml:space="preserve">, C-336/14, ≠, punt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Gemeenschappelijke criteria voor technische </w:t>
      </w:r>
      <w:bookmarkEnd w:id="6"/>
      <w:r>
        <w:t>voorschriften</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“Technisch voorschrift": technische specificaties en andere eisen of regels betreffende diensten, met inbegrip van de erop toepasselijke bestuursrechtelijke bepalingen die de jure of de facto moeten worden nageleefd voor de verhandeling, de dienstverrichting, de vestiging van een dienstverrichter of het gebruik in een lidstaat of in een groot deel van een lidstaat, alsmede de wettelijke en bestuursrechtelijke bepalingen, met uitzondering van die bedoeld in artikel 7, van de lidstaten waarbij de vervaardiging, de invoer, de verhandeling of het gebruik van een product dan wel de verrichting of het gebruik van een dienst of de vestiging als dienstverlener wordt verboden.”</w:t>
      </w:r>
    </w:p>
    <w:p w14:paraId="56CBE257" w14:textId="77777777">
      <w:pPr>
        <w:pStyle w:val="BodyText"/>
      </w:pPr>
    </w:p>
    <w:p w14:paraId="66B70B28" w14:textId="1278CE54">
      <w:pPr>
        <w:pStyle w:val="P68B1DB1-Normal7"/>
        <w:spacing w:after="0" w:line="240" w:lineRule="auto"/>
        <w:jc w:val="right"/>
      </w:pPr>
      <w:r>
        <w:t xml:space="preserve">(artikel 1, lid 1, onder f), eerste zin, van Richtlijn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Arrest van het Hof van Justitie van 30 april 1996</w:t>
        </w:r>
      </w:hyperlink>
      <w:r>
        <w:rPr>
          <w:rFonts w:ascii="Times New Roman" w:hAnsi="Times New Roman" w:cs="Times New Roman" w:eastAsia="Times New Roman"/>
          <w:b/>
          <w:i/>
          <w:szCs w:val="20"/>
        </w:rPr>
        <w:t xml:space="preserve">, CIA Security International SA, C-194/94, ECLI:EU:C:29:.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Een voorschrift kan slechts als “technisch voorschrift” worden aangemerkt indien het eigen rechtsgevolgen heeft. Dit is niet het geval voor een kaderwet zonder rechtsgevolgen voor particulieren.</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Dienaangaande moet worden vastgesteld, dat een regel als een technisch voorschrift in de zin van richtlijn 83/189 wordt aangemerkt, wanneer hij eigen rechtsgevolgen teweegbrengt. Indien de regel naar nationaal recht slechts dient als grondslag voor de vaststelling van administratieve voorschriften die voor de belanghebbenden bindende regels bevatten, zodat zij op zichzelf geen rechtsgevolgen heeft voor particulieren, is de regel geen technisch voorschrift in de zin van de richtlijn (zie arrest van 1994 oktober 1, Commissie/Duitsland, C-317/92, Jurispr. blz. 2039-26, punt). In dit verband zij eraan herinnerd dat volgens artikel 8, lid 1, eerste alinea, van richtlijn 83/189 de lidstaten tegelijk met het ontwerp voor een technisch voorschrift het machtigingsinstrument op basis waarvan het is vastgesteld, moeten meedelen indien kennis van deze tekst nodig is om de gevolgen van het ontwerp voor een technisch voorschrift te beoordelen.”</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Arrest van 20 maart 1997</w:t>
        </w:r>
      </w:hyperlink>
      <w:r>
        <w:rPr>
          <w:rFonts w:ascii="Times New Roman" w:hAnsi="Times New Roman" w:cs="Times New Roman" w:eastAsia="Times New Roman"/>
          <w:b/>
          <w:i/>
          <w:szCs w:val="20"/>
        </w:rPr>
        <w:t xml:space="preserve"> in zaak C-13/96, Bic Benelux, reeds aangehaald, punten 19 en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De redenen voor de vaststelling van een nationale maatregel zijn irrelevant voor de kwalificatie van die maatregel als “technisch voorschrift”. De richtlijn beoogt door preventieve controle het vrije verkeer van goederen, dat een van de grondslagen van de Gemeenschap vormt, te beschermen.</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Richtlijn 83/189 biedt geen grondslag voor een uitlegging die de toepassing ervan beperkt tot nationale maatregelen die enkel op grond van artikel 100 bis van het Verdrag kunnen worden geharmoniseerd. Het doel van deze richtlijn bestaat er namelijk in via een preventieve controle het vrij verkeer van goederen te beschermen, dat een van de grondslagen van de Gemeenschap is. Deze controle is noodzakelijk omdat technische voorschriften als bedoeld in de richtlijn het intracommunautaire handelsverkeer al dan niet rechtstreeks, daadwerkelijk of potentieel, kunnen belemmeren. Dergelijke belemmeringen kunnen het gevolg zijn van de vaststelling van nationale technische voorschriften, ook wanneer die voorschriften niet overbodig worden ingeval de producten in de Lid-Staat van oorsprong reeds zijn gemerkt, en ongeacht op welke gronden die voorschriften zijn vastgesteld.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Het feit dat een nationale maatregel is vastgesteld ter bescherming van het milieu of geen technische norm ten uitvoer legt die zelf een belemmering van het vrije verkeer kan vormen, betekent dus niet dat de betrokken maatregel geen technisch voorschrift in de zin van richtlijn 83/189 kan zijn.”</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Arrest van 16 november 2000</w:t>
        </w:r>
      </w:hyperlink>
      <w:r>
        <w:rPr>
          <w:rFonts w:ascii="Times New Roman" w:hAnsi="Times New Roman" w:cs="Times New Roman" w:eastAsia="Times New Roman"/>
          <w:b/>
          <w:i/>
          <w:szCs w:val="20"/>
        </w:rPr>
        <w:t xml:space="preserve"> in zaak C-37/99, Donkersteeg, punten 30-34.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Gedetailleerde regels voor de vaccinatie van dieren zijn een “technische specificatie”. Het is echter slechts een “technisch voorschrift” waarvan kennisgeving vereist is, indien de naleving ervan de jure of de facto verplicht is. Dit is niet het geval wanneer in geval van schending van de regel geen beperkingen worden opgelegd aan het in de handel brengen of het gebruik van de betrokken producten.</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overeenkomstig artikel 1, lid 1, van de richtlijn wordt onder “technische specificatie” voor landbouwproducten verstaan een specificatie die voorkomt in een document waarin de vereiste kenmerken van een product of de productiemethoden en -procedures worden vastgesteld.</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Een regeling als die van artikel 2, lid 1, VBZA is een technische specificatie in de zin van artikel 1, lid 1, van de richtlijn. Zoals de Commissie terecht betoogt, zijn de precieze en gedetailleerde regels betreffende de vaccinatie tegen de ziekte van Aujeszky verbonden met de productie, in strikte zin, van het betrokken landbouwproduct en moeten zij gedurende de hele productiecyclus in acht worden genomen, zodat deze regel een “procedure” voor de productie van dat product definieert.</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Om als technisch voorschrift in de zin van de richtlijn te kunnen worden aangemerkt, moet de in het hoofdgeding aan de orde zijnde regel evenwel overeenkomstig artikel 1, lid 5, van de richtlijn technische specificaties bevatten “waarvan de naleving rechtens of feitelijk verplicht is voor de verhandeling of het gebruik in een lidstaat of in een groot deel van een lidstaat, met uitzondering van die welke door de plaatselijke autoriteiten zijn vastgesteld.</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In dit verband heeft de Nederlandse regering terecht opgemerkt, dat het voorschrift in artikel 2, lid 1, van de BZA-verordening geen beperking stelt aan het verhandelen of het gebruik van de betrokken producten ingeval de varkens, in strijd met dat voorschrift, niet tegen de ziekte van Aujeszky zijn geënt.</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Mitsdien moet op de tweede vraag worden geantwoord, dat een bepaling als die welke in het hoofdgeding aan de orde is, op grond waarvan elke landbouwer verplicht is de varkens op zijn bedrijf tegen de ziekte van Aujeszky te laten vaccineren, geen technisch voorschrift in de zin van de richtlijn is dat vóór de vaststelling ervan aan de Commissie had moeten worden meegedeeld.”</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Arrest van het Hof van Justitie van 3 december 2020</w:t>
        </w:r>
      </w:hyperlink>
      <w:r>
        <w:rPr>
          <w:rFonts w:ascii="Times New Roman" w:hAnsi="Times New Roman" w:cs="Times New Roman" w:eastAsia="Times New Roman"/>
          <w:b/>
          <w:i/>
          <w:szCs w:val="20"/>
        </w:rPr>
        <w:t xml:space="preserve">, Star Taxi App, C-62/19, punten 60 en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Om als “technisch voorschrift” te kunnen worden aangemerkt, moet een nationale maatregel de jure of de facto bindend zijn voor de verrichting of het gebruik van de betrokken dienst in een lidstaat of een groot deel daarvan.</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uit artikel 1, lid 1, onder f), eerste alinea, van richtlijn 2015/1535 volgt dat onder “technisch voorschrift” wordt verstaan “technische specificaties en andere eisen of regels betreffende diensten, met inbegrip van de erop toepasselijke bestuursrechtelijke bepalingen die de jure of de facto moeten worden nageleefd voor de verhandeling, de dienstverrichting, de vestiging van een dienstverrichter of het gebruik in een lidstaat of in een groot deel van een lidstaat, alsmede de wettelijke en bestuursrechtelijke bepalingen, met uitzondering van die bedoeld in artikel 7, van de lidstaten waarbij de vervaardiging, de invoer, de verhandeling of het gebruik van een product dan wel de verrichting of het gebruik van een dienst of de vestiging als dienstverlener wordt verboden”.</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Hieruit volgt dat een nationale wettelijke regeling die een dienst van de informatiemaatschappij als “technisch voorschrift” kan aanmerken, niet alleen moet worden aangemerkt als een “regel betreffende diensten” in de zin van artikel 1, lid 1, onder e), van richtlijn 2015/1535, maar ook de jure of de facto verplicht moet zijn, met name in het geval van de verrichting van de betrokken dienst of het gebruik ervan in een lidstaat of een groot deel daarvan.”</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Technische</w:t>
      </w:r>
      <w:bookmarkEnd w:id="15"/>
      <w:r>
        <w:t xml:space="preserve"> Specificaties</w:t>
      </w:r>
      <w:bookmarkEnd w:id="16"/>
      <w:bookmarkEnd w:id="17"/>
    </w:p>
    <w:p w14:paraId="241DC1E1" w14:textId="77777777">
      <w:pPr>
        <w:pStyle w:val="BodyText"/>
      </w:pPr>
    </w:p>
    <w:p w14:paraId="24A39E18" w14:textId="77777777">
      <w:pPr>
        <w:pStyle w:val="P68B1DB1-BodyText11"/>
        <w:ind w:left="567"/>
      </w:pPr>
      <w:r>
        <w:t xml:space="preserve">“technische specificatie”: een specificatie die voorkomt in een document ter omschrijving van de vereiste kenmerken van een product, zoals kwaliteitsniveaus, prestaties, veiligheid of afmetingen, met inbegrip van de eisen die op het product van toepassing zijn wat betreft de verkoopbenaming, terminologie, symbolen, tests en testmethoden, verpakking, markering of etikettering en conformiteitsbeoordelingsprocedures.</w:t>
      </w:r>
    </w:p>
    <w:p w14:paraId="33F4D1E4" w14:textId="77777777">
      <w:pPr>
        <w:pStyle w:val="P68B1DB1-BodyText11"/>
        <w:ind w:left="567"/>
      </w:pPr>
    </w:p>
    <w:p w14:paraId="5224E321" w14:textId="77777777">
      <w:pPr>
        <w:pStyle w:val="P68B1DB1-BodyText11"/>
        <w:ind w:left="567"/>
        <w:rPr>
          <w:iCs/>
        </w:rPr>
      </w:pPr>
      <w:r>
        <w:t xml:space="preserve">De term “technische specificatie” omvat ook de productiemethoden en -procedés die worden gebruikt voor landbouwproducten als bedoeld in artikel 38, lid 1, tweede alinea, van het Verdrag betreffende de werking van de Europese Unie (VWEU), voor menselijke en dierlijke consumptie bestemde producten en geneesmiddelen als omschreven in artikel 1 van Richtlijn 2001/83/EG van het Europees Parlement en de Raad (1), alsmede productiemethoden en -procedés voor andere producten, voor zover deze gevolgen hebben voor de kenmerken ervan;”</w:t>
      </w:r>
    </w:p>
    <w:p w14:paraId="6C2A57E1" w14:textId="77777777">
      <w:pPr>
        <w:pStyle w:val="BodyText"/>
        <w:ind w:left="567"/>
        <w:rPr>
          <w:i/>
          <w:iCs/>
        </w:rPr>
      </w:pPr>
    </w:p>
    <w:p w14:paraId="2F7A4C59" w14:textId="62E0EC95">
      <w:pPr>
        <w:pStyle w:val="BodyText"/>
        <w:ind w:left="1440"/>
        <w:jc w:val="right"/>
      </w:pPr>
      <w:r>
        <w:t xml:space="preserve">(Artikel 1, lid 1, onder c), van Richtlijn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Arrest van 11 januari 1996</w:t>
        </w:r>
      </w:hyperlink>
      <w:r>
        <w:rPr>
          <w:rFonts w:ascii="Times New Roman" w:hAnsi="Times New Roman" w:cs="Times New Roman" w:eastAsia="Times New Roman"/>
          <w:b/>
          <w:i/>
          <w:szCs w:val="20"/>
        </w:rPr>
        <w:t xml:space="preserve"> in zaak C-273/94, Commissie/Nederland, reeds aangehaald, punt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Een nationale regeling waarbij voor een bepaald product een afwijking van een bestaand technisch voorschrift wordt ingevoerd, vormt een “technisch voorschrift” wanneer zij alternatieve “technische specificaties” oplegt waaraan eenieder die voor de afwijking in aanmerking wil komen, moet voldoen.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De toepassing op een bepaald product, zoals margarine, van een regeling die afwijkt van een ander technisch voorschrift dat reeds voor hetzelfde product bestaat, vormt een technisch voorschrift in de zin van artikel 1, lid 5, van de richtlijn, aangezien het technische specificaties in de zin van artikel 1, lid 1, vaststelt waarvan de naleving rechtens of feitelijk verplicht is wanneer dit product in de handel wordt gebracht of wordt gebruikt. Indien de margarine namelijk niet wordt bereid volgens de bepalingen van het Margarinebesluit, mag zij enkel met behulp van door de Vrijstellingsregeling toegestane vervangende stoffen worden bereid. Aan het gebruik van deze vervangende stoffen worden door de voorschriften van de Vrijstellingsregeling niet enkel grenzen gesteld, doch het gebruik van deze stoffen is ook het enig alternatief voor de stoffen die ingevolge het Margarinebesluit mogen worden gebruikt. Het bestreden bevel had derhalve overeenkomstig de richtlijn moeten worden betekend.”</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Arrest van het Hof van Justitie van 30 april 1996</w:t>
      </w:r>
      <w:r/>
      <w:r>
        <w:rPr>
          <w:b/>
          <w:bCs/>
          <w:i/>
          <w:iCs/>
          <w:color w:val="0000FF"/>
          <w:sz w:val="22"/>
          <w:szCs w:val="18"/>
          <w:u w:val="single"/>
        </w:rPr>
        <w:fldChar w:fldCharType="end"/>
        <w:t xml:space="preserve">, CIA Security International SA, C-194/94, ECLI:EU:C:30:.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Een regel moet als “technisch voorschrift” worden aangemerkt wanneer zij de betrokken ondernemingen verplicht een voorafgaande goedkeuring van hun uitrusting aan te vragen, ook al zijn de beoogde administratieve voorschriften niet vastgesteld.</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een regel moet worden aangemerkt als een technisch voorschrift in de zin van richtlijn 83/189, indien hij, zoals de Belgische regering ter terechtzitting heeft betoogd, de betrokken ondernemingen verplicht om voorafgaande goedkeuring van hun uitrusting aan te vragen, ook al zijn de beoogde administratieve voorschriften niet vastgesteld.”</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Arrest van 16 september 1996 in zaak C-279/94</w:t>
      </w:r>
      <w:r>
        <w:rPr>
          <w:b/>
          <w:bCs/>
          <w:i/>
          <w:iCs/>
          <w:color w:val="0000FF"/>
          <w:sz w:val="24"/>
          <w:szCs w:val="20"/>
          <w:u w:val="single"/>
        </w:rPr>
        <w:fldChar w:fldCharType="end"/>
        <w:t xml:space="preserve">, Commissie/Italië, reeds aangehaald, punt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Een bepaling waarin grenswaarden voor de concentratie van respirabele asbestvezels op de werkplek worden vastgesteld, is geen “technische specificatie”, aangezien zij de vereiste kenmerken van een product niet definieert.</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Volgens artikel 1, sub 5, van de richtlijn, wordt onder technisch voorschrift verstaan “technische specificaties, met inbegrip van de hierop toepasselijke bestuursrechtelijke bepalingen die de jure of de facto moeten worden nageleefd voor het verhandelen of het gebruik in een Lid-Staat”. Volgens artikel 1, sub 1, van de richtlijn is een “technische specificatie” een specificatie die voorkomt in een document ter omschrijving van de vereiste kenmerken van een product, zoals kwaliteitsniveaus, prestatie en veiligheid. Artikel 3, lid 1, van wet nr. 257/92 stelt de grenswaarden voor de asbestvezelconcentratie in de lucht op de werkplaats vast. Daar deze bepaling geen vereist kenmerk van een product vastlegt, valt zij a priori niet onder de definitie van een technische specificatie en kan zij derhalve niet worden beschouwd als een technisch voorschrift dat overeenkomstig artikel 8, lid 1, eerste alinea, van de richtlijn aan de Commissie moet worden meegedeeld. Hoewel de inachtneming van de in artikel 3 van wet nr. 257/92 vastgestelde grenswaarden voor concentraties van inhaleerbare asbestvezels gevolgen kan hebben voor de kenmerken van het betrokken product, zoals bepaald in artikel 1, punt 1, van de richtlijn, heeft de Commissie niet aangetoond hoe dit het geval zou kunnen zijn.”</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Arrest van 17 september 1996</w:t>
        </w:r>
      </w:hyperlink>
      <w:r>
        <w:t xml:space="preserve"> in zaak C-289/94, Commissie/Italië, reeds aangehaald, punt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Een decreet tot regeling van de kwaliteit van het water bestemd voor de teelt van weekdieren vormt een “technisch voorschrift” dat moet worden aangemeld, omdat het rechtstreekse gevolgen heeft voor het in de handel brengen van de betrokken producten.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Weliswaar heeft besluit nr. 256 betrekking op bepaalde aspecten van de kwaliteit van wateren bestemd voor de kweek van eetbare plaatkieuwige weekdieren, maar zoals de Commissie terecht beklemtoont, legt het tevens een zeer nauw verband tussen de kwaliteit van het kweekwater en de verhandeling van plaatkieuwige weekdieren voor menselijke consumptie. Zo mogen enkel weekdieren die gekweekt zijn in wateren die aan de technische specificaties van besluit nr. 256 voldoen, in de handel worden gebracht. De naleving van deze bindende specificaties heeft dus rechtstreekse gevolgen voor het in de handel brengen van de weekdieren, zodat decreet nr. 256 moet worden beschouwd als een technisch voorschrift dat onderworpen is aan de meldingsplicht van artikel 8 van richtlijn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Arrest van het Hof van Justitie van 11 mei 1999</w:t>
        </w:r>
      </w:hyperlink>
      <w:r>
        <w:t xml:space="preserve">, Albers e.a., C-425/97 tot en met 427/97, overwegingen 16 en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De regels die de toediening van bepaalde geneesmiddelen aan runderen verbieden, zijn “technische specificaties”, aangezien zij de productiemethoden voor landbouwproducten omschrijven.</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regelingen die, zoals in casu, beogen te voorkomen dat mestrunderen van meer dan 14 weken oud sympathicomimetische stoffen worden toegediend, zijn technische specificaties in de zin van artikel 1, lid 1, van richtlijn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In deze voorschriften worden de productiemethoden en -procedures omschreven voor landbouwproducten als omschreven in artikel 38, lid 1, EG-Verdrag (thans, na wijziging, artikel 32, lid 1, EG) die bestemd zijn voor menselijke consumptie.”</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Arrest van 22 januari 2000</w:t>
        </w:r>
      </w:hyperlink>
      <w:r>
        <w:t xml:space="preserve"> in zaak C-390/99, Canal Satélite Digital, reeds aangehaald, punten 45 tot en met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Een nationale regeling op grond waarvan apparatuur voor de digitale transmissie en ontvangst van satelliettelevisiesignalen vooraf moet worden geregistreerd en gecertificeerd voordat deze in de handel wordt gebracht, vormt een “technisch voorschrift”, omdat zij de kenmerken van de betrokken producten definieert.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het Hof heeft reeds geoordeeld dat nationale bepalingen die slechts voorwaarden voor de vestiging van ondernemingen stellen, zoals bepalingen die de uitoefening van een activiteit afhankelijk stellen van een voorafgaande vergunning, geen technische voorschriften in de zin van artikel 1, punt 9, van richtlijn 83/189 zijn. Technische voorschriften in de zin van deze bepaling zijn specificaties die de kenmerken van producten definiëren en niet specificaties betreffende marktdeelnemers (arrest van 1996 juli 2201, CIA Security, C-194/94, nog niet gepubliceerd in de Jurisprudentie, punt 25; Zaak C-278/99, Van der Burg, Jurispr. 2001, blz. I-2015, punt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Daarentegen moet een nationale bepaling wél als “technisch voorschrift” in de zin van artikel 1, punt 9, van richtlijn 83/189 worden aangemerkt, wanneer zij de betrokken ondernemingen verplicht vooraf een goedkeuring voor hun apparatuur aan te vragen (zie arrest CIA Security International, reeds aangehaald, punt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Hieruit volgt dat een nationale regeling die exploitanten van diensten op het gebied van voorwaardelijke toegang verplicht om de apparatuur, decoders of systemen voor de digitale uitzending en ontvangst van televisiesignalen per satelliet die zij voornemens zijn in een register op de markt te brengen, in te voeren en deze producten vooraf te laten certificeren alvorens ze in de handel te kunnen brengen, een ‚technisch voorschrift ’in de zin van artikel 1, punt 9, van richtlijn 83/189 vormt.”</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Arrest van het Hof van Justitie van 26 september 2000</w:t>
        </w:r>
      </w:hyperlink>
      <w:r>
        <w:t xml:space="preserve">, Unilever Italia, C-443/98, punten 25 en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Een bepaling inzake de etikettering van de oorsprong van olijfolie is een “technische specificatie” omdat zij een vereiste is voor de etikettering van een product.</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In dit verband kan worden volstaan met op te merken dat richtlijn 83/189 volgens artikel 1, lid 1, ervan zowel industriële als landbouwproducten gelijkstelt met “producten” en dat richtlijn 83/189 volgens lid 2 van dit artikel elke specificatie die voorkomt in een document waarin de vereiste kenmerken van een product worden omschreven, met inbegrip van de etiketteringsvoorschriften die op het product van toepassing zijn, als “technische specificatie” beschouwt. Een nationale regeling die dergelijke specificaties bevat, vormt technische specificaties in de zin van richtlijn 83/189, ongeacht de gronden waarop zij zijn vastgesteld (zie in die zin arrest van 1997 juni 1753, Bic Benelux/Belgische Staat, C-13/96, nog niet gepubliceerd in de Jurisprudentie, punt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Zo bevat de bestreden wet, die de etikettering van de oorsprong van olijfolie regelt, regels die als “technische specificaties” in de zin van richtlijn 83/189 moeten worden aangemerkt.”</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Arrest van 12 oktober 2000</w:t>
        </w:r>
      </w:hyperlink>
      <w:r>
        <w:t xml:space="preserve">, C-314/98, Snellers, punten 37 tot en met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Een “technische specificatie” moet betrekking hebben op het product als zodanig. Een verordening die de criteria vaststelt voor de vaststelling van de datum waarop een voertuig met het oog op de afgifte van een kentekenbewijs wordt geacht voor het eerst een vergunning voor gebruik op de openbare weg te hebben gekregen, definieert geen kenmerken die voor het product zelf vereist zijn en kan derhalve niet als “technisch voorschrift” worden aangemerkt.</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regels die, zoals die welke in het hoofdgeding aan de orde zijn, ertoe strekken de datum vast te stellen waarop een voertuig voor het eerst op de openbare weg mag worden gebruikt, zijn geen technische specificaties in de zin van richtlijn 83/189 en kunnen derhalve niet worden aangemerkt als technische voorschriften die binnen de werkingssfeer van deze richtlijn vallen.</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Artikel 1, lid 1, van richtlijn 83/189 bepaalt dat voor producten als die welke in het hoofdgeding aan de orde zijn, een technische specificatie in de zin van deze richtlijn “een specificatie is die voorkomt in een document waarin de vereiste kenmerken van een product worden vastgesteld. Technische specificaties in de zin van richtlijn 83/189 moeten dus naar het product als zodanig verwijzen; dit wordt overigens bevestigd door de niet-uitputtende lijst van de betrokken specificaties die bij wijze van voorbeeld in artikel 1, lid 1, van deze richtlijn is opgenomen.</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De verordening stelt een aantal criteria vast voor de vaststelling van de datum waarop een voertuig in de zin van de Wegenverkeerswet wordt geacht voor het eerst een vergunning voor het gebruik van de openbare weg te hebben gekregen met het oog op de opstelling van een kentekenbewijs. In de verordening worden derhalve geen kenmerken gedefinieerd die vereist zijn voor het product als zodanig.”</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Arrest van 16 november 2000</w:t>
        </w:r>
      </w:hyperlink>
      <w:r>
        <w:rPr>
          <w:rFonts w:ascii="Times New Roman" w:hAnsi="Times New Roman" w:cs="Times New Roman" w:eastAsia="Times New Roman"/>
          <w:b/>
          <w:i/>
          <w:szCs w:val="20"/>
        </w:rPr>
        <w:t xml:space="preserve"> in zaak C-37/99, Donkersteeg, punten 30 en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Voor landbouwproducten is een “technische specificatie” een tekst waarin de vereiste kenmerken of productiemethoden worden omschreven. Een regel waarin de voorwaarden voor de vaccinatie van dieren worden vastgelegd, is een productieregel en dus een “technische specificatie”.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Zoals in punt 20 van het onderhavige arrest in herinnering is gebracht, is een “technische specificatie” volgens artikel 1, lid 1, van de richtlijn, wat landbouwproducten betreft, opgenomen in een document waarin de vereiste kenmerken van een product of de productiemethoden en -procedures worden vastgesteld.</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Een regeling als die van artikel 2, lid 1, VBZA is een technische specificatie in de zin van artikel 1, lid 1, van de richtlijn. Zoals de Commissie terecht stelt, zijn de precieze en gedetailleerde voorschriften betreffende de vaccinatie tegen de ziekte van Aujeszky gekoppeld aan de productie van het betrokken landbouwproduct in strikte zin en moeten zij gedurende de hele productiecyclus worden nageleefd, zodat deze regel een ‚procedure ’voor de vervaardiging van dat product definieert.”</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Arrest van 8 maart 2001</w:t>
        </w:r>
      </w:hyperlink>
      <w:r>
        <w:t xml:space="preserve"> in zaak C-278/99, Van der Burg, punt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Een verordening die enkel commerciële reclame verbiedt, maar niet de vereiste kenmerken van een product vaststelt, is geen “technische specificatie” en kan derhalve niet als een “technisch voorschrift” worden beschouwd.</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Volgens artikel 1, lid 1, van richtlijn 83/189 wordt onder “technische specificatie” in de zin van deze richtlijn verstaan “een specificatie die voorkomt in een document waarin de vereiste kenmerken van een product worden omschreven”. Technische specificaties in de zin van richtlijn 83/189 moeten dus naar het product als zodanig verwijzen (zie arrest van 2000 oktober 0000, Snellers Auto’s, C-314/98, Jurispr. blz. I-38, punt). Een wettelijke regeling als artikel C.11.1 (1) van het decreet, die slechts een verkoopmethode verbiedt, stelt echter niet de vereiste kenmerken van een product vast.”</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Arrest van het Hof van Justitie van 6 juni 2002</w:t>
        </w:r>
      </w:hyperlink>
      <w:r>
        <w:t xml:space="preserve">, Sapod Audic, C-159/00, punten 30 tot en met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Een bepaling van nationaal recht die voorziet in een verplichting om een verpakking te identificeren, vormt een “technisch voorschrift” dat moet worden aangemeld, aangezien zij een verplichting inhoudt om die verpakking te merken of te etiketteren.</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Aldus blijkt de in artikel 4, tweede alinea, van decreet nr. 92-377 neergelegde identificatieverplichting voor verpakkingen, voorzover zij geen verplichting tot merken of etiketteren van deze verpakkingen lijkt in te houden, niet noodzakelijk betrekking te hebben op het product of op de verpakking ervan als zodanig. Aldus uitgelegd, kan niet worden gesteld dat deze bepaling de vereiste kenmerken van een product in de zin van artikel 1, lid 1, van richtlijn 83/189 vastlegt en dus niet als een technische specificatie wordt beschouwd (zie met name arrest van 2001 juli 2015, Van der Burg, C-278/99, nog niet gepubliceerd in de Jurisprudentie, punt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31.In het kader van de in artikel 234 EG neergelegde bevoegdheidsverdeling staat het evenwel aan de nationale rechter om het nationale recht uit te leggen, in casu artikel 4, tweede alinea, van decreet nr.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Bijgevolg dient ook rekening te worden gehouden met de mogelijkheid dat de verwijzende rechter, gelet op alle gegevens, feitelijk en rechtens, waarvan hij kennis heeft, tot de conclusie komt dat artikel 4, tweede alinea, van decreet nr. 92-377 aldus moet worden uitgelegd dat het de producenten een verplichting tot merken of etiketteren oplegt, hoewel hierin niet duidelijk is bepaald welk teken moet worden aangebracht.</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In een dergelijk geval moet worden geoordeeld dat deze bepaling in feite een technische specificatie in de zin van richtlijn 83/189 is en dat, aangezien de verplichting bij decreet wordt opgelegd voor het in de handel brengen van verpakte producten op het gehele nationale grondgebied, deze bepaling een technisch voorschrift vormt.”</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Arrest van het Hof van Justitie van 8 september 2005</w:t>
        </w:r>
      </w:hyperlink>
      <w:r>
        <w:t xml:space="preserve">, Commissie/Portugal, C-500/03, punt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Een regel tot vaststelling van de maximumlengte en -hoogte van pleziervaartuigen en tot beperking van het voortstuwingsvermogen ervan is een “technische specificatie”.</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(Aangezien het arrest alleen in het Frans en het Portugees beschikbaar is, is de volgende tekst een vertaling.)</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Uit de bewoordingen van artikel 2, lid 1, van deze verordening volgt dat zij technische specificaties in de zin van artikel 1, punt 3, van richtlijn 98/34 bevat die technische voorschriften in de zin van deze richtlijn vormen. De voorschriften van deze verordening hebben betrekking op de maximumlengte en -hoogte en op de beperking van het voortstuwingsvermogen van pleziervaartuigen die voor navigatiedoeleinden worden gebruikt. Deze technische beperkingen gelden voor alle openbare waterlagunes in Portugal, met uitzondering van die van de rivier de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Arrest van 8 november 2007</w:t>
        </w:r>
      </w:hyperlink>
      <w:r>
        <w:t xml:space="preserve"> in zaak C-20/05, Schwibbert, reeds aangehaald, punten 35 tot en met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Nationale bepalingen die de verplichting invoeren om een onderscheidend teken aan te brengen op producten met het oog op het in de handel brengen ervan in een lidstaat, vormen een “technische specificatie”, omdat het vereisten inzake het merken en etiketteren van producten betreft.</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Zoals het Hof heeft geoordeeld, veronderstelt het begrip technische specificatie dat de nationale maatregel verwijst naar het product of de verpakking ervan als zodanig en dus een van de vereiste kenmerken van een product vaststelt (zie in die zin arrest van 2001 juli 2015, Van der Burg, C-278/99, nog niet gepubliceerd in de Jurisprudentie, punt 20; Zaak C-390/99, Canal Satélite Digital, Jurispr. 2002, blz. I-607, punt 45; en ook reeds aangehaalde arresten Sapod Audic, punt 30, en Lindberg, punt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In het onderhavige geval moet worden vastgesteld, zoals de advocaat-generaal in de punten 46 en 48 van haar conclusie heeft opgemerkt, dat het onderscheidende teken “SIAE”, dat bedoeld is om de consumenten en de nationale autoriteiten erover te informeren dat de reproducties wettig zijn, op de drager zelf die het geestesproduct bevat, moet worden aangebracht, dus op het product zelf. Het is dus niet juist om te betogen, zoals de Società Italiana degli Autori ed Editori en de Italiaanse regering hebben gedaan, dat dit teken enkel betrekking heeft op het intellectuele werk.</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Een dergelijk onderscheidend teken vormt een “technische specificatie” in de zin van artikel 1, lid 3, van richtlijn 98/34, aangezien het onder de voor de betrokken producten geldende vereisten inzake markering of etikettering valt. Aangezien de naleving van dit productdossier de jure verplicht is om deze producten in de handel te brengen, vormt het een “technisch voorschrift” in de zin van artikel 1, lid 11, van deze richtlijn (zie in die zin arrest van 1997 juli 1753, Bic Benelux, C-13/96, nog niet gepubliceerd in de Jurisprudentie, punt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Arrest van 14 april 2011</w:t>
        </w:r>
      </w:hyperlink>
      <w:r>
        <w:t xml:space="preserve">, Vlaamse Dierenartsenvereniging en Janssens, C-42/10, C-45/10 en C-57/10, cf. punten 68 tot en met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De richtlijn is niet van toepassing op paspoorten voor gezelschapsdieren die niet als “producten” kunnen worden aangemerkt omdat zij niet het voorwerp van handelstransacties kunnen zijn. Nationale bepalingen inzake huisdierenpaspoorten zijn derhalve geen “technische specificatie” die aan de Commissie moet worden meegedeeld.</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het Hof heeft erop gewezen dat enkel producten waarvan de waarde in geld kan worden gewaardeerd en die als zodanig het voorwerp van handelstransacties kunnen vormen, onder het vrije verkeer van goederen vallen (zie in die zin met name arresten van 1968 juli 617, Commissie/Italië, 7/68, Jurispr. blz. 626, 2006, en Commissie/Griekenland, C-65/05, Jurispr. blz. I-10341, punten 23-25).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Vaststaat dat gezelschapsdierenpaspoorten als zodanig niet het voorwerp van handelstransacties kunnen vormen, aangezien zij een uniek nummer dragen en een specifiek dier identificeren.</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Deze paspoorten kunnen derhalve niet worden aangemerkt als “producten” in de zin van de rechtspraak van het Hof; richtlijn 98/34 kan evenmin op hen van toepassing zijn. Bijgevolg kunnen specificaties als die van de in het hoofdgeding aan de orde zijnde Belgische regeling niet worden aangemerkt als technische specificaties die overeenkomstig artikel 8 van deze richtlijn vooraf aan de Commissie moeten worden meegedeeld en, bij gebreke daarvan, door de nationale rechter niet mogen worden toegepast (zie in die zin arrest van 2007 juli 9447, Schwibbert, C-20/05, nog niet gepubliceerd in de Jurisprudentie, punten 33 en 44 en aldaar aangehaalde rechtspraak).”</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Arrest van 9 juni 2011</w:t>
        </w:r>
      </w:hyperlink>
      <w:r>
        <w:t xml:space="preserve"> in zaak C-361/10, Intercommunale Intermosane en Fédération de l’industrie et du gaz, punten 14-18.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Nationale bepalingen tot vaststelling van minimumeisen voor de bouw van elektrische installaties en de veiligheid van werknemers vormen geen “technische specificaties”, aangezien zij algemene veiligheids- en beschermingsdoelstellingen vaststellen zonder rechtstreeks naar een product of de verpakking ervan te verwijzen en zonder de kenmerken ervan te definiëren.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nagegaan moet worden of de in het hoofdgeding aan de orde zijnde nationale bepalingen onder de eerste categorie van technische voorschriften van artikel 1, lid 11, van richtlijn 98/34 vallen, te weten het begrip “technische specificatie”.</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Uit de rechtspraak volgt dat dit begrip, dat is gedefinieerd in artikel 1, lid 3, van de richtlijn, veronderstelt dat de nationale maatregel noodzakelijkerwijs betrekking heeft op het product of de verpakking ervan als zodanig en dus een van de vereiste kenmerken van een product vaststelt (zie arrest Schwibbert, reeds aangehaald, punt 35 en aldaar aangehaalde rechtspraak).</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Opgemerkt zij dat de minimale voorschriften voor de uitvoering van bepaalde elektrische installaties waarin de in het hoofdgeding aan de orde zijnde nationale bepalingen voorzien, de veiligheid van deze installaties beogen te verzekeren ter bescherming van de werknemers die deze installaties gebruiken.</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Vaststaat dus dat deze minimale voorschiften algemene eisen en doelstellingen inzake veiligheid en bescherming bevatten zonder noodzakelijkerwijze betrekking te hebben op het betrokken product of de verpakking daarvan als zodanig en dus zonder een van de vereiste kenmerken van dit product vast te stellen.</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Bijgevolg bevatten de in het hoofdgeding aan de orde zijnde nationale bepalingen geen technische specificaties in de zin van richtlijn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Arrest </w:t>
      </w:r>
      <w:hyperlink r:id="rId29" w:history="1">
        <w:r>
          <w:rPr>
            <w:color w:val="0000FF"/>
            <w:u w:val="single"/>
          </w:rPr>
          <w:t xml:space="preserve">van het Hof van Justitie van 19 juli 2012</w:t>
        </w:r>
      </w:hyperlink>
      <w:r>
        <w:t xml:space="preserve">, Fortuna e.a., C-213/11, C-214/11 en C-217/11, zowel de punten 28 tot en met 30 als de punten tot en met.</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Nationale bepalingen die de exploitatie van goedkope speelautomaten buiten casino’s beperken, zijn geen “technische voorschriften” omdat zij niet verwijzen naar de kenmerken van speelautomaten of de verpakking ervan.</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om te kunnen vallen onder de eerste categorie technische voorschriften van artikel 1, lid 11, van richtlijn 98/34, dat wil zeggen onder het begrip “technische specificatie”, moet een nationale maatregel noodzakelijkerwijs betrekking hebben op het product of de verpakking ervan als zodanig en dus een van de vereiste kenmerken van een product vastleggen (zie arrest Intercommunale Intermosane en Fédération de l’industrie et du gaz, reeds aangehaald, punt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Het volstaat echter vast te stellen dat de overgangsbepalingen van de kansspelenwet vergunningen voor de uitoefening van een activiteit op het gebied van automatenspelen met prijzen van geringe waarde betreffen. Zij hebben geen betrekking op speelautomaten met prijzen van geringe waarde of de verpakking daarvan als zodanig en stellen dus geen kenmerken daarvan vast.</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Bijgevolg bevatten de in het hoofdgeding aan de orde zijnde nationale bepalingen geen technische specificaties in de zin van richtlijn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Arrest van 10 juli 2014</w:t>
        </w:r>
      </w:hyperlink>
      <w:r>
        <w:rPr>
          <w:b/>
          <w:i/>
        </w:rPr>
        <w:t>,</w:t>
      </w:r>
      <w:r>
        <w:rPr>
          <w:b/>
          <w:i/>
        </w:rPr>
        <w:t xml:space="preserve"> C-307/13, Ivansson e.a.</w:t>
      </w:r>
      <w:r>
        <w:rPr>
          <w:b/>
          <w:i/>
        </w:rPr>
        <w:t xml:space="preserve">, punten 19 tot en met 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Een algemene doelstelling inzake het comfort van pluimvee en de kwaliteit van de houderijvoorzieningen is geen “technische specificatie” omdat zij de kenmerken van het product niet vastlegt en niet nauwkeurig genoeg is om een productiemethode te definiëren.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Volgens de rechtspraak veronderstelt dit begrip [technische specificatie] dat de nationale maatregel noodzakelijkerwijs verwijst naar het product of de verpakking ervan als zodanig en dus een van de vereiste kenmerken van een product vaststelt (zie in die zin arrest Fortuna e.a., reeds aangehaald, punt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Bovendien heeft het Hof met betrekking tot landbouwproducten gepreciseerd dat een technische specificatie is opgenomen in een document waarin de vereiste kenmerken van een product of de productiemethoden en -procedures ervan worden omschreven (zie in die zin arrest Donkersteeg, C-37/99, cf. punt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In de eerste plaats moet worden opgemerkt dat § 9 DSF weliswaar betrekking heeft op het comfort en de kwaliteit van de installaties waar kippen voor de eierproductie worden gehouden, namelijk verrijkte kooien, maar dat deze bepaling, zoals de Poolse regering heeft opgemerkt, niet de kenmerken definieert die de in het hoofdgeding aan de orde zijnde producten moeten hebben.</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In de veronderstelling dat kan worden aangenomen dat die bepaling ziet op een productiemethode doordat zij, zoals in het vorige punt staat aangegeven, betrekking heeft op het houden van legkippen in aangepaste kooien, moet echter ten tweede worden opgemerkt dat die bepaling zich beperkt tot een algemene formulering van het vereiste dat die infrastructuren legnesten, zitstokken en stofbaden omvatten, zonder evenwel specifiek in te gaan op de diverse aspecten van dat houderijsysteem. § 9 DSF bevat geen enkele aanwijzing over bijvoorbeeld de afmetingen, het aantal, de temperatuur, het onderhoud of de werking van deze installaties met betrekking tot de blootstelling van de kippen voor de eierproductie aan licht of zelfs met betrekking tot het voederen en drenken. Bij gebreke van enige precisering in § 9 DSF kan deze bepaling niet worden geacht de productiemethoden en -procedures vast te stellen.</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Voorts moet worden opgemerkt dat § 9, eerste alinea, DSF, door te bepalen dat “het huisvestingssysteem zodanig moet zijn dat het sterftecijfer en de gedragsstoornissen bij de kippen op een laag niveau worden gehouden”, zonder enige andere aanwijzing, enkel algemene doelstellingen met betrekking tot het welzijn van de kippen voor de eierproductie vermeldt, zonder noodzakelijkerwijs naar het betrokken product te verwijzen en dus zonder de kenmerken van dat product vast te stellen (zie naar analogie arrest Intercommunale Intermosane en Fédération de l’Industrie et du gaz, C-361/10, -, punt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Arrest van 27 oktober 2016</w:t>
        </w:r>
      </w:hyperlink>
      <w:r>
        <w:t xml:space="preserve"> in zaak C-613/14, James Elliott Construction, punt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Nationale bepalingen die impliciete contractuele voorwaarden voor de kwaliteit van de verkochte producten bevatten, vormen geen “technische specificaties” omdat zij de kenmerken van het betrokken product niet definiëren.</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In casu blijkt ten eerste dat bepalingen als die welke in het hoofdgeding aan de orde zijn, hetzij op zich, hetzij zoals uitgelegd door de Ierse rechterlijke instanties, niet onder het begrip “technische specificatie” in de zin van artikel 1, lid 3, van richtlijn 98/34 vallen. Dit begrip ziet alleen op nationale maatregelen die betrekking hebben op een product of de verpakking ervan als zodanig en die aldus een van de vereiste kenmerken van een product vaststellen (arrest van 10 juli 2014, Ivansson e.a., C</w:t>
        <w:noBreakHyphen/>
        <w:t xml:space="preserve">307/13, ≠, punt 19 en aldaar aangehaalde rechtspraak). Dit is duidelijk niet het geval voor een vereiste dat, tenzij de partijen anders zijn overeengekomen, in het algemeen van toepassing is op de verkoop van alle producten.”</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Arrest van 1 februari 2017</w:t>
        </w:r>
      </w:hyperlink>
      <w:r>
        <w:t xml:space="preserve"> in zaak C-144/16, Município de Palmela, punt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Een regeling op grond waarvan in een vrijetijdszone informatie over de maximumcapaciteit van dat gebied moet worden getoond, vormt geen “technische specificatie”, omdat zij de kenmerken van een product niet vastlegt.</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een dergelijke bepaling valt niet onder de categorie van technische specificaties in de zin van artikel 1, lid 3, van richtlijn 98/34, aangezien vaststaat dat de bepalingen waarin de eisen en algemene doelstellingen op het gebied van veiligheid en bescherming zijn vastgelegd, zonder noodzakelijkerwijs naar het betrokken product of de verpakking ervan als zodanig te verwijzen en dus zonder de kenmerken van dat product vast te stellen, geen technische specificaties vormen (zie in die zin arrest van 9 juni 2011, Intercommunale Intermosane en Fédération de l’industrie et du gaz, C-361/10, EU:C:2019:17, punten 18 en).”</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Arrest van 26 september 2018</w:t>
        </w:r>
      </w:hyperlink>
      <w:r>
        <w:t xml:space="preserve">, C-137/17, Van Gennip e.a., punt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die het in de handel brengen van producten afhankelijk stellen van de voorwaarde dat de koper over een vergunning beschikt, vallen niet onder het begrip “technische specificatie”, aangezien zij geen omschrijving geven van de kenmerken van het product zelf of van de verpakking ervan.</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Wat in de eerste plaats het begrip “technische specificatie” betreft, zij eraan herinnerd dat dit begrip veronderstelt dat de nationale maatregel noodzakelijkerwijs betrekking heeft op het product of de verpakking ervan als zodanig en dus een van de vereiste kenmerken van een product vaststelt, zoals de afmetingen, de verkoopbenaming, de etikettering of de markering (arrest van 10 juli 2014, Ivansson e.a., C 307/13</w:t>
        <w:noBreakHyphen/>
        <w:t xml:space="preserve">, cf. punt 19 en aldaar aangehaalde rechtspraak). Zoals de advocaat-generaal in punt 74 van zijn conclusie heeft opgemerkt, heeft de Belgische regeling geen betrekking op pyrotechnische artikelen of hun verpakking op zich, met als gevolg dat die wetgeving niet een van de vereiste kenmerken van deze producten vaststelt. Deze regeling vormt dus geen “technische specificatie” in de zin van artikel 1, punt 3, van richtlijn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Arrest van 28 mei 2020</w:t>
        </w:r>
      </w:hyperlink>
      <w:r>
        <w:t xml:space="preserve"> in zaak C-727/17, ECO-WIND Construction, punten 36 en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Een verordening waarbij een minimumafstand voor de installatie van windturbines wordt opgelegd, vormt geen “technische specificatie”, aangezien zij de kenmerken van het product niet vastlegt.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met betrekking tot de eventuele indeling van hetzelfde voorschrift als een technisch voorschrift op grond van het feit dat het onder de categorie “technische specificaties” valt, moet worden opgemerkt dat een technische specificatie veronderstelt dat de nationale maatregel die dit voorschrift voorschrijft, verwijst naar het product of de verpakking ervan als zodanig en dat zij dus een van de vereiste kenmerken van dat product vaststelt (arresten van 21 april 2005, Lindberg, C-267/03, EU:C:2021:57, punt 28, en 19 juli 2012, Fortuna e.a., C-213/11, C-214/11 en C-217/11, cf. punt).</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In casu beperkt de in het hoofdgeding aan de orde zijnde regeling zich tot het regelen van de vestiging van windturbines door een minimumafstand vast te stellen die bij de plaatsing ervan in acht moet worden genomen. Bijgevolg verwijst deze regeling niet naar een product als zodanig, in casu de windgenerator, en stelt zij dus geen van de vereiste kenmerken van dat product vast in de zin van artikel 1, lid 1, onder f), van richtlijn 2015/1535, gelezen in het licht van artikel 1, lid 1, onder c), van die richtlijn.”</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Arrest van het Hof van Justitie van 22 oktober 2020</w:t>
        </w:r>
      </w:hyperlink>
      <w:r>
        <w:t xml:space="preserve">, Sportingbet en Internet Opportunity Entertainment (C-275/19, punten 42 en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Een nationale regeling die de exploitatie van kansspelen voorbehoudt aan de staat en vereist dat vergunningen alleen aan openbare ondernemingen worden verleend, is geen “technische specificatie”, aangezien zij de vereiste kenmerken van een product niet definieert.</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Volgens artikel 1, lid 1, van richtlijn 83/189 is een “technische specificatie” in de zin van deze richtlijn de specificatie die voorkomt in een document waarin de vereiste kenmerken van een product worden omschreven, zoals kwaliteitsniveaus, prestaties, veiligheid of afmetingen, met inbegrip van de eisen die op het product van toepassing zijn op het gebied van terminologie, symbolen, beproevingsmethoden, verpakking, merken of etikettering (zie in die zin arrest van 8 maart 2001, Van der Burg, C-278/99, punt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Aangezien de artikelen 3 en 9 van decreto-legge nr. 422/89 voorzien in concessievoorschriften voor de exploitatie van kansspelen en de voorwaarden en zones voor de uitoefening van deze activiteit, blijkt niet dat deze bepalingen betrekking hebben op de voor een product vereiste kenmerken in de zin van artikel 1, lid 1, van richtlijn 83/189, zodat zij niet kunnen worden aangemerkt als “technische voorschriften” in de zin van artikel 1, lid 5, van deze richtlijn.”</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Overige eisen</w:t>
      </w:r>
      <w:bookmarkEnd w:id="46"/>
      <w:bookmarkEnd w:id="47"/>
    </w:p>
    <w:p w14:paraId="48370E42" w14:textId="77777777">
      <w:pPr>
        <w:pStyle w:val="BodyText"/>
      </w:pPr>
    </w:p>
    <w:p w14:paraId="032AC50F" w14:textId="77777777">
      <w:pPr>
        <w:pStyle w:val="P68B1DB1-BodyText11"/>
        <w:ind w:left="567"/>
        <w:rPr>
          <w:i/>
        </w:rPr>
      </w:pPr>
      <w:r>
        <w:t xml:space="preserve">“andere eisen": een eis, met uitzondering van een technische specificatie, die aan een product wordt opgelegd met het oog op de bescherming van met name de consument of het milieu, en die van invloed is op de levenscyclus van het product nadat het in de handel is gebracht, zoals gebruiksvoorwaarden, recycling, hergebruik of verwijdering, wanneer die voorwaarden de samenstelling, de aard of het in de handel brengen van het product aanzienlijk kunnen beïnvloeden;”</w:t>
      </w:r>
    </w:p>
    <w:p w14:paraId="1AD68414" w14:textId="77777777">
      <w:pPr>
        <w:pStyle w:val="BodyText"/>
        <w:ind w:left="567"/>
        <w:rPr>
          <w:i/>
          <w:iCs/>
        </w:rPr>
      </w:pPr>
    </w:p>
    <w:p w14:paraId="3295AC84" w14:textId="258D2B2D">
      <w:pPr>
        <w:pStyle w:val="BodyText"/>
        <w:ind w:left="1440"/>
        <w:jc w:val="right"/>
      </w:pPr>
      <w:r>
        <w:t xml:space="preserve">(Artikel 1, lid 1, onder d), van Richtlijn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Arrest van het Hof van Justitie van 21 april 2005</w:t>
        </w:r>
      </w:hyperlink>
      <w:r>
        <w:t xml:space="preserve">, Lindberg, C-267/03, punten 68 tot en met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Een nationaal verbod op bepaalde kansspelen kan als “andere eis” worden aangemerkt indien het van invloed kan zijn op de samenstelling, de aard of de verhandeling van het product. Indien het verbod echter geen ruimte laat voor het gebruik van het product, wordt het omschreven als een verbodsbepaling (zie deel I, subdeel e. “Verbod” van dit document).</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vastgesteld moet worden dat een nationale maatregel als het in het hoofdgeding aan de orde zijnde verbod specifiek lijkt te vallen onder het begrip “andere eisen” dat bij richtlijn 94/10 in richtlijn 83/189 is ingevoegd om de werkingssfeer ervan uit te breiden, en dat hij derhalve niet onder de categorie technische specificaties valt.</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Het gaat immers om een eis die aan een product, te weten speelautomaten, hoofdzakelijk wordt gesteld ter bescherming van de consument, in casu de betrokken spelers.</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Een verbod als dat van de relevante bepalingen van de gewijzigde loterijwet heeft dus betrekking op het gebruik van een product in de zin van artikel 1, lid 9, van richtlijn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Bovendien wordt het in het hoofdgeding aan de orde zijnde vereiste niet opgelegd aan speelautomaten met het oog op het in de handel brengen ervan, maar heeft het betrekking op hun levenscyclus na het in de handel brengen ervan in de zin van de definitie van “andere eisen” in artikel 1, lid 3, van richtlijn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Om onder “andere vereisten” in de zin van artikel 1, lid 3, van richtlijn 83/189 te vallen, moet een vereiste als het verbod op het gebruik van de speelautomaten die in het hoofdgeding aan de orde zijn, in casu een “gebruiksvoorwaarde” vormen die een significante invloed kan hebben op de samenstelling, de aard of de verhandeling van het product.</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Vervolgens rijst echter de vraag of dit verbod moet worden beschouwd als een “voorwaarde” voor het gebruik van het betrokken product, dan wel of het veeleer gaat om een nationale maatregel die valt onder de derde categorie van technische voorschriften als bedoeld in artikel 1, lid 9, van richtlijn 83/189, die eveneens in richtlijn 94/10 is ingevoegd, namelijk die van “wettelijke regelingen van de lidstaten [...] die de vervaardiging, de invoer, het in de handel brengen of het gebruik van een product verbieden”.</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Of een nationale maatregel als die welke in het hoofdgeding aan de orde is tot de ene dan wel de andere categorie van technische voorschriften behoort, hangt af van de reikwijdte van het verbod dat bij deze maatregel wordt uitgevaardigd.</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In dit verband is het van belang dat, anders dan de tweede categorie van andere eisen in de zin van artikel 1, lid 3, van richtlijn 83/189, deze derde categorie van technische voorschriften in de zin van artikel 1, lid 9, van richtlijn niet de voorwaarde omvat dat het betrokken verbod de samenstelling, de aard of de verhandeling van het product op significante wijze kan beïnvloeden.</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Aangezien deze derde categorie van technische voorschriften een verbod van met name het gebruik beoogt, moet het gaan om maatregelen die duidelijk verder gaan dan een beperking tot bepaalde gebruiksmogelijkheden van het betrokken product en die dus niet enkel restricties opleggen aan het gebruik daarvan.</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Zoals de advocaat-generaal in punt 70 van zijn conclusie heeft opgemerkt, ziet deze categorie technische voorschriften meer in het bijzonder op nationale maatregelen die voor geen enkel ander gebruik ruimte laten dan een strikt marginaal gebruik dat redelijkerwijze van het betrokken product kan worden verwacht. Het is aan de verwijzende rechter om na te gaan of dit het geval is met betrekking tot het verbod neergelegd in de in het hoofdgeding aan de orde zijnde nationale bepaling.</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Indien na een dergelijk onderzoek door de verwijzende rechter zou blijken dat dit in het hoofdgeding niet het geval is, zou die nationale bepaling kunnen worden beschouwd als een “ander vereiste”, aangezien vaststaat dat de naleving van dit vereiste de jure verplicht is voor het gebruik van het product in de betrokken lidstaat in de zin van artikel 1, lid 9, van richtlijn 83/189. In dat geval staat het echter ook aan de verwijzende rechter om na te gaan of het betrokken verbod een significante invloed kan hebben op de samenstelling of de aard van het product of op de verhandeling ervan in de zin van artikel 1, lid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Arrest van 9 juni 2011</w:t>
        </w:r>
      </w:hyperlink>
      <w:r>
        <w:t xml:space="preserve"> in zaak C-361/10, Intercommunale Intermosane en Fédération de l’industrie et du gaz, punten 20 en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Nationale bepalingen die minimumvoorschriften voor de bouw van elektrische installaties en de veiligheid van werknemers vaststellen, kunnen niet als “andere eisen” worden aangemerkt, aangezien hun algemene aard het niet mogelijk maakt de samenstelling, de aard of de verhandeling van de betrokken producten op significante wijze te beïnvloeden.</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Volgens de rechtspraak kunnen de minimumvoorschriften van de betrokken bepalingen slechts als “andere eisen” in de zin van artikel 1, lid 4, van richtlijn 98/34 worden aangemerkt indien zij “voorwaarden” zijn die de samenstelling, de aard of de verhandeling van het betrokken product op significante wijze kunnen beïnvloeden (zie in die zin arrest Lindberg, reeds aangehaald, punt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Gelet op het algemene karakter van deze eisen, kunnen zij niet als dergelijke voorwaarden worden aangemerkt en derhalve niet worden aangemerkt als “andere eisen” in de zin van artikel 1, lid 4, van de richtlijn.”</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Arrest van 19 juli 2012</w:t>
        </w:r>
      </w:hyperlink>
      <w:r>
        <w:t xml:space="preserve">, Fortuna e.a., C-213/11, C-214/11 en C-217/11, cf. punten 35, 36 en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Nationale bepalingen die de exploitatie van speelautomaten buiten casino’s beperken, kunnen als “andere eisen” en dus als “technische voorschriften” worden aangemerkt indien zij de aard of de verhandeling van de betrokken producten aanzienlijk beïnvloeden.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het Hof heeft geoordeeld dat de betrokken nationale maatregelen, om als “andere eisen” in de zin van artikel 1, lid 4, van richtlijn 98/34 te worden aangemerkt, “voorwaarden” moeten vormen die de samenstelling, de aard of de verhandeling van het betrokken product op significante wijze kunnen beïnvloeden (zie in die zin reeds aangehaalde arresten Lindberg, punt 72, en Intercommunale Intermosane en Fédération de l’industrie et du gaz, punt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Dienaangaande zij opgemerkt dat de overgangsbepalingen van de kansspelenwet voorwaarden opleggen die de verhandeling van speelautomaten met prijzen van geringe waarde ongunstig kunnen beïnvloeden. Het verbod om vergunningen af te geven, te verlengen of te wijzigen voor activiteiten in verband met kansspelen op automaten met lage prijzen buiten casino’s, kan de handel in speelautomaten met lage prijzen rechtstreeks beïnvloeden.”</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op de gestelde vragen dient te worden geantwoord dat artikel 1, lid 11, van richtlijn 98/34 aldus moet worden uitgelegd dat nationale bepalingen als die van de kansspelwet, die tot gevolg kunnen hebben dat de exploitatie van kansspelen op automaten met prijzen van geringe waarde, anders dan in casino’s en speelzalen, wordt beperkt of zelfs geleidelijk onmogelijk kunnen worden gemaakt, kunnen worden aangemerkt als “technische voorschriften” in de zin van deze bepaling, waarvan de ontwerpen moeten worden meegedeeld in de zin van artikel 8, lid 1, eerste alinea, van de richtlijn, voor zover vaststaat dat deze bepalingen voorwaarden zijn die een significante invloed kunnen hebben op de aard of de verhandeling van het betrokken product, hetgeen de verwijzende rechter dient na te gaan.”</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Arrest van 10 juli 2014</w:t>
        </w:r>
      </w:hyperlink>
      <w:r>
        <w:rPr>
          <w:b/>
          <w:i/>
        </w:rPr>
        <w:t>,</w:t>
      </w:r>
      <w:r>
        <w:rPr>
          <w:b/>
          <w:i/>
        </w:rPr>
        <w:t xml:space="preserve"> C-307/13, Ivansson e.a.</w:t>
      </w:r>
      <w:r>
        <w:rPr>
          <w:b/>
          <w:i/>
        </w:rPr>
        <w:t xml:space="preserve">, punten 26 tot en met 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Een regel die een algemene doelstelling van comfort van pluimvee en kwaliteit van de houderijvoorzieningen vaststelt, is geen “andere eis”, aangezien de algemene aard ervan waarschijnlijk geen invloed zal hebben op de samenstelling, de aard of het in de handel brengen van het eindproduct.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het Hof heeft reeds geoordeeld dat de betrokken nationale maatregelen, om als “andere eisen” in de zin van artikel 1, lid 4, van richtlijn 98/34 te kunnen worden aangemerkt, “voorwaarden” moeten vormen die de samenstelling, de aard of de verhandeling van het betrokken product op significante wijze kunnen beïnvloeden (zie arrest Fortuna e.a., reeds aangehaald, punt 35 en aldaar aangehaalde rechtspraak).</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Het Hof heeft eveneens geoordeeld, dat wanneer de bepalingen van een nationale maatregel algemeen van aard zijn, zij niet als dergelijke voorwaarden kunnen worden aangemerkt en bijgevolg niet als “andere eisen” in de zin van artikel 1, lid 4, van de richtlijn kunnen worden aangemerkt (zie in die zin arrest Intercommunale Intermosane en Fédération de l’Industrie et du gaz, reeds aangehaald, punt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De zeer algemene formulering van § 9 DSF, zoals uiteengezet in de punten 22 en 23 van het onderhavige arrest, verzet zich er dus tegen dat deze bepaling wordt geacht voorwaarden te stellen aan de samenstelling, de aard of de verhandeling van de betrokken producten.”</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Arrest van 11 juni 2015</w:t>
        </w:r>
      </w:hyperlink>
      <w:r>
        <w:t xml:space="preserve">, C-98/14, Berlington Hungary e.a., punten 98 en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Nationale bepalingen die de exploitatie van speelautomaten buiten casino’s verbieden, vormen “andere eisen”, aangezien zij de aard of de verhandeling van dergelijke automaten aanzienlijk kunnen beïnvloeden.</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het Hof heeft reeds geoordeeld dat een nationale maatregel die de organisatie van bepaalde kansspelen beperkt tot casino’s, slechts een “technisch voorschrift” in de zin van artikel 1, lid 11, van de richtlijn is, voor zover hij de aard of de verhandeling van de in dat verband gebruikte producten op significante wijze kan beïnvloeden (zie in die zin arresten Commissie/Griekenland, C-65/05, --, punt 61, en Fortuna e.a., C-213/11, C-214/11 en C-217/11, reeds aangehaald, punten 24 en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Een verbod op de exploitatie van speelautomaten buiten casino’s, zoals het verbod dat is ingevoerd bij de wijzigingswet van 2012, kan echter een aanzienlijke invloed hebben op de aard of de verhandeling van die automaten, die goederen zijn die onder artikel 34 VWEU kunnen vallen (zie arrest Läärä e.a., C-124/97, cf. punten 20 en 24), door de verkooppunten waarin zij kunnen worden gebruikt, te verminderen.”</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Arrest van het Hof van Justitie van 13 oktober 2016</w:t>
        </w:r>
      </w:hyperlink>
      <w:r>
        <w:t xml:space="preserve">, Naczelnik Urzędu Celnego I v., C-303/15, ECLI:EU:C:25-30.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Een bepaling die de uitoefening van kansspelactiviteiten afhankelijk stelt van het bezit van een vergunning voor de exploitatie van casino, vormt geen “andere eis”. Hoewel bepalingen die de organisatie van kansspelen beperken tot casino’s, de verhandeling van verwante producten aanzienlijk kunnen beïnvloeden door hun distributiekanalen te beperken, kunnen de regels betreffende de voorwaarden voor de vestiging van ondernemingen immers geen significante invloed hebben op de aard of de verhandeling van de gebruikte producten.</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Ten slotte moet, om te bepalen of artikel 6, lid 1, van de wet op de kansspelen binnen de werkingssfeer van artikel 1, lid 4, van richtlijn 98/34 dan wel onder artikel 1, lid 11, van deze richtlijn valt, worden nagegaan of een dergelijke bepaling de samenstelling, de aard of het in de handel brengen van het betrokken product, in casu speelautomaten, aanzienlijk kan beïnvloeden als “voorwaarde” met betrekking tot het gebruik van het betrokken product, dan wel of het gaat om een nationale maatregel die behoort tot de categorie verboden van artikel 1, lid 11, van deze richtlijn.</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In dat verband moet worden opgemerkt dat het verbod om roulettespelen, kaartspelen, dobbelspelen en automatenspelen buiten een casino te organiseren, is neergelegd in artikel 14, lid 1, van de wet op de kansspelen. Deze bepaling is bij de Commissie aangemeld als “technisch voorschrift”, gelet op het feit dat het Hof reeds heeft geoordeeld dat een nationale maatregel waarbij de organisatie van bepaalde kansspelen alleen aan casino’s wordt voorbehouden, een “technisch voorschrift” in de zin van artikel 1, lid 11, van richtlijn 98/34 vormt, aangezien zij de aard of de verhandeling van de in dit verband gebruikte producten aanzienlijk kan beïnvloeden en, ten tweede, een verbod om bepaalde producten buiten casino’s te exploiteren, de verhandeling van deze producten aanzienlijk kan beïnvloeden door de verkooppunten voor deze producten te verminderen (zie in die zin arrest van 11 juni 2015, Berlington Hungary e.a., C-98/14, ≠, punten 98 en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Artikel 6, lid 1, van die wet, dat bepaalt dat voor de organisatie van roulettespelen, kaartspelen, dobbelspelen en automatenspelen een vergunning voor de exploitatie van een casino is vereist, is daarentegen niet meegedeeld.</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28.Het argument van de Commissie dat het nauwe verband tussen de twee betrokken bepalingen van nationaal recht tot gevolg heeft dat artikel 14, lid 1, van de wet op de kansspelen niet los kan worden gezien van artikel 6, lid 1, van die wet, kan niet worden aanvaard. Zoals de advocaat-generaal in de punten 38 tot en met 44 van zijn conclusie heeft opgemerkt, hebben artikel 6, lid 1, en artikel 14, lid 1, van die wet immers een verschillende functie en werkingssfeer. Aan die vaststelling wordt niet afgedaan door de beschrijving in artikel 6, lid 1, van die wet, die de betrokken vergunning aanduidt als een vergunning “voor de exploitatie van een casino”.</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Bijgevolg moet worden vastgesteld dat artikel 6, lid 1, van de wet op de kansspelen niet kan worden geacht te vallen onder de categorie van “andere vereisten” in de zin van artikel 1, lid 4, van richtlijn 98/34, aangezien de door deze bepaling van nationaal recht vereiste vergunning voor de organisatie van kansspelen een voorwaarde is voor de organisatie van dergelijke spelen, in tegenstelling tot artikel 14, lid 1, van deze wet, dat voorwaarden stelt aan de betrokken producten door het gebruik ervan buiten casino’s te verbieden.</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Voorts zijn volgens vaste rechtspraak bepalingen van nationaal recht die enkel voorwaarden stellen voor de vestiging of het verrichten van diensten door ondernemingen, zoals bepalingen die de uitoefening van een beroepsactiviteit afhankelijk stellen van een voorafgaande vergunning, geen technische voorschriften in de zin van artikel 1, lid 11, van richtlijn 98/34 (zie in die zin arrest van 4 februari 2016, Ince, C-336/14, cf. punt 76 en aldaar aangehaalde rechtspraak).”</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Arrest van 27 oktober 2016</w:t>
        </w:r>
      </w:hyperlink>
      <w:r>
        <w:t xml:space="preserve"> in zaak C-613/14, James Elliott Construction, reeds aangehaald, punten 67 tot en met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Nationale bepalingen die impliciete contractuele voorwaarden vastleggen met betrekking tot de handelskwaliteit, de geschiktheid voor gebruik of de kwaliteit van de verkochte producten, vormen geen “andere eisen”, aangezien zij wegens hun algemene aard waarschijnlijk geen significante invloed zullen hebben op de samenstelling, de aard of de verhandeling van de betrokken producten.</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In casu blijkt ten eerste dat bepalingen als die welke in het hoofdgeding aan de orde zijn, hetzij op zich, hetzij zoals uitgelegd door de Ierse rechterlijke instanties, niet onder het begrip “technische specificatie” in de zin van artikel 1, lid 3, van richtlijn 98/34 vallen. Dit begrip ziet alleen op nationale maatregelen die verwijzen naar een product of de verpakking ervan als zodanig en dus een van de vereiste kenmerken van een product vaststellen (arrest van 10 juli 2014, Ivansson e.a., C-307/13, ≠, punt 19 en aldaar aangehaalde rechtspraak). Dit is kennelijk niet het geval voor een vereiste dat, tenzij partijen anders bepalen, in het algemeen van toepassing is op de verkoop van ieder product.</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In de tweede plaats kunnen deze bepalingen om dezelfde reden niet worden aangemerkt als “andere eisen” in de zin van artikel 1, lid 4, van richtlijn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In dit verband heeft het Hof gepreciseerd dat de betrokken nationale maatregelen, om als “andere eisen” in de zin van deze bepaling te kunnen worden aangemerkt, voorwaarden moeten vormen die de samenstelling, de aard of de verhandeling van het betrokken product op significante wijze kunnen beïnvloeden, aangezien vereisten van algemene aard geen dergelijke voorwaarden kunnen vormen en bijgevolg niet als “andere eisen” kunnen worden aangemerkt (zie arrest van 10 juli 2014, Ivansson e.a., C-307/13, cf. punten 26 en 27 en aldaar aangehaalde rechtspraak).”</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Arrest van 1 februari 2017</w:t>
        </w:r>
      </w:hyperlink>
      <w:r>
        <w:t xml:space="preserve"> in zaak C-144/16, Município de Palmela, reeds aangehaald, punten 23 en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Een bepaling waarin op grond van consumentenbescherming aan een product verpakkingseisen worden opgelegd, is een “andere eis”, omdat zij betrekking heeft op de levenscyclus van producten na het in de handel brengen ervan en een aanzienlijke invloed heeft op de samenstelling en het in de handel brengen ervan.</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Daarentegen is een verordening die voorschrijft dat informatie over de maximale capaciteit van een vrijetijdszone op verschillende plaatsen in dat gebied moet worden getoond, geen “andere eis” vanwege haar algemene aard.</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Met betrekking tot artikel 16, lid 1, en (2), van de PRA-verordening, zoals gewijzigd bij decreto-legge nr. 119/2009, moet worden opgemerkt dat deze verordening, zoals de verwijzende rechter heeft opgemerkt, een technisch voorschrift in de zin van de richtlijnen 83/189 en 98/34 vormt, aangezien deze bepaling voor een product ter bescherming van de consument eisen stelt die van invloed zijn op de levenscyclus ervan na het in de handel brengen ervan en de samenstelling en het in de handel brengen van een dergelijk product aanzienlijk beïnvloeden. Bijgevolg valt deze bepaling onder de categorie “andere eisen” in de zin van zowel artikel 1, lid 3, van richtlijn 83/189 als artikel 1, lid 4, van richtlijn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een bepaling als die welke in het hoofdgeding aan de orde is, vormt geen “ander vereiste” in de zin van artikel 1, lid 4, van richtlijn 98/34, gelet op het algemene karakter van de daarin gestelde eisen (zie in die zin arrest van 9 juni 2011, Intercommunale Intermosane en Fédération de l’industrie et du gaz,</w:t>
        <w:noBreakHyphen/>
        <w:t xml:space="preserve">C 361/10, -, punt 21). Het bevat daarentegen geen verboden waardoor het onder de categorie van de verboden van artikel 1, lid 11, van die richtlijn zou kunnen vallen.”</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Arrest van 26 september 2018 in zaak C-137/17</w:t>
      </w:r>
      <w:r>
        <w:rPr>
          <w:b/>
          <w:bCs/>
          <w:i/>
          <w:iCs/>
          <w:color w:val="0000FF"/>
          <w:sz w:val="22"/>
          <w:szCs w:val="22"/>
          <w:u w:val="single"/>
        </w:rPr>
        <w:fldChar w:fldCharType="end"/>
        <w:t xml:space="preserve">, Van Gennip e.a., reeds aangehaald, punten 39 en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Nationale bepalingen die het in de handel brengen van producten afhankelijk stellen van de voorwaarde dat de koper in het bezit is van een vergunning, vallen niet onder het begrip “andere eisen”, aangezien dit een voorwaarde is die niet aan de producten, maar aan de kopers wordt gesteld.</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wat de categorie “andere eisen” betreft, zij eraan herinnerd dat een nationale maatregel, om als “andere eisen” in de zin van artikel 1, punt 4, van richtlijn 98/34 te worden aangemerkt, een “voorwaarde” moet zijn die de samenstelling, de aard of het in de handel brengen van het betrokken product op significante wijze kan beïnvloeden (arrest van 13 oktober 2016, M. en S., C-303/15, cf. punt 20 en aldaar aangehaalde rechtspraak).</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In dat verband moet, met de advocaat-generaal in punt 76 van zijn conclusie, worden opgemerkt dat de Belgische regeling voor de verkoop van pyrotechnische artikelen die meer dan 1 kg pyrotechnische sas bevatten, vereist dat de koper over een vergunning beschikt. De vereiste vergunning vormt dus geen vereiste voor het betrokken product, maar voor potentiële kopers en, indirect, voor marktdeelnemers die pyrotechnische artikelen verkopen (zie in die zin arresten van 21 april 2005, Lindberg, C-267/03, ≠, punt 87, en 13 oktober 2016, M. en S., C-303/15, cf. punt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Arrest van 28 mei 2020</w:t>
        </w:r>
      </w:hyperlink>
      <w:r>
        <w:t xml:space="preserve"> in zaak C-727/17, ECO-WIND Construction, punten 40 en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Een verordening die voorziet in een minimumafstand voor de installatie van windturbines valt niet onder de categorie “andere eisen”, omdat het effect ervan op het in de handel brengen van de betrokken producten niet voldoende rechtstreeks is.</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volgens vaste rechtspraak omvat deze categorie een regeling die een voorwaarde stelt die een aanzienlijke invloed kan hebben op de samenstelling, de aard of het in de handel brengen van een product (arresten van 21 april 2005, Lindberg, C-267/03, EU:C:2021:69, punten 72-35, en 19 juli 2012, Fortuna e.a., C-213/11, C-214/11 en C-217/11, [...] punt), waarbij deze “andere eisen” betrekking hebben op de vereisten die voortvloeien uit de inaanmerkingneming van de levenscyclus van het betrokken product nadat het in de handel is gebracht, en die met name betrekking hebben op het gebruik ervan.</w:t>
      </w:r>
    </w:p>
    <w:p w14:paraId="15144425" w14:textId="77777777">
      <w:pPr>
        <w:pStyle w:val="P68B1DB1-BodyText19"/>
        <w:ind w:left="567"/>
        <w:rPr>
          <w:iCs/>
        </w:rPr>
      </w:pPr>
    </w:p>
    <w:p w14:paraId="45870460" w14:textId="6B88BEBE">
      <w:pPr>
        <w:pStyle w:val="P68B1DB1-BodyText19"/>
        <w:ind w:left="567"/>
        <w:rPr>
          <w:iCs/>
        </w:rPr>
      </w:pPr>
      <w:r>
        <w:t xml:space="preserve">41. In casu moet, in navolging van de beoordeling in punt 37 van het onderhavige arrest, worden opgemerkt dat het vereiste dat voor de plaatsing van een windturbine een minimumafstand tussen deze windturbine en woongebouwen in acht moet worden genomen, geen rechtstreeks verband houdt met de samenstelling, de aard of de verhandeling van een product zoals een windgenerator. Gesteld al dat dit vereiste zou leiden tot een beperking van de locaties die geschikt zijn voor de installatie van windturbines en dus gevolgen zou hebben voor het in de handel brengen van windgeneratoren, dan nog zou dit effect niet voldoende rechtstreeks zijn om te kunnen vallen onder de categorie “andere eisen” van artikel 1, lid 1, onder f), van richtlijn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Arrest van het Hof van Justitie van 4 november 2022</w:t>
        </w:r>
      </w:hyperlink>
      <w:r>
        <w:rPr>
          <w:rFonts w:ascii="Times New Roman" w:hAnsi="Times New Roman" w:cs="Times New Roman" w:eastAsia="Times New Roman"/>
          <w:b/>
          <w:i/>
          <w:szCs w:val="20"/>
        </w:rPr>
        <w:t xml:space="preserve">, Phytofar, C</w:t>
        <w:noBreakHyphen/>
        <w:t xml:space="preserve">658/21, beide reeds aangehaald, punten 36 tot en met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Een wettelijke regeling die personen die niet over een toelating voor professionele gebruikers beschikken, verbiedt pesticiden te gebruiken die glyfosaat bevatten, kan een “andere eis” vormen, aangezien zij het in de handel brengen van glyfosaat aanzienlijk kan beïnvloeden. Het belang van deze invloed wordt beoordeeld aan de hand van de omvang van de aankopen van de betrokken producten en de ontwikkeling van de verkoopgewoonten.</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In casu blijkt om te beginnen uit de considerans van het besluit van 14 juli 2017 dat het daarin neergelegde verbod is opgelegd ter bescherming van de gezondheid van de mens en het milieu.</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Voorts moet worden opgemerkt dat dit verbod betrekking heeft op de levenscyclus van glyfosaathoudende pesticiden nadat deze in de handel zijn gebracht en meer bepaald een voorwaarde oplegt in verband met het gebruik van deze producten, namelijk dat enkel professionele gebruikers met een fytolicentie ze mogen toepassen.</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Tot slot moet worden geconstateerd dat deze verbodsmaatregel de verhandeling van de betrokken producten kan beïnvloeden.</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Deze maatregel leidt immers tot het verdwijnen van een categorie potentiële kopers van glyfosaathoudende pesticiden, te weten particulieren die zelf dergelijke pesticiden willen gebruiken zonder een beroep te doen op de diensten van professionele gebruikers die over de vereiste fytolicentie beschikken. Een dergelijke beperking van de mogelijkheid om glyfosaatbevattende bestrijdingsmiddelen te gebruiken, heeft dus gevolgen voor het in de handel brengen ervan (zie naar analogie arrest van 13 oktober 2016, M. en S., C-303/15, ≠, punt 26 en aldaar aangehaalde rechtspraak).</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Zoals de Commissie in haar schriftelijke opmerkingen opmerkt, kan de bij het besluit van 14 juli 2017 ingevoerde maatregel slechts worden aangemerkt als een “technisch voorschrift”, dat onder de categorie “andere voorschriften” in de zin van artikel 1, lid 1, onder d) en f), van richtlijn 2015/1535 valt, indien het in de handel brengen van glyfosaatbevattende bestrijdingsmiddelen “in aanzienlijke mate” door deze maatregel wordt beïnvloed.</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Het staat aan de verwijzende rechter om na te gaan of dit in het hoofdgeding het geval is.</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Bij deze beoordeling kan de verwijzende rechter onder meer rekening houden met de totale omvang van de verkoop van glyfosaathoudende pesticiden op het grondgebied van het Vlaamse Gewest en met veranderingen in de aankoopgewoonten van elke categorie kopers — de frequentie van hun aankopen en de gekochte hoeveelheid van het product — alsook in de aankoopplaatsen en de distributiekanalen. In dit verband kan deze rechter rekening houden met de mate waarin, enerzijds, de vraag van professionele gebruikers in de plaats komt van die van personen die gebruikmaken van de diensten van professionele gebruikers, en, anderzijds, individuele gebruikers thans glyfosaatvrije pesticiden verkrijgen in plaats van pesticiden die deze stof bevatten.”</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Arrest van 9 maart 2023</w:t>
        </w:r>
      </w:hyperlink>
      <w:r>
        <w:rPr>
          <w:rFonts w:ascii="Times New Roman" w:hAnsi="Times New Roman" w:cs="Times New Roman" w:eastAsia="Times New Roman"/>
          <w:b/>
          <w:i/>
          <w:szCs w:val="20"/>
        </w:rPr>
        <w:t xml:space="preserve"> in zaak C-604/21, Vapo Atlantic, reeds aangehaald, punten 40 en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Nationale wetgeving die exploitanten die motorbrandstoffen tot verbruik uitgeven, verplicht om bij te dragen tot het halen van de streefcijfers voor de integratie van biobrandstoffen in motorbrandstoffen en waarvan de schending tot financiële sancties kan leiden, kan het in de handel brengen van brandstoffen aanzienlijk beïnvloeden. Het gaat dus om een “andere eis”.</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In casu hebben de vragen van de verwijzende rechter betrekking op een nationale regeling die marktdeelnemers die motorbrandstoffen — met uitzondering van lpg en aardgas — tot verbruik uitslaan, verplicht om bij te dragen tot het bereiken van streefcijfers voor de bijmenging van biobrandstoffen in de jaarlijks door hen tot verbruik uitgeslagen hoeveelheden motorbrandstoffen, en met name een streefcijfer van 10 % voor 2020. Een dergelijke regeling preciseert weliswaar niet welke soort motorbrandstof wordt bedoeld, stelt geen percentage biobrandstof vast dat fysiek in motorbrandstoffen moet worden bijgemengd en preciseert evenmin de soort biobrandstof die moet worden bijgemengd, maar de eis die daarin wordt gesteld met het oog op de bescherming van het milieu heeft betrekking op de levenscyclus van motorbrandstoffen nadat deze in de handel zijn gebracht en kan de verhandeling van deze producten op significante wijze beïnvloeden, in die zin dat de niet-naleving van de daarin gestelde verplichting tot bijmenging van biobrandstoffen kan leiden tot het opleggen van een financiële compensatie.</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Hieruit volgt dat een nationale regeling die voorziet in een streefcijfer voor de bijmenging van 10 % biobrandstoffen in door een marktdeelnemer tot verbruik uitgeslagen motorbrandstoffen voor 2020, onder het begrip “andere eisen” in de zin van artikel 1, lid 4, van richtlijn 98/34 valt en dus een “technisch voorschrift” in de zin van artikel 1, lid 11, van deze richtlijn vormt.”</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Regels inzake diensten</w:t>
      </w:r>
      <w:bookmarkEnd w:id="5"/>
      <w:bookmarkEnd w:id="68"/>
      <w:bookmarkEnd w:id="69"/>
    </w:p>
    <w:p w14:paraId="19E12A03" w14:textId="77777777">
      <w:pPr>
        <w:pStyle w:val="BodyText"/>
      </w:pPr>
    </w:p>
    <w:p w14:paraId="6D8B2150" w14:textId="77777777">
      <w:pPr>
        <w:pStyle w:val="P68B1DB1-BodyText11"/>
        <w:ind w:left="567"/>
        <w:rPr>
          <w:iCs/>
        </w:rPr>
      </w:pPr>
      <w:r>
        <w:t xml:space="preserve">“regel betreffende diensten”: een eis van algemene aard betreffende de toegang tot en de uitoefening van dienstenactiviteiten in de zin van punt b), met name bepalingen betreffende de dienstverlener, de diensten en de afnemer van diensten, met uitzondering van regels die niet specifiek betrekking hebben op de in dat punt omschreven diensten. </w:t>
      </w:r>
    </w:p>
    <w:p w14:paraId="7C9B8AC3" w14:textId="77777777">
      <w:pPr>
        <w:pStyle w:val="P68B1DB1-BodyText11"/>
        <w:ind w:left="567"/>
        <w:rPr>
          <w:iCs/>
        </w:rPr>
      </w:pPr>
    </w:p>
    <w:p w14:paraId="46FCE36C" w14:textId="0D89DACC">
      <w:pPr>
        <w:pStyle w:val="P68B1DB1-BodyText11"/>
        <w:ind w:left="567"/>
        <w:rPr>
          <w:iCs/>
        </w:rPr>
      </w:pPr>
      <w:r>
        <w:t xml:space="preserve">Voor de toepassing van deze definitie: </w:t>
      </w:r>
    </w:p>
    <w:p w14:paraId="0FA17B64" w14:textId="77777777">
      <w:pPr>
        <w:pStyle w:val="P68B1DB1-BodyText11"/>
        <w:ind w:left="567"/>
        <w:rPr>
          <w:iCs/>
        </w:rPr>
      </w:pPr>
    </w:p>
    <w:p w14:paraId="5287D99C" w14:textId="40B4253E">
      <w:pPr>
        <w:pStyle w:val="P68B1DB1-BodyText11"/>
        <w:numPr>
          <w:ilvl w:val="0"/>
          <w:numId w:val="30"/>
        </w:numPr>
        <w:rPr>
          <w:iCs/>
        </w:rPr>
      </w:pPr>
      <w:r>
        <w:t xml:space="preserve">wordt een regel geacht specifiek betrekking te hebben op de diensten van de informatiemaatschappij wanneer die regel, gezien de motivering en de tekst van het dispositief, in zijn totaliteit of in enkele specifieke bepalingen ervan specifiek tot doel heeft die diensten uitdrukkelijk en gericht te reglementeren; </w:t>
      </w:r>
    </w:p>
    <w:p w14:paraId="112BC54B" w14:textId="13ACB17B">
      <w:pPr>
        <w:pStyle w:val="P68B1DB1-BodyText11"/>
        <w:numPr>
          <w:ilvl w:val="0"/>
          <w:numId w:val="30"/>
        </w:numPr>
        <w:rPr>
          <w:iCs/>
        </w:rPr>
      </w:pPr>
      <w:r>
        <w:t xml:space="preserve">een regel wordt niet geacht specifiek betrekking te hebben op diensten van de informatiemaatschappij indien zij slechts impliciet of incidenteel van toepassing is op dergelijke diensten;”</w:t>
      </w:r>
    </w:p>
    <w:p w14:paraId="573C811F" w14:textId="77777777">
      <w:pPr>
        <w:pStyle w:val="BodyText"/>
        <w:ind w:left="567"/>
        <w:rPr>
          <w:i/>
          <w:iCs/>
        </w:rPr>
      </w:pPr>
    </w:p>
    <w:p w14:paraId="2735376A" w14:textId="709F0465">
      <w:pPr>
        <w:pStyle w:val="BodyText"/>
        <w:ind w:left="1440"/>
        <w:jc w:val="right"/>
      </w:pPr>
      <w:r>
        <w:t xml:space="preserve">(Artikel 1, lid 1, onder e), van Richtlijn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“dienst”: elke dienst van de informatiemaatschappij, dat wil zeggen elke dienst die gewoonlijk tegen vergoeding, langs elektronische weg, op afstand en op individueel verzoek van een afnemer van diensten wordt verricht.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Voor de toepassing van deze definitie: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“op afstand”: het feit dat de dienst wordt verricht zonder dat de partijen gelijktijdig aanwezig zijn;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“langs elektronische weg”: de dienst wordt verzonden en ontvangen via elektronische apparatuur voor de verwerking (met inbegrip van digitale compressie) en de opslag van gegevens, en volledig verzonden, doorgeleid en ontvangen via draad, radio, optische middelen of andere elektromagnetische middelen;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“op individueel verzoek van een afnemer van diensten” betekent dat de dienst wordt verleend door middel van de doorgifte van gegevens op individueel verzoek.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Een indicatieve lijst van diensten die niet onder deze definitie vallen, is opgenomen in bijlage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(Artikel 1, lid 1, onder b), van Richtlijn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“Indicatieve lijst van diensten die niet onder artikel 1, lid 1, onder b), tweede alinea, vallen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Diensten die niet “op afstand” worden geleverd</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Diensten die in de fysieke aanwezigheid van de verlener en de afnemer worden verleend, ook wanneer daarbij elektronische apparatuur wordt gebruikt: </w:t>
      </w:r>
    </w:p>
    <w:p w14:paraId="3362CCDE" w14:textId="74A453DA">
      <w:pPr>
        <w:spacing w:after="0" w:line="240" w:lineRule="auto"/>
        <w:ind w:left="1287"/>
        <w:rPr>
          <w:rFonts w:ascii="Times New Roman" w:hAnsi="Times New Roman" w:cs="Times New Roman"/>
          <w:i/>
          <w:sz w:val="24"/>
          <w:szCs w:val="24"/>
        </w:rPr>
        <w:pStyle w:val="P68B1DB1-Normal12"/>
      </w:pPr>
      <w:r>
        <w:t xml:space="preserve">a) medische onderzoeken of behandelingen in de chirurgie van een arts met behulp van elektronische apparatuur waar de patiënt fysiek aanwezig is;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raadpleging van een elektronische catalogus in een winkel met de klant ter plaatse; </w:t>
      </w:r>
    </w:p>
    <w:p w14:paraId="7DA6C469" w14:textId="5F31D5B1">
      <w:pPr>
        <w:spacing w:after="0" w:line="240" w:lineRule="auto"/>
        <w:ind w:left="1287"/>
        <w:rPr>
          <w:rFonts w:ascii="Times New Roman" w:hAnsi="Times New Roman" w:cs="Times New Roman"/>
          <w:i/>
          <w:sz w:val="24"/>
          <w:szCs w:val="24"/>
        </w:rPr>
        <w:pStyle w:val="P68B1DB1-Normal12"/>
      </w:pPr>
      <w:r>
        <w:t xml:space="preserve">c) boeking van vliegtickets bij een reisbureau in fysieke aanwezigheid van de klant via een netwerk van computers;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elektronische spelletjes die beschikbaar worden gesteld in een videogarcade waar de klant fysiek aanwezig is.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Diensten die niet “langs elektronische weg” worden geleverd</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diensten met een materiële inhoud, ook wanneer daarbij elektronische apparatuur wordt gebruikt: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automatische automaten voor de afgifte van contant geld of kaartjes (bankbiljetten, treinkaartjes); </w:t>
      </w:r>
    </w:p>
    <w:p w14:paraId="07693B6B" w14:textId="1A59726A">
      <w:pPr>
        <w:spacing w:after="0" w:line="240" w:lineRule="auto"/>
        <w:ind w:left="1287"/>
        <w:rPr>
          <w:rFonts w:ascii="Times New Roman" w:hAnsi="Times New Roman" w:cs="Times New Roman"/>
          <w:i/>
          <w:sz w:val="24"/>
          <w:szCs w:val="24"/>
        </w:rPr>
        <w:pStyle w:val="P68B1DB1-Normal12"/>
      </w:pPr>
      <w:r>
        <w:t xml:space="preserve">b) toegang tot wegennetten, parkeerplaatsen enz., voor het gebruik in rekening brengen, zelfs als er elektronische apparatuur aanwezig is aan de ingang/uitgang die de toegang controleert en/of zorgt voor een correcte betaling; </w:t>
      </w:r>
    </w:p>
    <w:p w14:paraId="6B193BE7" w14:textId="77777777">
      <w:pPr>
        <w:spacing w:after="0" w:line="240" w:lineRule="auto"/>
        <w:ind w:left="567"/>
        <w:rPr>
          <w:rFonts w:ascii="Times New Roman" w:hAnsi="Times New Roman" w:cs="Times New Roman"/>
          <w:i/>
          <w:sz w:val="24"/>
          <w:szCs w:val="24"/>
        </w:rPr>
        <w:pStyle w:val="P68B1DB1-Normal12"/>
      </w:pPr>
      <w:r>
        <w:t xml:space="preserve">offline-diensten: verspreiding van cd-roms of software op diskettes; </w:t>
      </w:r>
    </w:p>
    <w:p w14:paraId="421C0A6C" w14:textId="77777777">
      <w:pPr>
        <w:spacing w:after="0" w:line="240" w:lineRule="auto"/>
        <w:ind w:left="567"/>
        <w:rPr>
          <w:rFonts w:ascii="Times New Roman" w:hAnsi="Times New Roman" w:cs="Times New Roman"/>
          <w:i/>
          <w:sz w:val="24"/>
          <w:szCs w:val="24"/>
        </w:rPr>
        <w:pStyle w:val="P68B1DB1-Normal12"/>
      </w:pPr>
      <w:r>
        <w:t xml:space="preserve">— diensten die niet via elektronische systemen voor de opslag en verwerking van gegevens worden geleverd: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spraaktelefoniediensten;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telefax/telexdiensten;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diensten die via spraaktelefonie of fax worden verleend;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telefonische raadpleging van een arts;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telefonische raadpleging van een advocaat;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direct marketing per telefoon/telefax.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Diensten die niet “op individueel verzoek van een afnemer van diensten” worden geleverd</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Diensten die via de verzending van gegevens zonder individuele oproep worden verleend en bestemd zijn voor gelijktijdige ontvangst door een onbeperkt aantal ontvangers (point-to-multipoint-transmissie): </w:t>
      </w:r>
    </w:p>
    <w:p w14:paraId="7348FF90" w14:textId="622E29E3">
      <w:pPr>
        <w:spacing w:after="0" w:line="240" w:lineRule="auto"/>
        <w:ind w:left="1287"/>
        <w:rPr>
          <w:rFonts w:ascii="Times New Roman" w:hAnsi="Times New Roman" w:cs="Times New Roman"/>
          <w:i/>
          <w:sz w:val="24"/>
          <w:szCs w:val="24"/>
        </w:rPr>
        <w:pStyle w:val="P68B1DB1-Normal12"/>
      </w:pPr>
      <w:r>
        <w:t xml:space="preserve">(a) televisieomroepdiensten (met inbegrip van bijna-videodiensten op aanvraag) die vallen onder artikel 1, lid 1, onder e), van Richtlijn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radio-omroepdiensten; </w:t>
      </w:r>
    </w:p>
    <w:p w14:paraId="50FD6B17" w14:textId="6C6940F1">
      <w:pPr>
        <w:spacing w:after="0" w:line="240" w:lineRule="auto"/>
        <w:ind w:left="567" w:firstLine="720"/>
        <w:pStyle w:val="P68B1DB1-Normal12"/>
      </w:pPr>
      <w:r>
        <w:t xml:space="preserve">c) teletext (op televisie).”</w:t>
      </w:r>
    </w:p>
    <w:p w14:paraId="4CB8A09D" w14:textId="49490E91">
      <w:pPr>
        <w:pStyle w:val="BodyText"/>
        <w:ind w:left="1440"/>
        <w:jc w:val="right"/>
      </w:pPr>
      <w:r>
        <w:t xml:space="preserve">(Bijlage I bij Richtlijn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Arrest van 2 juni 2005</w:t>
        </w:r>
      </w:hyperlink>
      <w:r>
        <w:rPr>
          <w:rFonts w:ascii="Times New Roman" w:hAnsi="Times New Roman" w:cs="Times New Roman" w:eastAsia="Times New Roman"/>
          <w:b/>
          <w:i/>
          <w:szCs w:val="20"/>
        </w:rPr>
        <w:t xml:space="preserve">, zaak C-89/04, Mediakabel BV, reeds aangehaald, punten 38 en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televisieomroepdienst die op verzoek van de abonnee beschikbaar wordt gesteld, maar waarvoor de frequentie en het tijdstip van de films door de aanbieder worden bepaald, vormt geen “dienst van de informatiemaatschappij”, aangezien de inhoud door de aanbieder wordt geselecteerd en gepland en dus niet op individueel verzoek van de ontvanger wordt geleverd.</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Een dergelijke dienst voldoet weliswaar aan de eerste twee criteria om te kunnen worden aangemerkt als een “dienst van de informatiemaatschappij” in de zin van artikel 1, lid 2, van richtlijn 98/34, dat wil zeggen op afstand en gedeeltelijk via elektronische apparatuur, maar voldoet niet aan het derde criterium van het begrip, volgens hetwelk de betrokken dienst moet worden verricht “op individueel verzoek van een afnemer van diensten”. De lijst van in het kader van een dienst als “Filmtime” aangeboden films wordt opgesteld door de aanbieder van de dienst. Deze filmselectie wordt aan alle abonnees aangeboden in dezelfde omstandigheden, hetzij via de krant, hetzij door middel van informatie die via de televisie wordt verspreid, en de films zijn toegankelijk op de door de aanbieder vastgestelde uitzendtijdstippen. De persoonlijke sleutel die toegang geeft tot de films is niet meer dan een middel tot het decoderen van beelden, waarvan de signalen aan alle abonnees tegelijkertijd worden verzonden.</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Een dergelijke dienst wordt dus niet individueel besteld door een afzonderlijke afnemer die zijn programma’s in een interactief kader vrij zou kunnen kiezen. Het moet worden beschouwd als een bijna-videodienst op aanvraag, die wordt aangeboden op “point to multipoint” -basis en niet “op individueel verzoek van een afnemer van diensten”.”</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Arrest van het Hof van Justitie van 2 februari 2016</w:t>
        </w:r>
      </w:hyperlink>
      <w:r>
        <w:t xml:space="preserve">, Ince, C-336/14, punten 75 en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die het aanbieden van onlinekansspelen beperken of onlinereclame voor dergelijke spelen verbieden, kunnen worden beschouwd als “regels betreffende diensten”, aangezien zij betrekking hebben op een “dienst van de informatiemaatschappij”. De bepalingen die een voorafgaande vergunning voor exploitanten van kansspelen vereisen of verbieden dat een dergelijke vergunning aan particuliere exploitanten wordt verleend, hebben daarentegen betrekking op de vestigingsvoorwaarden van ondernemingen en vormen derhalve geen “regels betreffende diensten”.</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sommige bepalingen van het Verdrag inzake kansspelen kunnen worden aangemerkt als “regels betreffende diensten”, voor zover zij betrekking hebben op een “dienst van de informatiemaatschappij” in de zin van artikel 1, punt 2, van richtlijn 98/34. Tot deze bepalingen behoren het in § 4 (4) van het kansspelverdrag neergelegde verbod om kansspelen op internet aan te bieden, de in § 25 (6) van dat verdrag opgenomen uitzonderingen op dit verbod, de beperkingen op het aanbieden van sportweddenschappen via telemedia als bedoeld in § 21 (2) van dat verdrag, en het verbod om reclame voor kansspelen op internet of via telecommunicatieapparatuur uit te zenden overeenkomstig § 5 (3) van dat verdrag.</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De andere bepalingen van het GlüStV dan deze met betrekking tot een “dienst van de informatiemaatschappij” in de zin van artikel 1, punt 2, van richtlijn 98/34, zoals de bepalingen inzake de verplichting om een vergunning te verkrijgen voor de organisatie of inzameling van sportweddenschappen en de onmogelijkheid om een dergelijke vergunning te verlenen aan particuliere exploitanten, zijn daarentegen geen “technische voorschriften” in de zin van artikel 1, punt 11, van die richtlijn. Nationale bepalingen die enkel voorwaarden stellen voor de vestiging of het verrichten van diensten door ondernemingen, zoals bepalingen die de uitoefening van een activiteit afhankelijk stellen van een voorafgaande vergunning, zijn geen technische voorschriften in de zin van die bepaling (zie in die zin arrest Lindberg, C-267/03, -).”</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Arrest van het Hof van Justitie van 13 oktober 2016</w:t>
        </w:r>
      </w:hyperlink>
      <w:r>
        <w:t xml:space="preserve">, Naczelnik Urzędu Celnego I w., C</w:t>
        <w:noBreakHyphen/>
        <w:t xml:space="preserve">303/15, ≠, punt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Een bepaling die de uitoefening van kansspelactiviteiten afhankelijk stelt van het bezit van een vergunning voor de exploitatie van casino, vormt geen “regel inzake diensten”, aangezien zij geen betrekking heeft op een “dienst van de informatiemaatschappij”.</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deze bepaling kan niet worden ingedeeld in de categorie “regels betreffende diensten van de informatiemaatschappij” in de zin van artikel 1, lid 5, van richtlijn 98/34, aangezien zij geen betrekking heeft op een “dienst van de informatiemaatschappij” in de zin van artikel 1, lid 2, van deze richtlijn.”</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Arrest van het Hof van Justitie van 20 december 2017</w:t>
      </w:r>
      <w:r>
        <w:rPr>
          <w:color w:val="0000FF"/>
          <w:u w:val="single"/>
        </w:rPr>
        <w:fldChar w:fldCharType="end"/>
        <w:t xml:space="preserve">, Falbert e.a., C</w:t>
        <w:noBreakHyphen/>
        <w:t xml:space="preserve">255/16, reeds aangehaald, punten 27 tot en met 29, 32 en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inzake diensten op het gebied van kansspelen of reclame kunnen “regels betreffende diensten” vormen indien zij rechtstreeks betrekking hebben op diensten die op afstand, langs elektronische weg en op individueel verzoek van de afnemer worden verricht. Zelfs indien de bewoordingen van dergelijke bepalingen geen onderscheid maken tussen online- en offlinediensten, kan het doel ervan met betrekking tot “diensten van de informatiemaatschappij” worden afgeleid uit de overwegingen of de </w:t>
      </w:r>
      <w:r>
        <w:rPr>
          <w:i/>
        </w:rPr>
        <w:t xml:space="preserve">ontstaansgeschiedenis ervan</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Er zij aan herinnerd dat volgens artikel 1, lid 2, van deze richtlijn het begrip “technisch voorschrift” uitsluitend betrekking heeft op voorschriften betreffende de diensten van de informatiemaatschappij, dat wil zeggen elke dienst die langs elektronische weg en op individueel verzoek van een afnemer van diensten op afstand wordt verricht (zie arresten van 13 oktober 2016, M. en S., C-303/15, cf. reeds aangehaald arrest, punt 21, en 1 februari 2017, Município de Palmela, C-144/16, -, punt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In dit verband moet worden opgemerkt dat § 10 (3) (3) van de kansspelwet in beginsel betrekking heeft op twee soorten diensten, te weten, ten eerste, diensten op het gebied van de reclame, die op grond van deze bepaling onmiddellijk worden bestraft, en, ten tweede, kansspeldiensten die onder het reclameverbod vallen en die het voornaamste voorwerp zijn van de kansspelwet, in hun geheel beschouwd.</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Zowel diensten op het gebied van reclame als diensten op het gebied van kansspelen, voor zover zij onder meer langs elektronische weg (online) worden verricht, vormen “diensten van de informatiemaatschappij” in de zin van artikel 1, lid 2, van richtlijn 98/34 en de desbetreffende regels, die derhalve als “regels betreffende diensten” in de zin van artikel 1, lid 5, van richtlijn 98/34 kunnen worden beschouwd.”</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In dit verband moet in de eerste plaats worden opgemerkt dat volgens artikel 1, lid 5, eerste streepje, van richtlijn 98/34 de vraag of een regel specifiek betrekking heeft op diensten van de informatiemaatschappij, moet worden beoordeeld aan de hand van zowel de motivering als de bewoordingen van de regel. Volgens diezelfde bepaling is het niet vereist dat de regel in kwestie in zijn totaliteit “specifiek tot doel heeft” diensten van de informatiemaatschappij te reglementeren, maar volstaat het dat dit doel met enkele bepalingen wordt nagestreefd.</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Indien dus niet alleen uit de bewoordingen van een nationale regeling blijkt dat zij, althans gedeeltelijk, tot doel heeft diensten van de informatiemaatschappij specifiek te regelen — zoals in casu, waarin in de bewoordingen geen onderscheid wordt gemaakt tussen offlinediensten en online aangeboden diensten — kan dit voorwerp niettemin duidelijk worden afgeleid uit de motivering van de regel, zoals in casu het geval is bij de relevante nationale uitleggingsregels, die onder meer de voorbereidende werkzaamheden van de regel mogelijk maken.”</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Arrest van 20 december 2017</w:t>
        </w:r>
      </w:hyperlink>
      <w:r>
        <w:t xml:space="preserve">, Asociación Profesional Elite Taxi, C 434/15,</w:t>
        <w:noBreakHyphen/>
        <w:t xml:space="preserve">≠, punten 37 en 39 tot en met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Een bemiddelingsdienst die, via een smartphone-applicatie en tegen vergoeding, niet-professionele bestuurders die hun eigen voertuigen gebruiken, verbindt met personen die op zoek zijn naar stadsvervoer, moet worden geacht intrinsiek verbonden te zijn met een vervoersdienst en derhalve te worden aangemerkt als een “dienst op het gebied van vervoer” (en niet als een “dienst van de informatiemaatschappij”).</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Er zij evenwel op gewezen dat een dienst als die in het hoofdgeding meer is dan een bemiddelingsdienst die erin bestaat een niet-professionele bestuurder die zijn eigen voertuig gebruikt, via een smartphone-applicatie in contact te brengen met een persoon die een stadstraject wenst te maken.”</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Dienaangaande blijkt uit de gegevens waarover het Hof beschikt, dat de bemiddelingsdienst van Uber is gebaseerd op de selectie van particuliere bestuurders die hun eigen voertuig gebruiken, aan wie deze vennootschap een app bezorgt, zonder welke, enerzijds, deze bestuurders niet ertoe zouden worden gebracht om vervoerdiensten te leveren, en, anderzijds, de personen die een stadstraject wensen af te leggen, geen toegang zouden hebben tot de diensten van die bestuurders. Bovendien oefent Uber een beslissende invloed uit op de dienstverrichtingsvoorwaarden van die bestuurders. Aangaande dit laatste punt blijkt met name dat Uber, middels de gelijknamige app, op zijn minst de maximumprijs van de rit vaststelt, dat deze vennootschap deze prijs int bij de klant vooraleer een deel hiervan terug te storten aan de particuliere bestuurder van het voertuig en dat zij een zekere controle uitoefent op de kwaliteit van de voertuigen, van hun bestuurders en op hun gedrag, dat eventueel kan leiden tot hun uitsluiting.</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Deze bemiddelingsdienst moet dus worden beschouwd als een integrerend onderdeel van een algemene dienst waarvan het hoofdbestanddeel een vervoersdienst is, en moet dus niet worden aangemerkt als een “dienst van de informatiemaatschappij” in de zin van artikel 1, lid 2, van richtlijn 98/34, waarnaar artikel 2, onder a), van richtlijn 2000/31 verwijst, maar als “dienst op het gebied van vervoer” in de zin van artikel 2, lid 2, onder d), van richtlijn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Deze kwalificatie wordt overigens bevestigd door de rechtspraak van het Hof, volgens welke het begrip “diensten op het gebied van vervoer” niet alleen vervoersdiensten op zich omvat, maar ook alle diensten die inherent zijn aan elke fysieke handeling waarbij personen of goederen door middel van een vervoermiddel van de ene naar de andere plaats worden verplaatst [zie in die zin arresten van 15 oktober 2015, Grupo Itevelesa e.a., C-168/14, — [...], punten 45 en 46, en advies 2/15 (Vrijhandelsovereenkomst met Singapore) van 16 mei 2017, [punt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Arrest van het Hof van Justitie van 10 april 2018</w:t>
        </w:r>
      </w:hyperlink>
      <w:r>
        <w:t xml:space="preserve">, Uber France,</w:t>
        <w:noBreakHyphen/>
        <w:t xml:space="preserve">C 320/16, reeds aangehaald, punten 21 en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bepaling van nationaal recht die strafrechtelijke sancties oplegt voor het organiseren van een systeem om klanten zonder de vereiste toestemming in contact te brengen met chauffeurs, heeft betrekking op een “dienst op het gebied van vervoer” (en niet op een “dienst van de informatiemaatschappij”) voor zover de bemiddelingsdienst waarop zij van toepassing is, integraal deel uitmaakt van een algemene dienst waarvan de belangrijkste component de vervoersdienst is.</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het Hof heeft geoordeeld dat de door de betrokken vennootschap verrichte bemiddelingsdienst intrinsiek verbonden was met het aanbod van niet-openbare stadsvervoersdiensten door deze vennootschap, gelet op het feit dat deze onderneming in de eerste plaats een aanvraag heeft ingediend zonder welke deze bestuurders niet tot het verrichten van vervoersdiensten zouden zijn aangezet, en dat de personen die een stadstraject wilden maken, geen gebruik zouden hebben gemaakt van de diensten van deze bestuurders, en in de tweede plaats dat deze onderneming beslissende invloed heeft uitgeoefend op de voorwaarden waaronder deze bestuurders hun diensten verrichten, met name door het maximumtarief vast te stellen, door dit tarief bij de klant in te zamelen alvorens een deel ervan aan de niet-professionele bestuurder van het voertuig te betalen, en door een zekere controle uit te oefenen op de kwaliteit van de voertuigen, de bestuurders en hun gedrag, hetgeen in voorkomend geval tot uitsluiting van deze bestuurders zou kunnen leiden (zie in die zin arrest van 20 december 2017, Asociación Profesional Elite Taxi, C-434/15, reeds aangehaald, punten 38 en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Op basis van deze elementen heeft het Hof geoordeeld dat de bemiddelingsdienst die in die zaak aan de orde was, moest worden geacht integrerend deel uit te maken van een algemene dienst waarvan het hoofdbestanddeel een vervoersdienst was, en dus niet moest worden aangemerkt als een “dienst van de informatiemaatschappij” in de zin van artikel 1, lid 2, van richtlijn 98/34, maar als een “dienst op het gebied van vervoer” in de zin van artikel 2, lid 2, onder d), van richtlijn 2006/123 (zie in die zin arrest van 20 december 2017, Asociación Profesional Elite Taxi, C-434/15, cf. punt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Arrest van 26 september 2018</w:t>
        </w:r>
      </w:hyperlink>
      <w:r>
        <w:t xml:space="preserve"> in zaak C-137/17, Van Gennip e.a., reeds aangehaald, punten 42 en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die het in de handel brengen van producten afhankelijk stellen van de voorwaarde dat de koper over een vergunning beschikt, vallen niet onder het begrip “regel betreffende diensten”, aangezien zij geen betrekking hebben op “diensten van de informatiemaatschappij”.</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Wat in de derde plaats de categorie “regel betreffende diensten” betreft, zij eraan herinnerd dat volgens artikel 1, punt 5, van richtlijn 98/34 een dergelijke regel een algemeen vereiste vormt met betrekking tot de toegang tot en de uitoefening van diensten als bedoeld in artikel 1, punt 2, van deze richtlijn, dat wil zeggen elke dienst van de informatiemaatschappij, dat wil zeggen elke dienst die gewoonlijk tegen vergoeding, langs elektronische weg, op afstand en op individueel verzoek van een afnemer van diensten wordt verricht (arrest van 4 februari 2016, Ince, C-336/14, cf. punt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In casu moet worden vastgesteld dat de regeling die in het hoofdgeding aan de orde is, niet ziet op diensten van de informatiemaatschappij in de zin van artikel 1, punt 73, van richtlijn 98/34, zoals de advocaat-generaal in punt 2 van zijn conclusie naar voren heeft gebracht. Bijgevolg kan deze regeling niet vallen onder de categorie “regel betreffende diensten” van de informatiemaatschappij in de zin van artikel 1, punt 5, van deze richtlijn.”</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Arrest van het Hof van Justitie van 12 september 2019</w:t>
        </w:r>
      </w:hyperlink>
      <w:r>
        <w:t xml:space="preserve"> in zaak C-299/17, VG Media, reeds aangehaald, punten 32, 33 en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nationale bepaling die commerciële exploitanten van zoekmachines en aanbieders van commerciële inhoudsdiensten verbiedt kranten ter beschikking van het publiek te stellen, vormt een “technisch voorschrift” en moet ter kennis van de Commissie worden gebracht.</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regel wordt geacht specifiek betrekking te hebben op “diensten van de informatiemaatschappij” indien bepaalde bepalingen dat doel nastreven, ook al is het niet het exclusieve doel van de regel. Deze doelstelling kan worden afgeleid uit de motivering van de regel, die in de ontstaansgeschiedenis kan voorkomen, ook al blijkt deze niet uitdrukkelijk uit de bewoordingen van de regel zelf.</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In dit verband zij eraan herinnerd dat volgens artikel 1, lid 5, eerste streepje, van deze richtlijn een regel, gelet op zowel de motivering als het dispositief ervan, wordt geacht specifiek betrekking te hebben op diensten van de informatiemaatschappij. Volgens diezelfde bepaling is het bovendien niet vereist dat “het specifieke doel en het specifieke doel” van de betrokken regel erin bestaan de diensten van de informatiemaatschappij te reguleren, aangezien het voldoende is dat de regel dit doel of doel in sommige bepalingen ervan nastreeft (arrest van 20 december 2017, Falbert e.a., C-255/16, ≠, punt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Zelfs wanneer niet alleen uit de bewoordingen van een nationale regeling blijkt dat zij, althans gedeeltelijk, tot doel heeft de diensten van de informatiemaatschappij specifiek te regelen, kan dit doel bovendien nogal duidelijk worden afgeleid uit de motivering van de regel, zoals deze blijkt, overeenkomstig de relevante nationale uitleggingsregels ter zake, met name uit de ontstaansgeschiedenis van de regel (zie in die zin arrest van 20 december 2017, Falbert e.a., C-255/16, cf. punt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Hoewel de verwijzende rechter niet duidelijk aangeeft wat het specifieke doel van de in het hoofdgeding aan de orde zijnde nationale regeling is, blijkt namelijk uit de opmerkingen die de Duitse regering ter terechtzitting voor het Hof heeft gemaakt, dat de wijziging van de UrhG in eerste instantie specifiek gericht was op exploitanten van internetzoekmachines. Bovendien verklaren de partijen in het hoofdgeding en de Commissie in hun schriftelijke opmerkingen dat deze wetgeving tot doel had de rechtmatige belangen van de persuitgevers in de digitale wereld te beschermen. De in het hoofdgeding aan de orde zijnde nationale bepaling lijkt er dus in de eerste plaats op gericht te zijn deze uitgevers te beschermen tegen inbreuken op het auteursrecht door onlinezoekmachines. In dat verband lijkt bescherming alleen noodzakelijk te zijn geacht voor systematische inbreuken op werken van online-uitgevers door aanbieders van diensten van de informatiemaatschappij.”</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Arrest van het Hof van Justitie van 19 december 2019</w:t>
        </w:r>
      </w:hyperlink>
      <w:r>
        <w:t xml:space="preserve">, Airbnb Ireland, C</w:t>
        <w:noBreakHyphen/>
        <w:t xml:space="preserve">390/18, reeds aangehaald, punten 64 tot en met 68 en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bemiddelingsdienst die klanten verbindt met verhuurders die via een elektronisch platform accommodatie voor korte tijd aanbieden, terwijl nevendiensten worden verleend, vormt een “dienst van de informatiemaatschappij” omdat de nevendiensten geen aanzienlijke invloed op de verlening van de accommodatiediensten verlenen.</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Om als “dienst van de informatiemaatschappij” te worden aangemerkt, moet een dienst cumulatief aan vier voorwaarden voldoen: zij moet tegen vergoeding, op afstand, langs elektronische weg en op individueel verzoek van de ontvanger worden verstrekt.</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De al dan niet optionele diensten die Airbnb Ireland aanbiedt en die in de punten 59 tot en met 63 van het onderhavige arrest zijn uiteengezet, kunnen, ook al worden zij in hun geheel beschouwd, niet afdoen aan het feit dat de door deze vennootschap verrichte bemiddelingsdienst op zichzelf staat en dus aan het feit dat die dienst kwalificeert als “dienst van de informatiemaatschappij”, omdat anders de eigen kenmerken van deze dienst wezenlijk zouden veranderen. In dit opzicht zou het trouwens paradoxaal zijn dat dergelijke nevendiensten met toegevoegde waarde die via een onlineplatform aan haar klanten worden aangeboden, met name teneinde zich te onderscheiden van haar concurrenten, zonder meer zouden kunnen leiden tot een wijziging van de aard en dus de juridische kwalificatie van haar activiteit, zoals de advocaat-generaal in punt 46 van zijn conclusie heeft opgemerkt.</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Anders dan AHTOP en de Franse regering stellen, kunnen de regels voor de werking van een bemiddelingsdienst als die van Airbnb bovendien niet worden gelijkgesteld met die van de bemiddelingsdienst die aanleiding heeft gegeven tot de arresten van 20 december 2017, Asociación Profesional Elite Taxi (C-434/15, -, punt 39), en 10 april 2018, Uber France (C-320/16, cf. punt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Afgezien van het feit dat deze arresten zijn gewezen in de specifieke context van het stedelijk personenvervoer waarop artikel 58, lid 1, VWEU van toepassing is en dat de door Airbnb Ireland verrichte diensten niet vergelijkbaar zijn met die waar het om ging in de zaken die hebben geleid tot de in het vorige punt genoemde arresten, kan in de nevendiensten waarvan sprake in de punten 59 tot en met 63 van het onderhavige arrest niet de mate van controle worden teruggevonden die het Hof in die arresten heeft vastgesteld. Zo heeft het Hof in die arresten opgemerkt dat Uber</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Zo heeft het Hof in die arresten gepreciseerd dat Uber beslissende invloed uitoefende op de voorwaarden waaronder de vervoerdiensten werden verricht door de niet-beroepschauffeurs die gebruikmaakten van de hun door deze vennootschap ter beschikking gestelde aanvraag (arresten van 20 december 2017, Asociación Profesional Elite Taxi, C-434/15, ≠, punt 39, en 10 april 2018, Uber France, C-320/16, cf. punt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De door de verwijzende rechter genoemde en in punt 19 van het onderhavige arrest in herinnering gebrachte elementen tonen niet aan dat Airbnb Ireland een dergelijke beslissende invloed uitoefent op de voorwaarden voor het aanbieden van de accommodatiediensten waarop haar bemiddelingsdienst betrekking heeft, temeer daar Airbnb Ireland niet direct of indirect de in rekening gebrachte huurprijs bepaalt, zoals in de punten 56 en 62 van het onderhavige arrest is vastgesteld, laat staan dat zij de verhuurders of de op haar platform te huren accommodatie selecteert.”</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Gelet op het feit dat de Franse Republiek de wet Hoguet niet heeft meegedeeld en gelet op het cumulatieve karakter van de voorwaarden van artikel 3, lid 4, van richtlijn 2000/31, die in de punten 84 en 85 van het onderhavige arrest in herinnering zijn gebracht, moet worden geoordeeld dat deze wet hoe dan ook niet kan worden toegepast op een particulier die zich in een situatie als die van Airbnb Ireland in het hoofdgeding bevindt, ongeacht of deze wet voldoet aan de andere voorwaarden van die bepaling.”</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Arrest van 22 oktober 2020</w:t>
        </w:r>
      </w:hyperlink>
      <w:r>
        <w:t xml:space="preserve">, Sportingbet en Internet Opportunity Entertainment,</w:t>
        <w:noBreakHyphen/>
        <w:t xml:space="preserve">C 275/19, ≠, punten 47-49.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Een regeling die een openbaar lichaam het exclusieve recht verleent om bepaalde kansspelen te exploiteren, ook op internet, valt onder het begrip “regels betreffende diensten” voor zover zij betrekking hebben op een dienst van de informatiemaatschappij.</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Volgens artikel 1, lid 5, van deze richtlijn wordt onder “regels betreffende diensten” verstaan alle algemene eisen met betrekking tot de toegang tot en de uitoefening van de in artikel 1, lid 2, van deze richtlijn bedoelde dienstenactiviteiten, waaronder begrepen “elke dienst van de informatiemaatschappij, dat wil zeggen elke dienst die gewoonlijk tegen vergoeding, langs elektronische weg, op afstand en op individueel verzoek van een afnemer van diensten wordt verricht”.</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In dit verband heeft het Hof reeds geoordeeld dat de bepalingen betreffende het verbod om kansspelen op internet aan te bieden, de uitzonderingen op dat verbod, de beperkingen op het aanbieden van sportweddenschappen op internet en het verbod om reclame voor kansspelen op internet uit te zenden, kunnen worden aangemerkt als “regels betreffende diensten” in de zin van artikel 1, lid 5, van richtlijn 98/34, voor zover zij betrekking hebben op een “dienst van de informatiemaatschappij” in de zin van artikel 1, lid 2, van deze richtlijn (zie naar analogie arrest van 4 februari 2016, Ince, C-336/14, cf. punt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In casu hebben de bij de artikelen 2 en 3 van wetgevend besluit nr. 282/2003 vastgestelde voorschriften specifiek betrekking op diensten van de informatiemaatschappij. Bovendien verbieden deze bepalingen, als gevolg van de toekenning aan Santa Casa van het exclusieve recht om kansspelen op internet te exploiteren, alle ondernemers, met uitzondering van Santa Casa, deze diensten te verrichten.”</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Arrest van het Hof van Justitie van 3 december 2020</w:t>
        </w:r>
      </w:hyperlink>
      <w:r>
        <w:t xml:space="preserve">, Star Taxi App, C</w:t>
        <w:noBreakHyphen/>
        <w:t xml:space="preserve">62/19, reeds aangehaald, punten 52 tot en met 54 en 64 tot en met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Een bemiddelingsdienst die klanten alleen verbindt met reeds erkende taxichauffeurs — zonder de vervoersdienst zelf te organiseren, chauffeurs te selecteren, tarieven vast te stellen of controle uit te oefenen over voertuigen of bestuurders — valt onder de categorie “diensten van de informatiemaatschappij”.</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Bovendien kan een regeling die niet specifiek op dergelijke diensten is gericht, maar zonder onderscheid van toepassing is op alle vormen van verzending, ook per telefoon of via een applicatie, niet worden aangemerkt als een “regel betreffende diensten”.</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Ten eerste blijkt uit de verwijzingsbeslissing dat de in het hoofdgeding aan de orde zijnde dienst, anders dan de bemiddelingsdienst die aan de orde was in de zaak die heeft geleid tot het arrest van 20 december 2017, Asociación Profesional Elite Taxi (C-434/15), waarbij stadsvervoersdiensten werden aangeboden en toegankelijk gemaakt door niet-professionele bestuurders die voorheen niet op de markt aanwezig waren, zich ertoe beperkt om, zoals de advocaat-generaal in punt 49 van zijn conclusie heeft opgemerkt, personen die stadsreizen willen maken uitsluitend in contact te brengen met erkende taxichauffeurs die deze activiteit reeds uitoefenden en voor wie de bemiddelingsdienst slechts een van de vele vormen van aankoop van klanten is, en dat zij overigens niet verplicht zijn om daarvan gebruik te maken.</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Ten tweede kan een dergelijke bemiddelingsdienst niet worden geacht de algemene werking te organiseren van de erop volgende stadsvervoersdienst, aangezien de dienstverrichter de taxichauffeurs niet selecteert, noch de ritprijs vaststelt of int, en hij voorts geen toezicht houdt op de kwaliteit van de voertuigen en hun chauffeurs, noch op het gedrag van die chauffeurs.</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Hieruit volgt dat een bemiddelingsdienst als die van Star Taxi App niet kan worden beschouwd als een integrerend onderdeel van een algemene dienst waarvan het hoofdbestanddeel een vervoersdienst is, en derhalve moet worden aangemerkt als een “dienst van de informatiemaatschappij” in de zin van artikel 2, onder a), van richtlijn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In casu volgt uit de verwijzingsbeslissing dat de in het hoofdgeding aan de orde zijnde Roemeense regeling — of het nu gaat om wet nr. 38/2003 of om besluit nr. 178/2008 — geen melding maakt van diensten van de informatiemaatschappij. Bovendien hebben artikel 3, artikel 21, lid 1, en (31), en artikel 41, lid 21, van bijlage I bij besluit nr. 178/2008 zonder onderscheid betrekking op alle soorten verzendingsdiensten, ongeacht of zij telefonisch of anderszins worden verricht, zoals een softwaretoepassing.</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Zoals de advocaat-generaal heeft opgemerkt in punt 108 van zijn conclusie, verplicht wet nr. 38/2003 aanbieders van dispatchingdiensten die hun activiteit met behulp van een smartphoneapp uitoefenen, bovendien om, net als alle andere aanbieders van dispatchingdiensten, in het bezit te zijn van apparatuur, in casu radiozender-ontvangers, die wegens de technische wijze waarop deze dienst wordt verricht geen enkel nut hebben.</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Een regel als aan de orde in het hoofdgeding, omdat deze niet specifiek ziet op diensten van de informatiemaatschappij, kan dus alleen impliciet of incidenteel betrekking hebben op die diensten. Een dergelijke regel kan dus niet worden beschouwd als een “regel betreffende diensten” in de zin van artikel 1, lid 1, onder e), van richtlijn 2015/1535 en bijgevolg evenmin als een ‚technisch voorschrift ’in de zin van artikel 1, lid 1, onder f), van deze richtlijn.”</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Arrest van het Hof van Justitie van 29 februari 2024</w:t>
        </w:r>
      </w:hyperlink>
      <w:r>
        <w:rPr>
          <w:rFonts w:ascii="Times New Roman" w:hAnsi="Times New Roman" w:cs="Times New Roman" w:eastAsia="Times New Roman"/>
          <w:b/>
          <w:i/>
          <w:szCs w:val="20"/>
        </w:rPr>
        <w:t xml:space="preserve">, Doctipharma SAS, C-606/21, punten 26 tot en met 30 en 34 tot en met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De vergoeding voor een dienst die door een dienstverrichter in het kader van een economische activiteit wordt verricht, hoeft niet noodzakelijkerwijs te worden betaald door de begunstigden. Dit geldt voor een dienst die op een website wordt aangeboden en erin bestaat apothekers en klanten met elkaar in contact te brengen voor de verkoop van geneesmiddelen, waarbij de dienst wordt vergoed door de apothekers die zich op het platform hebben ingeschreven op basis van een vaste vergoeding.</w:t>
      </w:r>
    </w:p>
    <w:p w14:paraId="60E238C1" w14:textId="77777777">
      <w:pPr>
        <w:pStyle w:val="P68B1DB1-BodyText22"/>
      </w:pPr>
    </w:p>
    <w:p w14:paraId="16BCA1E5" w14:textId="5221BD03">
      <w:pPr>
        <w:pStyle w:val="P68B1DB1-BodyText22"/>
      </w:pPr>
      <w:r>
        <w:t xml:space="preserve">Een dergelijke dienst maakt geen deel uit van een algemene dienst waarvan het hoofdelement aan een andere juridische kwalificatie is onderworpen dan die van “dienst van de informatiemaatschappij”.</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In artikel 1, lid 2, van richtlijn 98/34 en artikel 1, lid 1, onder b), van richtlijn 2015/1535 wordt het begrip “dienst van de informatiemaatschappij” gedefinieerd als “elke dienst die gewoonlijk tegen vergoeding, langs elektronische weg, op afstand en op individueel verzoek van een afnemer van diensten wordt verricht”.</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Wat in casu de eerste voorwaarde van die bepalingen betreft, zij eraan herinnerd dat volgens vaste rechtspraak de vergoeding voor een dienst die door een dienstverrichter in het kader van een economische activiteit is verricht, niet noodzakelijkerwijs door de begunstigden hoeft te worden betaald (zie in die zin arresten van 15 september 2016, Mc Fadden, C-484/14, cf. punt 41, en 4 mei 2017, Vanderborght, C-339/15, cf. punt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Voor de kwalificatie van een dienst als die in het hoofdgeding als een dienst die onder het begrip “dienst van de informatiemaatschappij” in de zin van artikel 1, lid 2, van richtlijn 98/34 en artikel 1, lid 1, onder b), van richtlijn 2015/1535 valt, is het dus niet van belang of deze dienst kosteloos wordt verleend aan degene die het receptvrije geneesmiddel koopt, indien deze dienst ertoe leidt dat tussen de aanbieder van die dienst en elke apotheker die van deze dienst gebruikmaakt, een overeenkomst voor het verrichten van diensten met betaling wordt gesloten.</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Evenzo is het in dit verband niet van belang dat Doctipharma, zoals zij heeft aangegeven, op grond van de algemene verkoopvoorwaarden werd vergoed door de apothekers die zich voor een vast bedrag op haar platform hadden geabonneerd, en evenmin dat, zoals de Franse regering heeft aangegeven, de bij Doctipharma aangesloten apothekers voor de door haar verrichte dienst een maandelijkse abonnementsbijdrage betaalden aan Doctipharma en er achteraf ook een percentage van de verkoopbedragen op het platform werd ingehouden.</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Hieruit volgt dat, onder voorbehoud van de door de verwijzende rechter te verrichten verificaties, de in het hoofdgeding aan de orde zijnde dienst hoe dan ook moet worden geacht tegen vergoeding te zijn verricht.”</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Aan deze conclusie wordt niet afgedaan door de rechtspraak die het Hof heeft ontwikkeld in de arresten van 20 december 2017, Asociación Profesional Elite Taxi (C-434/15, -), 19 december 2019, Airbnb Ireland (C-390/18), en 3 december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Uit deze rechtspraak volgt dat een dienst die tot doel heeft klanten in contact te brengen met aanbieders van een andere dienst van andere aard en die voldoet aan alle voorwaarden van artikel 1, lid 2, van richtlijn 98/34 en artikel 1, lid 1, onder b), van richtlijn 2015/1535, moet worden aangemerkt als een “dienst van de informatiemaatschappij” wanneer die dienst verschilt van de dienst van andere aard die door die dienstverleners wordt verricht. Dit moet echter anders zijn wanneer blijkt dat deze dienst waarmee verkopers met klanten in contact worden gebracht, integrerend deel uitmaakt van een algemene dienst waarvan het hoofdelement een andere juridische kwalificatie dan die van de “dienst van de informatiemaatschappij” heeft (arrest van 3 december 2020, Star Taxi App, C-62/19, ≠, punt 49 en aldaar aangehaalde rechtspraak).</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Zoals de advocaat-generaal in de punten 28 en 29 van zijn conclusie heeft opgemerkt, kan een dienst waarbij apothekers en klanten met elkaar in contact worden gebracht met het oog op de verkoop van receptvrije geneesmiddelen van de websites van apotheken die zich op deze dienst hebben aangesloten, geen integrerend deel uitmaken van een algemene dienst waarvan het hoofdbestanddeel niet als “dienst van de informatiemaatschappij” kan worden aangemerkt.”</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Arrest van 13 maart 2025</w:t>
        </w:r>
      </w:hyperlink>
      <w:r>
        <w:rPr>
          <w:rFonts w:ascii="Times New Roman" w:hAnsi="Times New Roman" w:cs="Times New Roman" w:eastAsia="Times New Roman"/>
          <w:b/>
          <w:i/>
          <w:szCs w:val="20"/>
        </w:rPr>
        <w:t xml:space="preserve">, Unigames UAB, C 120/24,</w:t>
        <w:noBreakHyphen/>
        <w:t xml:space="preserve">≠, punten 38 tot en met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Het verbod om reclame te maken voor kansspelen op goksites heeft geen betrekking op een reclamedienst die losstaat van de kansspeldienst, maar op een dienst die onlosmakelijk verbonden is met de onlinegokdienst. Om te bepalen of dit een “regel betreffende diensten” is, moet dus eerst worden onderzocht of onlinekansspelen als “diensten van de informatiemaatschappij” worden aangemerkt.</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Aan de overwegingen in de punten 36 en 37 van het onderhavige arrest</w:t>
      </w:r>
      <w:r>
        <w:rPr>
          <w:i w:val="0"/>
        </w:rPr>
        <w:t xml:space="preserve"> [volgens welke onlinegokdiensten moeten worden beschouwd als ‚diensten van de informatiemaatschappij ’] </w:t>
      </w:r>
      <w:r>
        <w:t xml:space="preserve">wordt niet afgedaan door het feit dat de door de kansspelexploitant op zijn website gepubliceerde informatie over kansspelen niet noodzakelijkerwijs wordt verstrekt “op individueel verzoek van een afnemer van diensten”. Deze bekendmaking van informatie kan in omstandigheden als die van het hoofdgeding niet worden beschouwd als een dienst op het gebied van reclame of een andere dienst die wordt verricht ten behoeve van afnemers van kansspeldiensten op afstand, maar vormt een activiteit die ondergeschikt is aan en onlosmakelijk verbonden is met de betrokken kansspeldiensten op afstand en waaraan zij alle economische betekenis ontleent [zie naar analogie arrest van 1 oktober 2020, A (Reclame en onlineverkoop van geneesmiddelen), C-649/18, [punt 56]. Alleen de kansspeldiensten zelf moeten dus voldoen aan de relevante voorwaarden om onder het begrip “dienst” in de zin van artikel 1, lid 1, onder b), van richtlijn 2015/1535 te vallen, en het in het hoofdgeding aan de orde zijnde verbod, dat betrekking heeft op een dergelijke bekendmaking van informatie, moet voldoen aan de specifieke criteria van artikel 1, lid 1, onder e), van deze richtlijn om te worden beschouwd als een “regel” over deze diensten in de zin van laatstgenoemde bepaling.</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In dit verband staat weliswaar vast dat het in het hoofdgeding aan de orde zijnde verbod een “algemeen vereiste” is in de zin van artikel 1, lid 1, onder e), van richtlijn 2015/1535, maar moet nog worden onderzocht of het kan worden geacht “betrekking te hebben op de toegang tot en de uitoefening van dienstenactiviteiten”, waarbij deze bepaling preciseert dat dit met name het geval is met betrekking tot de bepalingen betreffende de dienstverrichter, de diensten en de afnemer van diensten.</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In dit verband moet worden vastgesteld dat artikel 10, lid 19, van de kansspelwet onder het begrip “regel betreffende diensten” kan vallen, aangezien het verbiedt om met name de deelname aan kansspelen op afstand aan te moedigen en met name informatie over kansspelen op de website van een kansspelaanbieder te publiceren of handelingen ter bevordering van deelname aan kansspelen te verrichten (zie in die zin arrest van 22 oktober 2020, Sportingbet en Internet Opportunity Entertainment, C-275/19, cf. punt 48 en aldaar aangehaalde rechtspraak).</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Ten tweede moet het in het hoofdgeding aan de orde zijnde verbod, zoals blijkt uit de bewoordingen zelf van artikel 1, lid 1, onder e), van richtlijn 2015/1535, om als “regel betreffende diensten” te worden aangemerkt, “specifiek” zijn gericht op diensten van de informatiemaatschappij (zie in die zin arrest van 12 september 2019, VG Media, C-299/17, cf. punt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In dit verband volgt uit artikel 1, lid 1, onder e), tweede alinea, onder i), van richtlijn 2015/1535 dat de toetsing of een regel specifiek betrekking heeft op diensten van de informatiemaatschappij, moet worden verricht in het licht van zowel de bewoordingen van die regel als het daarmee nagestreefde doel. Bovendien is het volgens deze bepaling niet vereist dat “het specifieke doel en het specifieke doel” van de betrokken regeling erin bestaan de diensten van de informatiemaatschappij te reguleren, maar volstaat het dat zij dat doel door middel van een aantal bepalingen ervan nastreeft (zie in die zin arrest van 12 september 2019, VG Media, C-299/17, ≠, punt 32 en aldaar aangehaalde rechtspraak). Ten slotte wordt een regel overeenkomstig artikel 1, lid 1, onder e), tweede alinea, onder ii), van deze richtlijn niet geacht specifiek betrekking te hebben op diensten van de informatiemaatschappij indien zij slechts impliciet of incidenteel van toepassing is op dergelijke diensten.”</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Verbodsbepalingen</w:t>
      </w:r>
      <w:bookmarkEnd w:id="98"/>
      <w:bookmarkEnd w:id="99"/>
    </w:p>
    <w:p w14:paraId="11A12362" w14:textId="77777777">
      <w:pPr>
        <w:pStyle w:val="BodyText"/>
      </w:pPr>
    </w:p>
    <w:p w14:paraId="6DD7108F" w14:textId="22E84863">
      <w:pPr>
        <w:pStyle w:val="P68B1DB1-BodyText11"/>
        <w:ind w:left="567"/>
        <w:rPr>
          <w:iCs/>
        </w:rPr>
      </w:pPr>
      <w:r>
        <w:t xml:space="preserve">“technisch voorschrift": de wettelijke en bestuursrechtelijke bepalingen van de lidstaten, met uitzondering van die bedoeld in artikel 7, waarbij de vervaardiging, de invoer, de verhandeling of het gebruik van een product dan wel de verrichting of het gebruik van een dienst of de vestiging als dienstverlener worden verboden.”</w:t>
      </w:r>
    </w:p>
    <w:p w14:paraId="6EA3335C" w14:textId="77777777">
      <w:pPr>
        <w:pStyle w:val="BodyText"/>
        <w:ind w:left="567"/>
        <w:rPr>
          <w:i/>
          <w:iCs/>
        </w:rPr>
      </w:pPr>
    </w:p>
    <w:p w14:paraId="05F6428B" w14:textId="3C27EE7A">
      <w:pPr>
        <w:pStyle w:val="BodyText"/>
        <w:ind w:left="1440"/>
        <w:jc w:val="right"/>
      </w:pPr>
      <w:r>
        <w:t xml:space="preserve">(artikel 1, lid 1, onder f), eerste zin, van Richtlijn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Arrest van 16 september 1996</w:t>
        </w:r>
      </w:hyperlink>
      <w:r>
        <w:t xml:space="preserve"> in zaak C-279/94, Commissie/Italië, reeds aangehaald, punt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Het verbod op het in de handel brengen en het gebruik van asbest is een aan te melden “technisch voorschrift” waarvan kennisgeving moet worden gedaan, omdat het het in de handel brengen en het gebruik van een product verbiedt.</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Met betrekking tot artikel 1, lid 2, van wet nr. 257/92 zij eraan herinnerd, dat deze bepaling de winning, de invoer, de uitvoer, de verkoop en de productie van asbest, asbestproducten en asbesthoudende producten verbiedt na afloop van een jaar na de inwerkingtreding van de wet. Een dergelijke bepaling, die het in de handel brengen en het gebruik van asbest verbiedt, vormt een technisch voorschrift waarvan de Italiaanse regering overeenkomstig artikel 8, lid 1, eerste alinea, van de richtlijn kennis had moeten geven.”</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Arrest van het Hof van Justitie van 21 april 2005</w:t>
        </w:r>
      </w:hyperlink>
      <w:r>
        <w:t xml:space="preserve">, Lindberg, C-267/03, punten 75 tot en met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Een nationaal verbod op bepaalde kansspelen kan als verbodsbepaling worden aangemerkt indien het geen ruimte laat voor een ander gebruik dat redelijkerwijs van het betrokken product kan worden gemaakt dan een louter marginaal gebruik. De kwalificatie als verbod hangt daarentegen niet af van de invloed van het verbod op de samenstelling, de aard of het in de handel brengen van de betrokken producten.</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In dit verband is het van belang dat, anders dan de tweede categorie van andere eisen in de zin van artikel 1, lid 3, van richtlijn 83/189, deze derde categorie van technische voorschriften in de zin van artikel 1, lid 9, van richtlijn niet de voorwaarde omvat dat het betrokken verbod de samenstelling, de aard of de verhandeling van het product op significante wijze kan beïnvloeden.</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Aangezien deze derde categorie van technische voorschriften een verbod van met name het gebruik beoogt, moet het gaan om maatregelen die duidelijk verder gaan dan een beperking tot bepaalde gebruiksmogelijkheden van het betrokken product en die dus niet enkel restricties opleggen aan het gebruik daarvan.</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Zoals de advocaat-generaal in punt 70 van zijn conclusie heeft opgemerkt, ziet deze categorie technische voorschriften meer in het bijzonder op nationale maatregelen die voor geen enkel ander gebruik ruimte laten dan een strikt marginaal gebruik dat redelijkerwijze van het betrokken product kan worden verwacht. Het staat aan de nationale rechter om na te gaan of het verbod dat voortvloeit uit de in het hoofdgeding aan de orde zijnde nationale bepaling een dergelijke maatregel is.”</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Arrest van 8 september 2005</w:t>
        </w:r>
      </w:hyperlink>
      <w:r>
        <w:t xml:space="preserve">, C-303/04, Lidl Italia, punten 12 en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Een nationaal verbod op het in de handel brengen van producten die niet uit bepaalde materialen zijn vervaardigd, vormt een bepaling die de vervaardiging en het in de handel brengen van producten verbiedt.</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volgens artikel 1, lid 11, van richtlijn 98/34 moet een nationale bepaling van een lidstaat die de vervaardiging, de invoer, het in de handel brengen of het gebruik van een product verbiedt, als een categorie van technische voorschriften worden beschouwd (zie arrest van 2005 juli 0000, Lindberg, C-267/03, nog niet gepubliceerd in de Jurisprudentie, punt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In het onderhavige geval volstaat het vast te stellen dat artikel 19, lid 2, van wet nr. 93/2001 een dergelijke bepaling is. Volgens deze bepaling vormen de vervaardiging en het in de handel brengen van katoenknoppen die niet de genoemde kenmerken vertonen, namelijk die welke niet volledig zijn vervaardigd uit biologisch afbreekbare materialen overeenkomstig de UNI 10785-normen, overtredingen waarvoor administratieve sancties kunnen worden opgelegd.”</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Arrest van 26 oktober 2006</w:t>
        </w:r>
      </w:hyperlink>
      <w:r>
        <w:t xml:space="preserve"> in zaak C-65/05, Commissie/Griekenland, reeds aangehaald, punt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Maatregelen die de installatie van alle elektrische of elektronische spelapparaten buiten casino’s en het gebruik van computerspellen in ondernemingen die internetdiensten aanbieden, verbieden en de exploitatie van dergelijke ondernemingen afhankelijk stellen van de afgifte van een bijzondere vergunning, moeten als technische voorschriften worden beschouwd.</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als technische voorschriften in de zin van artikel 1, lid 11, van richtlijn 3037/2002 moeten worden beschouwd maatregelen als die van de artikelen 2 (1) en 3 van wet nr. 98/34, voor zover zij de installatie in Griekenland van alle elektrische, elektromechanische en elektronische spelen, met inbegrip van computerspellen, verbieden in alle openbare en particuliere ruimten, met uitzondering van casino’s, en het gebruik van spelletjes op computers in ondernemingen die internetdiensten aanbieden, en de exploitatie van deze ondernemingen afhankelijk stellen van de afgifte van een bijzondere vergunning (zie in die zin arrest van</w:t>
        <w:noBreakHyphen/>
        <w:t xml:space="preserve">2005 juli 3247, Lindberg</w:t>
        <w:noBreakHyphen/>
        <w:t xml:space="preserve">, C 267/03, Jurispr. blz. I).”</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Arrest van 19 juli 2012</w:t>
        </w:r>
      </w:hyperlink>
      <w:r>
        <w:t xml:space="preserve">, Fortuna e.a., C-213/11, C-214/11 en C-217/11, cf. punten 24 en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Een maatregel die het gebruik van speelautomaten buiten casino’s verbiedt, moet als “technisch voorschrift” worden aangemerkt.</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het Hof heeft reeds geoordeeld dat maatregelen die het gebruik van elektrische, elektromechanische en elektronische spelen in alle openbare en particuliere ruimten, met uitzondering van casino’s, verbieden, moeten worden beschouwd als technische voorschriften in de zin van artikel 1, lid 11, van richtlijn 98/34 (arrest van 2006 juli 10341, Commissie/Griekenland, C-65/05, nog niet gepubliceerd in de Jurisprudentie, punt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Bijgevolg moet een maatregel als artikel 14, lid 1, van de kansspelwet, die alleen speelcasino’s toestaat om automaten te organiseren, worden aangemerkt als een ‚technisch voorschrift ’in de zin van artikel 1, lid 11, van richtlijn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Arrest van 27 oktober 2016</w:t>
        </w:r>
      </w:hyperlink>
      <w:r>
        <w:t xml:space="preserve"> in zaak C-613/14, James Elliott Construction, punt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die impliciete contractuele voorwaarden bevatten met betrekking tot de handelskwaliteit, de geschiktheid voor gebruik of de algemene kwaliteit van de verkochte producten, vormen geen verbodsbepaling.</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de in het hoofdgeding aan de orde zijnde regeling valt niet binnen de werkingssfeer van de in artikel 1, lid 11, van richtlijn 98/34 bedoelde technische voorschriften, aangezien zij, door louter stilzwijgende contractuele eisen te stellen, geen verbod in de zin van deze richtlijn bevat op de vervaardiging, de invoer, de verhandeling of het gebruik van een product, de verrichting of het gebruik van een dienst of de vestiging als dienstverlener.”</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Arrest van 28 mei 2020</w:t>
        </w:r>
      </w:hyperlink>
      <w:r>
        <w:t xml:space="preserve"> in zaak C-727/17, ECO-WIND Construction, punten 45 tot en met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Een wettelijke regeling die voorziet in een minimumafstand voor de installatie van windturbines, vormt geen verbod op de vervaardiging, de invoer, het in de handel brengen of het gebruik van een product, tenzij zij de facto een verbod inhoudt op het in de handel brengen van windturbines, waarbij geen ruimte wordt gelaten voor het gebruik van andere dan louter marginale windturbines.</w:t>
      </w:r>
    </w:p>
    <w:p w14:paraId="57350EE4" w14:textId="77777777">
      <w:pPr>
        <w:pStyle w:val="BodyText"/>
        <w:jc w:val="left"/>
      </w:pPr>
    </w:p>
    <w:p w14:paraId="671DACC6" w14:textId="1CB89713">
      <w:pPr>
        <w:pStyle w:val="P68B1DB1-BodyText19"/>
        <w:ind w:left="567"/>
        <w:rPr>
          <w:iCs/>
        </w:rPr>
      </w:pPr>
      <w:r>
        <w:t xml:space="preserve">“45. Deze categorie veronderstelt dat de betrokken maatregel een werkingssfeer heeft die duidelijk verder gaat dan een beperking tot bepaalde vormen van gebruik van het betrokken product en dat hij niet beperkt is tot een loutere beperking van het gebruik ervan (arresten van 21 april 2005, Lindberg, C-267/03, cf. punt 76, en 19 juli 2012, Fortuna e.a., C-213/11, C-214/11 en C-217/11).</w:t>
      </w:r>
    </w:p>
    <w:p w14:paraId="787A0A4F" w14:textId="77777777">
      <w:pPr>
        <w:pStyle w:val="P68B1DB1-BodyText19"/>
        <w:ind w:left="567"/>
        <w:rPr>
          <w:iCs/>
        </w:rPr>
      </w:pPr>
    </w:p>
    <w:p w14:paraId="7CEA657E" w14:textId="35F61E5B">
      <w:pPr>
        <w:pStyle w:val="P68B1DB1-BodyText19"/>
        <w:ind w:left="567"/>
        <w:rPr>
          <w:iCs/>
        </w:rPr>
      </w:pPr>
      <w:r>
        <w:t xml:space="preserve">46. Deze categorie is met name bedoeld om nationale maatregelen te omvatten die geen ruimte laten voor enig ander gebruik dat redelijkerwijs van het betrokken product kan worden gemaakt dan een louter marginaal gebruik (arresten van 21 april 2005, Lindberg, C-267/03, cf. reeds aangehaald, punt 77, en 19 juli 2012, Fortuna e.a., C-213/11, C-214/11 en C-217/11, cf. reeds aangehaald, punt 32).</w:t>
      </w:r>
    </w:p>
    <w:p w14:paraId="47448916" w14:textId="77777777">
      <w:pPr>
        <w:pStyle w:val="P68B1DB1-BodyText19"/>
        <w:ind w:left="567"/>
        <w:rPr>
          <w:iCs/>
        </w:rPr>
      </w:pPr>
    </w:p>
    <w:p w14:paraId="6508CA59" w14:textId="00D7F268">
      <w:pPr>
        <w:pStyle w:val="P68B1DB1-BodyText19"/>
        <w:ind w:left="567"/>
        <w:rPr>
          <w:iCs/>
        </w:rPr>
      </w:pPr>
      <w:r>
        <w:t xml:space="preserve">47. In casu bevat het in de in het hoofdgeding aan de orde zijnde nationale regeling gestelde vereiste dat voor de installatie van een windturbine moet worden voldaan aan de voorwaarde van een minimumafstand tussen deze windturbine en gebouwen met een residentiële functie, weliswaar een verbod om een windturbine te installeren op een minimumafstand van minder dan tien maal de totale hoogte van de geplande installatie vanaf elk gebouw met een residentiële functie, maar deze regeling verbiedt de marktdeelnemers niet om door te gaan met de installatie van windturbines en dus met het gebruik en de verkoop van windgeneratoren.”</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Technische voorschriften de Facto Technical Regulations</w:t>
      </w:r>
      <w:bookmarkEnd w:id="109"/>
      <w:bookmarkEnd w:id="110"/>
    </w:p>
    <w:p w14:paraId="297F85EC" w14:textId="77777777">
      <w:pPr>
        <w:pStyle w:val="BodyText"/>
      </w:pPr>
    </w:p>
    <w:p w14:paraId="6C908457" w14:textId="3B825828">
      <w:pPr>
        <w:pStyle w:val="P68B1DB1-BodyText11"/>
        <w:ind w:left="567"/>
        <w:rPr>
          <w:i/>
        </w:rPr>
      </w:pPr>
      <w:r>
        <w:t xml:space="preserve">“De facto technische voorschriften omvatten: </w:t>
      </w:r>
    </w:p>
    <w:p w14:paraId="277715A6" w14:textId="77777777">
      <w:pPr>
        <w:pStyle w:val="BodyText"/>
        <w:ind w:left="567"/>
        <w:rPr>
          <w:i/>
        </w:rPr>
      </w:pPr>
    </w:p>
    <w:p w14:paraId="28BCD2BD" w14:textId="757EEC79">
      <w:pPr>
        <w:pStyle w:val="P68B1DB1-BodyText11"/>
        <w:numPr>
          <w:ilvl w:val="0"/>
          <w:numId w:val="31"/>
        </w:numPr>
        <w:rPr>
          <w:i/>
        </w:rPr>
      </w:pPr>
      <w:r>
        <w:t xml:space="preserve">wettelijke of bestuursrechtelijke bepalingen van een lidstaat die hetzij verwijzen naar technische specificaties, andere eisen of regels betreffende diensten, hetzij naar beroepscodes of codes voor goede praktijken die zelf verwijzen naar technische specificaties, andere eisen of regels betreffende diensten waarvan de naleving een vermoeden geeft met de voorschriften welke bij deze wettelijke of bestuursrechtelijke bepalingen zijn vastgesteld, in overeenstemming te zijn, </w:t>
      </w:r>
    </w:p>
    <w:p w14:paraId="32E4257D" w14:textId="77777777">
      <w:pPr>
        <w:pStyle w:val="BodyText"/>
        <w:ind w:left="1287"/>
        <w:rPr>
          <w:i/>
        </w:rPr>
      </w:pPr>
    </w:p>
    <w:p w14:paraId="5E0B6B62" w14:textId="2D5EF06C">
      <w:pPr>
        <w:pStyle w:val="P68B1DB1-BodyText11"/>
        <w:numPr>
          <w:ilvl w:val="0"/>
          <w:numId w:val="31"/>
        </w:numPr>
        <w:rPr>
          <w:i/>
        </w:rPr>
      </w:pPr>
      <w:r>
        <w:t xml:space="preserve">vrijwillige overeenkomsten waarbij de overheid partij is en die in het algemeen belang gericht zijn op de naleving van technische specificaties, andere eisen of regels betreffende diensten, met uitsluiting van bestekken voor overheidsopdrachten, </w:t>
      </w:r>
    </w:p>
    <w:p w14:paraId="4BEF10A9" w14:textId="77777777">
      <w:pPr>
        <w:pStyle w:val="BodyText"/>
        <w:rPr>
          <w:i/>
        </w:rPr>
      </w:pPr>
    </w:p>
    <w:p w14:paraId="5C79F6B1" w14:textId="7967F579">
      <w:pPr>
        <w:pStyle w:val="P68B1DB1-BodyText11"/>
        <w:numPr>
          <w:ilvl w:val="0"/>
          <w:numId w:val="31"/>
        </w:numPr>
        <w:rPr>
          <w:i/>
        </w:rPr>
      </w:pPr>
      <w:r>
        <w:t xml:space="preserve">technische specificaties, andere eisen of regels betreffende diensten die verbonden zijn met fiscale of financiële maatregelen die het verbruik van producten of het gebruik van diensten beïnvloeden, doordat zij de naleving van die technische specificaties, andere eisen of regels betreffende diensten aanmoedigen; technische specificaties of andere vereisten of regels inzake diensten in verband met nationale socialezekerheidsstelsels zijn niet opgenomen. </w:t>
      </w:r>
    </w:p>
    <w:p w14:paraId="712A28B1" w14:textId="77777777">
      <w:pPr>
        <w:pStyle w:val="BodyText"/>
        <w:rPr>
          <w:i/>
        </w:rPr>
      </w:pPr>
    </w:p>
    <w:p w14:paraId="24545D3F" w14:textId="615DFC82">
      <w:pPr>
        <w:pStyle w:val="P68B1DB1-BodyText11"/>
        <w:ind w:left="567"/>
        <w:rPr>
          <w:i/>
        </w:rPr>
      </w:pPr>
      <w:r>
        <w:t xml:space="preserve">Dit omvat technische voorschriften die worden opgelegd door de door de lidstaten aangewezen autoriteiten en die voorkomen op een lijst die door de Commissie in het kader van het in artikel 2 bedoelde comité wordt opgesteld en zo nodig bijgewerkt.”</w:t>
      </w:r>
    </w:p>
    <w:p w14:paraId="5E87FB40" w14:textId="77777777">
      <w:pPr>
        <w:pStyle w:val="BodyText"/>
        <w:ind w:left="567"/>
        <w:rPr>
          <w:i/>
        </w:rPr>
      </w:pPr>
    </w:p>
    <w:p w14:paraId="5389ED96" w14:textId="0CBC1966">
      <w:pPr>
        <w:pStyle w:val="BodyText"/>
        <w:jc w:val="right"/>
      </w:pPr>
      <w:r>
        <w:t xml:space="preserve">(artikel 1, lid 1, onder f), tweede en derde zin, van Richtlijn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Arrest van 20 maart 1997</w:t>
        </w:r>
      </w:hyperlink>
      <w:r>
        <w:t xml:space="preserve"> in zaak C-13/96, Bic Benelux, reeds aangehaald, punten 23 tot en met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Een markeringseis die bedoeld is om de consument te informeren over de milieuvoetafdruk van bepaalde producten en gekoppeld is aan een belasting, maar vormt een technische specificatie. Zij kan niet worden geacht uitsluitend “verband te houden met een fiscale maatregel” en valt dus niet onder de definitie van “de facto technische voorschriften”.</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in de eerste plaats vormt het in het hoofdgeding aan de orde zijnde merkvereiste volgens de definitie van artikel 1, lid 5, van richtlijn 83/189 een technisch voorschrift de jure, dat “bij het in de handel brengen [...] verplicht [is] om het betrokken product in acht te nemen” en dat het volgens de definitie in artikel 1, lid 1, een technische specificatie is, aangezien de richtlijn “de vereiste kenmerken van een product, zoals [...] de voor het product geldende eisen inzake [...] markering of etikettering” definieert.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In de tweede plaats zij erop gewezen, dat het merken van de producten er in casu toe strekt, het publiek te informeren over de gevolgen van de producten voor het milieu, en dat de Belgische regering het belang heeft bevestigd van dit aspect van de regels betreffende het merken van de betrokken producten. Het doel van de milieutaks, te weten de bescherming van het milieu, wordt dus beklemtoond door het merken van de producten, waardoor de consument attent wordt gemaakt op de schadelijke gevolgen van die producten voor het milieu, juist zoals door andere al dan niet met milieubelastingen samenhangende tekens.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Aangezien het litigieuze markeringsvereiste geenszins als een louter fiscale begeleidende maatregel kan worden beschouwd, vormt het dus geen vereiste in verband met een fiscale maatregel in de zin van artikel 1, lid 9, tweede alinea, derde streepje, van richtlijn 83/189, zoals gewijzigd bij richtlijn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Arrest van 10 juli 2014,</w:t>
        </w:r>
      </w:hyperlink>
      <w:r>
        <w:rPr>
          <w:b/>
          <w:i/>
        </w:rPr>
        <w:t xml:space="preserve"> C-307/13,</w:t>
      </w:r>
      <w:r>
        <w:rPr>
          <w:b/>
          <w:i/>
        </w:rPr>
        <w:t xml:space="preserve"> Ivansson e.a.</w:t>
      </w:r>
      <w:r>
        <w:rPr>
          <w:b/>
          <w:i/>
        </w:rPr>
        <w:t xml:space="preserve">, punten 30 en 31</w:t>
      </w:r>
      <w:r>
        <w:rPr>
          <w:sz w:val="25"/>
        </w:rPr>
        <w: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Een verwijzing naar gedetailleerde administratieve voorschriften die “technische specificaties” of “andere eisen” bevatten, kan aan een wetsontwerp de status van “feitelijk technisch voorschrift” verlenen.</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vastgesteld moet worden dat deze bepaling </w:t>
      </w:r>
      <w:r>
        <w:rPr>
          <w:i w:val="0"/>
        </w:rPr>
        <w:t xml:space="preserve">[van het nationale recht]</w:t>
      </w:r>
      <w:r>
        <w:t xml:space="preserve"> weliswaar zelf geen technisch voorschrift is, maar in de tweede alinea ervan verwijst naar aanvullende bepalingen betreffende het houden van kippen, die later door de Landbouwraad zouden worden meegedeeld.</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Een dergelijke verwijzing naar meer gedetailleerde administratieve voorschriften kan § 9 DSF overeenkomstig artikel 1, lid 11, eerste streepje, van richtlijn 98/34 als zodanig als “technische specificaties” of “andere eisen” aanmerken als “feitelijk technisch voorschrift”.”</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Arrest van het Hof van Justitie van 11 juni 2015</w:t>
        </w:r>
      </w:hyperlink>
      <w:r>
        <w:t xml:space="preserve">, Berlington Hungary e.a., C-98/14, punten 95 tot en met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Nationale bepalingen die de belasting op in speelzalen geëxploiteerde speelautomaten met vijf vermenigvuldigen en tevens een evenredige belasting op deze activiteit invoeren, vormen geen “de facto technische voorschriften”, aangezien het gaat om fiscale bepalingen en niet om “technische specificaties in verband met een fiscale regel” in de zin van de richtlijn.</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Volgens artikel 1, lid 11, derde streepje, van deze richtlijn wordt onder “de facto technische voorschriften” in de zin van deze bepaling verstaan “technische specificaties of andere eisen of regels betreffende diensten die verband houden met fiscale of financiële maatregelen die het verbruik van producten of diensten beïnvloeden doordat zij de naleving van deze technische specificaties of andere eisen of regels betreffende diensten aanmoedigen”.</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Uit deze bewoordingen volgt dat het begrip “de facto technische voorschriften” niet de fiscale maatregelen zelf, maar de technische specificaties of andere daarmee verband houdende eisen omvat.</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Bijgevolg kan een belastingregeling als die welke in het hoofdgeding aan de orde is, die niet vergezeld gaat van een technische specificatie of enig ander vereiste waarmee zij de naleving ervan zou beogen te waarborgen, niet worden aangemerkt als een “feitelijk technisch voorschrift”.”</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Arrest van 8 oktober 2020</w:t>
        </w:r>
      </w:hyperlink>
      <w:r>
        <w:t xml:space="preserve">, Admiral Sportwetten e.a., reeds aangehaald, punten 38 en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Een belastingwetgeving die niet vergezeld gaat van een “technische specificatie” of enige andere eis waarmee zij de naleving beoogt te waarborgen, kan niet worden aangemerkt als een “feitelijk technisch voorschrift”. Een nationale belastingregeling die voorziet in belastingheffing over de exploitatie van sportweddenschappen, vormt dus geen “technisch voorschrift”.</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met betrekking tot de facto technische voorschriften in de zin van artikel 1, lid 1, onder f), iii), van richtlijn 2015/1535 heeft het Hof reeds geoordeeld dat een belastingwetgeving die niet vergezeld gaat van een technische specificatie of van enig ander vereiste waarmee zij de naleving ervan zou beogen te waarborgen, niet kan worden aangemerkt als een “feitelijk technisch voorschrift” (zie in die zin arrest van 11 juni 2015, Berlington Hungary e.a.</w:t>
        <w:noBreakHyphen/>
        <w:t xml:space="preserve">, C 98/14, -, punt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Gelet op een en ander dient op de eerste vraag te worden geantwoord dat artikel 1 van richtlijn 2015/1535 aldus moet worden uitgelegd dat een nationale belastingregeling die voorziet in belastingheffing op de exploitatie van wedterminals, geen “technisch voorschrift” in de zin van dat artikel is.”</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Arrest van het Hof van Justitie van 22 december 2022</w:t>
        </w:r>
      </w:hyperlink>
      <w:r>
        <w:rPr>
          <w:rFonts w:ascii="Times New Roman" w:hAnsi="Times New Roman" w:cs="Times New Roman" w:eastAsia="Times New Roman"/>
          <w:b/>
          <w:i/>
          <w:szCs w:val="20"/>
        </w:rPr>
        <w:t xml:space="preserve">, Airbnb Ireland en Airbnb Payments UK, C</w:t>
        <w:noBreakHyphen/>
        <w:t xml:space="preserve">83/21, beide reeds aangehaald, punten 29 en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Een wettelijke regeling van fiscale aard kan als zodanig niet als een “feitelijk technisch voorschrift” worden aangemerkt.</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Wat in de derde plaats richtlijn 2015/1535 betreft, moet worden opgemerkt dat deze richtlijn verwijst naar “het [VWEU], en met name de artikelen 114, 337 en 43”. Om te beginnen zij er dus op gewezen dat de in artikel 114, lid 2, VWEU bedoelde uitsluiting met betrekking tot “fiscale bepalingen” om de in punt 25 van dit arrest uiteengezette redenen ook voor deze richtlijn geldt.</w:t>
      </w:r>
    </w:p>
    <w:p w14:paraId="5619063A" w14:textId="77777777">
      <w:pPr>
        <w:pStyle w:val="P68B1DB1-BodyText19"/>
        <w:ind w:left="567"/>
      </w:pPr>
    </w:p>
    <w:p w14:paraId="43BD732D" w14:textId="6B6E6B11">
      <w:pPr>
        <w:pStyle w:val="P68B1DB1-BodyText19"/>
        <w:ind w:left="567"/>
        <w:rPr>
          <w:iCs/>
        </w:rPr>
      </w:pPr>
      <w:r>
        <w:t xml:space="preserve">30. Bovendien bevestigt de inhoud van richtlijn 2015/1535 indirect dat “fiscale bepalingen” van haar werkingssfeer zijn uitgesloten, aangezien artikel 1, lid 1, onder f), iii), van deze richtlijn zo is geformuleerd dat technische specificaties of andere eisen of regels betreffende diensten “die verbonden zijn met fiscale of financiële maatregelen” onder de facto technische voorschriften worden genoemd. Het gaat dus niet om daadwerkelijke belastingmaatregelen, maar enkel om maatregelen die verband houden met belastingmaatregelen (zie in die zin arrest van 8 oktober 2020, Admiral Sportwetten e.a., C-711/19, -, punt 38); deze laatste blijven derhalve als zodanig buiten de werkingssfeer van die richtlijn.”</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Uitgesloten aangelegenheden</w:t>
      </w:r>
      <w:bookmarkEnd w:id="117"/>
      <w:bookmarkEnd w:id="118"/>
      <w:bookmarkEnd w:id="119"/>
    </w:p>
    <w:p w14:paraId="1278603B" w14:textId="77777777">
      <w:pPr>
        <w:pStyle w:val="BodyText"/>
        <w:rPr>
          <w:b/>
          <w:bCs/>
        </w:rPr>
      </w:pPr>
    </w:p>
    <w:p w14:paraId="1B32B976" w14:textId="77777777">
      <w:pPr>
        <w:pStyle w:val="P68B1DB1-BodyText11"/>
        <w:ind w:left="567"/>
      </w:pPr>
      <w:r>
        <w:t xml:space="preserve">“2. Deze richtlijn is niet van toepassing op: </w:t>
      </w:r>
    </w:p>
    <w:p w14:paraId="04019AF2" w14:textId="77777777">
      <w:pPr>
        <w:pStyle w:val="P68B1DB1-BodyText11"/>
        <w:ind w:left="1287" w:firstLine="153"/>
      </w:pPr>
      <w:r>
        <w:t xml:space="preserve">a) radio-omroepdiensten; </w:t>
      </w:r>
    </w:p>
    <w:p w14:paraId="1EADA741" w14:textId="108B47F0">
      <w:pPr>
        <w:pStyle w:val="P68B1DB1-BodyText11"/>
        <w:ind w:left="1440"/>
      </w:pPr>
      <w:r>
        <w:t xml:space="preserve">b) televisieomroepdiensten die vallen onder artikel 1, lid 1, onder e), van Richtlijn 2010/13/EU van het Europees Parlement en de Raad (1). </w:t>
      </w:r>
    </w:p>
    <w:p w14:paraId="7DD31811" w14:textId="77777777">
      <w:pPr>
        <w:pStyle w:val="P68B1DB1-BodyText11"/>
        <w:ind w:left="567"/>
      </w:pPr>
    </w:p>
    <w:p w14:paraId="21C04911" w14:textId="0885ED27">
      <w:pPr>
        <w:pStyle w:val="P68B1DB1-BodyText11"/>
        <w:ind w:left="567"/>
      </w:pPr>
      <w:r>
        <w:t xml:space="preserve">3. Deze richtlijn is niet van toepassing op voorschriften betreffende aangelegenheden die vallen onder de wetgeving van de Unie op het gebied van telecommunicatiediensten, als bedoeld in Richtlijn 2002/21/EG van het Europees Parlement en de Raad (2). </w:t>
      </w:r>
    </w:p>
    <w:p w14:paraId="14E66827" w14:textId="77777777">
      <w:pPr>
        <w:pStyle w:val="P68B1DB1-BodyText11"/>
        <w:ind w:left="567"/>
      </w:pPr>
    </w:p>
    <w:p w14:paraId="21D3AD3B" w14:textId="663656A4">
      <w:pPr>
        <w:pStyle w:val="P68B1DB1-BodyText11"/>
        <w:ind w:left="567"/>
      </w:pPr>
      <w:r>
        <w:t xml:space="preserve">4. Deze richtlijn is niet van toepassing op voorschriften betreffende aangelegenheden die vallen onder Uniewetgeving op het gebied van financiële diensten, zoals niet limitatief opgesomd in bijlage II bij deze richtlijn. </w:t>
      </w:r>
    </w:p>
    <w:p w14:paraId="0E58960E" w14:textId="77777777">
      <w:pPr>
        <w:pStyle w:val="P68B1DB1-BodyText11"/>
        <w:ind w:left="567"/>
      </w:pPr>
    </w:p>
    <w:p w14:paraId="66AEA247" w14:textId="77777777">
      <w:pPr>
        <w:pStyle w:val="P68B1DB1-BodyText11"/>
        <w:ind w:left="567"/>
      </w:pPr>
      <w:r>
        <w:t xml:space="preserve">5. Met uitzondering van artikel 5, lid 3, is deze richtlijn niet van toepassing op voorschriften vastgesteld door of voor gereglementeerde markten in de zin van Richtlijn 2004/39/EG van het Europees Parlement en de Raad (3) of door of voor andere markten of organen die clearing- of afwikkelingsfuncties voor die markten verrichten.</w:t>
      </w:r>
    </w:p>
    <w:p w14:paraId="5D510CB9" w14:textId="77777777">
      <w:pPr>
        <w:pStyle w:val="P68B1DB1-BodyText11"/>
        <w:ind w:left="567"/>
      </w:pPr>
    </w:p>
    <w:p w14:paraId="70E3F74F" w14:textId="117D7E99">
      <w:pPr>
        <w:pStyle w:val="P68B1DB1-BodyText11"/>
        <w:ind w:left="567"/>
      </w:pPr>
      <w:r>
        <w:t xml:space="preserve">6. Deze richtlijn is niet van toepassing op de maatregelen die de lidstaten in het kader van de Verdragen nodig achten om de bescherming van personen, met name van werknemers, bij het gebruik van producten te waarborgen, voor zover deze maatregelen geen gevolgen hebben voor de producten.</w:t>
      </w:r>
    </w:p>
    <w:p w14:paraId="24FE75EA" w14:textId="77777777">
      <w:pPr>
        <w:pStyle w:val="P68B1DB1-BodyText11"/>
        <w:ind w:left="567"/>
      </w:pPr>
    </w:p>
    <w:p w14:paraId="74938EC0" w14:textId="5965F3C9">
      <w:pPr>
        <w:pStyle w:val="BodyText"/>
        <w:ind w:left="1080"/>
        <w:jc w:val="right"/>
      </w:pPr>
      <w:r>
        <w:t xml:space="preserve">(Artikel 1, lid 2 tot en met (6) van Richtlijn (EU) 2015/1535)</w:t>
      </w:r>
    </w:p>
    <w:p w14:paraId="2BAD670C" w14:textId="77777777">
      <w:pPr>
        <w:pStyle w:val="BodyText"/>
        <w:rPr>
          <w:i/>
          <w:iCs/>
          <w:sz w:val="20"/>
        </w:rPr>
      </w:pPr>
    </w:p>
    <w:p w14:paraId="0C974BBF" w14:textId="3B58908A">
      <w:pPr>
        <w:pStyle w:val="P68B1DB1-BodyText23"/>
        <w:ind w:left="567"/>
        <w:rPr>
          <w:iCs/>
        </w:rPr>
      </w:pPr>
      <w:r>
        <w:t xml:space="preserve">““televisie-uitzending” of “televisie-uitzending” (d.w.z. een lineaire audiovisuele mediadienst): een door een aanbieder van mediadiensten aangeboden audiovisuele mediadienst voor het gelijktijdig bekijken van programma’s op basis van een programmaschema;”</w:t>
      </w:r>
    </w:p>
    <w:p w14:paraId="68D48BC5" w14:textId="77777777">
      <w:pPr>
        <w:pStyle w:val="BodyText"/>
        <w:ind w:left="567"/>
        <w:rPr>
          <w:i/>
          <w:iCs/>
          <w:szCs w:val="24"/>
        </w:rPr>
      </w:pPr>
    </w:p>
    <w:p w14:paraId="1E9F9AD6" w14:textId="648E8643">
      <w:pPr>
        <w:pStyle w:val="BodyText"/>
        <w:ind w:left="1080"/>
        <w:jc w:val="right"/>
      </w:pPr>
      <w:r>
        <w:t xml:space="preserve">(Artikel 1, lid 1, onder e), van Richtlijn 2010/13/EU)</w:t>
      </w:r>
    </w:p>
    <w:p w14:paraId="13E3D11F" w14:textId="77777777">
      <w:pPr>
        <w:pStyle w:val="BodyText"/>
        <w:ind w:left="1080"/>
        <w:jc w:val="right"/>
      </w:pPr>
    </w:p>
    <w:p w14:paraId="6E0ADBB8" w14:textId="55100584">
      <w:pPr>
        <w:pStyle w:val="P68B1DB1-BodyText11"/>
        <w:jc w:val="center"/>
        <w:rPr>
          <w:i/>
        </w:rPr>
      </w:pPr>
      <w:r>
        <w:t xml:space="preserve">Indicatieve lijst van financiële diensten, bedoeld in artikel 1, lid 4</w:t>
      </w:r>
    </w:p>
    <w:p w14:paraId="25F72A02" w14:textId="77777777">
      <w:pPr>
        <w:pStyle w:val="BodyText"/>
        <w:jc w:val="center"/>
        <w:rPr>
          <w:i/>
        </w:rPr>
      </w:pPr>
    </w:p>
    <w:p w14:paraId="319C26B1" w14:textId="77777777">
      <w:pPr>
        <w:pStyle w:val="P68B1DB1-BodyText11"/>
        <w:ind w:left="567"/>
        <w:rPr>
          <w:i/>
        </w:rPr>
      </w:pPr>
      <w:r>
        <w:t xml:space="preserve">— Beleggingsdiensten, </w:t>
      </w:r>
    </w:p>
    <w:p w14:paraId="4E853016" w14:textId="77777777">
      <w:pPr>
        <w:pStyle w:val="P68B1DB1-BodyText11"/>
        <w:ind w:left="567"/>
        <w:rPr>
          <w:i/>
        </w:rPr>
      </w:pPr>
      <w:r>
        <w:t xml:space="preserve">— verzekerings- en herverzekeringsverrichtingen; </w:t>
      </w:r>
    </w:p>
    <w:p w14:paraId="6692A963" w14:textId="77777777">
      <w:pPr>
        <w:pStyle w:val="P68B1DB1-BodyText11"/>
        <w:ind w:left="567"/>
        <w:rPr>
          <w:i/>
        </w:rPr>
      </w:pPr>
      <w:r>
        <w:t xml:space="preserve">— bankdiensten, </w:t>
      </w:r>
    </w:p>
    <w:p w14:paraId="23791C4C" w14:textId="77777777">
      <w:pPr>
        <w:pStyle w:val="P68B1DB1-BodyText11"/>
        <w:ind w:left="567"/>
        <w:rPr>
          <w:i/>
        </w:rPr>
      </w:pPr>
      <w:r>
        <w:t xml:space="preserve">— verrichtingen met betrekking tot pensioenfondsen; </w:t>
      </w:r>
    </w:p>
    <w:p w14:paraId="783F6792" w14:textId="77777777">
      <w:pPr>
        <w:pStyle w:val="P68B1DB1-BodyText11"/>
        <w:ind w:left="567"/>
        <w:rPr>
          <w:i/>
        </w:rPr>
      </w:pPr>
      <w:r>
        <w:t xml:space="preserve">— diensten in verband met futures of opties. </w:t>
      </w:r>
    </w:p>
    <w:p w14:paraId="2DCD1B55" w14:textId="77777777">
      <w:pPr>
        <w:pStyle w:val="BodyText"/>
        <w:ind w:left="567"/>
        <w:rPr>
          <w:i/>
        </w:rPr>
      </w:pPr>
    </w:p>
    <w:p w14:paraId="337555AF" w14:textId="77777777">
      <w:pPr>
        <w:pStyle w:val="P68B1DB1-BodyText11"/>
        <w:ind w:left="567"/>
        <w:rPr>
          <w:i/>
        </w:rPr>
      </w:pPr>
      <w:r>
        <w:t xml:space="preserve">Deze diensten omvatten met name: </w:t>
      </w:r>
    </w:p>
    <w:p w14:paraId="3764E7FA" w14:textId="7CA8CD82">
      <w:pPr>
        <w:pStyle w:val="P68B1DB1-BodyText11"/>
        <w:ind w:left="567"/>
        <w:rPr>
          <w:i/>
        </w:rPr>
      </w:pPr>
      <w:r>
        <w:t xml:space="preserve">a) beleggingsdiensten als bedoeld in de bijlage bij Richtlijn 2004/39/EG; de diensten van collectieve beleggingsondernemingen; </w:t>
      </w:r>
    </w:p>
    <w:p w14:paraId="5E0AD7FB" w14:textId="67C20460">
      <w:pPr>
        <w:pStyle w:val="P68B1DB1-BodyText11"/>
        <w:ind w:left="567"/>
        <w:rPr>
          <w:i/>
        </w:rPr>
      </w:pPr>
      <w:r>
        <w:t xml:space="preserve">b) diensten die vallen onder de activiteiten die onder de wederzijdse erkenning vallen als bedoeld in bijlage I bij Richtlijn 2013/36/EU van het Europees Parlement en de Raad (1); </w:t>
      </w:r>
    </w:p>
    <w:p w14:paraId="48C2F22B" w14:textId="3B1B8A48">
      <w:pPr>
        <w:pStyle w:val="P68B1DB1-BodyText11"/>
        <w:ind w:left="567"/>
        <w:rPr>
          <w:i/>
        </w:rPr>
      </w:pPr>
      <w:r>
        <w:t xml:space="preserve">c) verrichtingen die vallen onder de verzekerings- en herverzekeringsactiviteiten als bedoeld in Richtlijn 2009/138/EG van het Europees Parlement en de Raad (2).</w:t>
      </w:r>
    </w:p>
    <w:p w14:paraId="29E9A8E3" w14:textId="77777777">
      <w:pPr>
        <w:pStyle w:val="BodyText"/>
        <w:ind w:left="720"/>
        <w:rPr>
          <w:i/>
        </w:rPr>
      </w:pPr>
    </w:p>
    <w:p w14:paraId="79D13F1F" w14:textId="142C9AC5">
      <w:pPr>
        <w:pStyle w:val="BodyText"/>
        <w:ind w:left="1080"/>
        <w:jc w:val="right"/>
      </w:pPr>
      <w:r>
        <w:t xml:space="preserve">(Bijlage II van Richtlijn (EU) 2015/1535)</w:t>
      </w:r>
    </w:p>
    <w:p w14:paraId="0C95D790" w14:textId="77777777">
      <w:pPr>
        <w:pStyle w:val="BodyText"/>
        <w:ind w:left="567"/>
        <w:rPr>
          <w:i/>
          <w:iCs/>
          <w:szCs w:val="24"/>
        </w:rPr>
      </w:pPr>
    </w:p>
    <w:p w14:paraId="7A47117F" w14:textId="7E196DE2">
      <w:pPr>
        <w:pStyle w:val="P68B1DB1-BodyText23"/>
        <w:ind w:left="567"/>
        <w:rPr>
          <w:iCs/>
        </w:rPr>
      </w:pPr>
      <w:r>
        <w:t xml:space="preserve">“gereglementeerde markt": een door een marktexploitant geëxploiteerd en/of beheerd multilateraal systeem dat meerdere koop- en verkoopintenties van derden met betrekking tot financiële instrumenten — in het systeem en overeenkomstig de niet-discretionaire regels ervan — samenbrengt of het samenbrengen daarvan vergemakkelijkt op een wijze die resulteert in een overeenkomst met betrekking tot de financiële instrumenten die volgens de regels en/of systemen ervan tot de handel zijn toegelaten, en waaraan vergunning is verleend en die regelmatig functioneert overeenkomstig titel III van deze richtlijn;”</w:t>
      </w:r>
    </w:p>
    <w:p w14:paraId="326B89D5" w14:textId="77777777">
      <w:pPr>
        <w:pStyle w:val="BodyText"/>
        <w:ind w:left="567"/>
        <w:rPr>
          <w:i/>
          <w:iCs/>
          <w:szCs w:val="24"/>
        </w:rPr>
      </w:pPr>
    </w:p>
    <w:p w14:paraId="2EE59DAD" w14:textId="7FE2F68F">
      <w:pPr>
        <w:pStyle w:val="P68B1DB1-BodyText24"/>
        <w:ind w:left="567"/>
        <w:jc w:val="right"/>
      </w:pPr>
      <w:r>
        <w:t xml:space="preserve">(Artikel 4, lid 21, van Richtlijn 2014/65/EU, </w:t>
      </w:r>
    </w:p>
    <w:p w14:paraId="510D994F" w14:textId="6EE676DC">
      <w:pPr>
        <w:pStyle w:val="P68B1DB1-BodyText24"/>
        <w:ind w:left="567"/>
        <w:jc w:val="right"/>
      </w:pPr>
      <w:r>
        <w:t xml:space="preserve">herschikking van Richtlijn 2004/39/EG)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Arrest van 2 juni 2005</w:t>
        </w:r>
      </w:hyperlink>
      <w:r>
        <w:rPr>
          <w:rFonts w:ascii="Times New Roman" w:hAnsi="Times New Roman" w:cs="Times New Roman" w:eastAsia="Times New Roman"/>
          <w:b/>
          <w:i/>
          <w:szCs w:val="20"/>
        </w:rPr>
        <w:t xml:space="preserve">, zaak C-89/04, Mediakabel BV, reeds aangehaald, punten 22 en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televisieomroepdienst die op verzoek van de abonnee beschikbaar is en bestaat uit films waarvan de frequentie en het tijdstip door de aanbieder worden bepaald, vormt een dienst “bijna-video-on-demand” die onder het begrip “televisieomroepdiensten” valt. Dit begrip wordt autonoom gedefinieerd in Richtlijn 2010/13/EU (voorheen Richtlijn 89/552/EEG), los van het begrip “dienst van de informatiemaatschappij”.</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de draagwijdte van het begrip “televisieomroep” kan zeker niet worden afgeleid uit de uitsluiting van het begrip “dienst van de informatiemaatschappij”. Richtlijn 98/34 verwijst zowel in artikel 1, lid 2, als in bijlage V naar diensten die niet onder het begrip “dienst van de informatiemaatschappij” vallen en die als zodanig geen televisieomroepdiensten zijn. Dit is onder meer het geval met radio-omroepdiensten. Evenzo kunnen de televisieomroepdiensten niet worden beperkt tot de in bijlage V, punt 3, van richtlijn 98/34 genoemde diensten “die via de verzending van gegevens zonder individuele oproep worden verricht en bestemd zijn voor gelijktijdige ontvangst door een onbeperkt aantal ontvangers”. Indien deze uitlegging zou worden gevolgd, zouden diensten zoals televisie die per abonnement beschikbaar is en aan een beperkt aantal ontvangers worden doorgegeven, van het begrip “televisieomroepdienst” worden uitgesloten, terwijl zij wel onder dat begrip vallen op grond van de criteria van artikel 1, onder a), van richtlijn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Ten slotte lag het bij de vaststelling van de richtlijnen 98/34 en 98/48 niet in de bedoeling van de communautaire wetgever om wijzigingen aan te brengen in richtlijn 89/552, die zelf minder dan een jaar daarvoor was gewijzigd bij richtlijn 97/36. Zo staat in overweging 20 van richtlijn 98/48, waarbij richtlijn 98/34 is gewijzigd, dat richtlijn 98/48 “de werkingssfeer van [...] richtlijn 89/552 onverlet [laat]”.</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Arrest van het Hof van Justitie van 12 september 2019</w:t>
        </w:r>
      </w:hyperlink>
      <w:r>
        <w:t xml:space="preserve"> in zaak C-299/17, VG Media, punt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“Technische voorschriften” op het gebied van intellectuele eigendom zijn, anders dan die welke betrekking hebben op telecommunicatie of financiële diensten, niet uitgesloten van de werkingssfeer van de richtlijn.</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rPr>
          <w:rFonts w:ascii="Open Sans" w:hAnsi="Open Sans" w:cs="Open Sans" w:eastAsiaTheme="minorHAnsi"/>
          <w:i w:val="0"/>
          <w:color w:val="006699"/>
          <w:sz w:val="18"/>
          <w:szCs w:val="18"/>
        </w:rPr>
        <w:t xml:space="preserve"> </w:t>
      </w:r>
      <w:r>
        <w:t xml:space="preserve">38. aan deze beoordeling wordt niet afgedaan door het feit dat § 87 g (4) UrhG deel uitmaakt van de nationale wetgeving inzake het auteursrecht of naburige rechten. Technische voorschriften inzake intellectuele eigendom zijn niet uitdrukkelijk uitgesloten van de werkingssfeer van artikel 1, lid 5, van richtlijn 98/34, anders dan die waarop de Europese regelgeving op het gebied van telecommunicatiediensten of financiële diensten betrekking heeft. Bovendien blijkt uit het arrest van 8 november 2007, Schwibbert (C</w:t>
        <w:noBreakHyphen/>
        <w:t xml:space="preserve">20/05, -), dat bepalingen van de nationale wetgeving inzake intellectuele eigendom een “technisch voorschrift” kunnen vormen waarvan overeenkomstig artikel 8, lid 1, van deze richtlijn kennis moet worden gegeven.”</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Kennisgevingsverplichting</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Kennisgeving in de ontwerpfase</w:t>
      </w:r>
      <w:bookmarkEnd w:id="123"/>
      <w:bookmarkEnd w:id="124"/>
    </w:p>
    <w:p w14:paraId="27EBED2C" w14:textId="3CCBF668">
      <w:pPr>
        <w:pStyle w:val="BodyText"/>
        <w:rPr>
          <w:b/>
          <w:bCs/>
        </w:rPr>
      </w:pPr>
    </w:p>
    <w:p w14:paraId="58135D0C" w14:textId="021350D1">
      <w:pPr>
        <w:pStyle w:val="P68B1DB1-BodyText11"/>
        <w:ind w:left="567"/>
        <w:rPr>
          <w:iCs/>
        </w:rPr>
      </w:pPr>
      <w:r>
        <w:t xml:space="preserve">“Onverminderd artikel 7 stellen de lidstaten de Commissie onverwijld in kennis van elk ontwerp voor een technisch voorschrift, tenzij het slechts de volledige tekst van een internationale of Europese norm omzet, in welk geval met informatie over de desbetreffende norm kan worden volstaan; zij stellen de Commissie tevens in kennis van de redenen waarom de vaststelling van een dergelijk technisch voorschrift noodzakelijk is, voor zover deze redenen niet reeds in het ontwerp zijn vermeld.”</w:t>
      </w:r>
    </w:p>
    <w:p w14:paraId="79E57C28" w14:textId="77777777">
      <w:pPr>
        <w:pStyle w:val="BodyText"/>
        <w:ind w:left="567"/>
        <w:rPr>
          <w:i/>
          <w:iCs/>
        </w:rPr>
      </w:pPr>
    </w:p>
    <w:p w14:paraId="4348B9F9" w14:textId="1F348A6E">
      <w:pPr>
        <w:pStyle w:val="BodyText"/>
        <w:jc w:val="right"/>
      </w:pPr>
      <w:r>
        <w:t xml:space="preserve">(artikel 5, lid 1, eerste zin, van Richtlijn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Arrest van 2 augustus 1993</w:t>
        </w:r>
      </w:hyperlink>
      <w:r>
        <w:t xml:space="preserve"> in zaak C-139/92, Commissie/Italië, reeds aangehaald, punten 8 en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Door in de ontwerpfase geen kennisgeving te doen van een ministerieel besluit betreffende de vaststelling en de controle van het maximumvermogen, alsmede betreffende de bouw en de installatie van motoren voor pleziervaartuigen, is Italië de op haar rustende verplichting tot kennisgeving van ontwerpen van technische voorschriften niet nagekomen.</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De Italiaanse regering betwist niet, dat zij het betrokken ministerieel besluit in de ontwerpfase niet aan de Commissie heeft meegedeeld.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Aangezien is komen vast te staan dat de artikelen 8 en 9 van de richtlijn zijn geschonden, moet de niet-nakoming in de door de Commissie gevorderde bewoordingen worden vastgesteld.”</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Arrest van 14 juli 1994</w:t>
        </w:r>
      </w:hyperlink>
      <w:r>
        <w:t xml:space="preserve"> in zaak C-61/93, Commissie/Nederland, reeds aangehaald, punten 6 en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Door decreten vast te stellen betreffende de eisen inzake resistentie van frisdrankflessen en de samenstelling, indeling, verpakking en etikettering van bestrijdingsmiddelen, zonder deze in het ontwerpstadium aan de Commissie mee te delen, is Nederland zijn verplichting tot kennisgeving van ontwerpen van technische voorschriften niet nagekomen.</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In een brief van 17 november 1989 erkenden de Nederlandse autoriteiten, dat het besluit van 16 januari 1989 technische voorschriften bevatte die binnen het toepassingsgebied van richtlijn 83/189 vielen, en dat zij hadden verzuimd dit besluit in het ontwerpstadium aan de Commissie mee te delen. Zij hebben er evenwel op gewezen dat het decreet aan de Commissie was toegezonden en als bijlage bij een brief van 22 mei 1989 met informatie over de privatisering van de autoriteiten voor gewichten en maatregelen was gevoegd.”</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Vaststaat, dat overeenkomstig artikel 8 van de richtlijn de ontwerp-decreten van 16 januari 1989, 24 augustus 1988 en 21 oktober 1988 in de ontwerpfase onverwijld ter kennis van de Commissie hadden moeten worden gebracht en dat deze kennisgeving niet is gedaan.”</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Arrest van 14 juli 1994</w:t>
        </w:r>
      </w:hyperlink>
      <w:r>
        <w:t xml:space="preserve"> in zaak C-52/93, Commissie/Nederland, reeds aangehaald, punten 6 en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Door de verordening inzake kwaliteitsnormen voor bloembollen te wijzigen zonder deze in de ontwerpfase aan de Commissie mee te delen, is Nederland zijn verplichting tot kennisgeving van ontwerpen van technische voorschriften niet nagekomen.</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Bij brief van 4 november 1991 hebben de Nederlandse autoriteiten erkend dat de betrokken regeling een technisch voorschrift in de zin van richtlijn 83/189 was en dat zij het ontwerp van wijziging niet aan de Commissie hadden meegedeeld.”</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Het wordt niet betwist dat het ontwerp tot wijziging XIII van de PSS-verordening overeenkomstig artikel 8 van de richtlijn onverwijld ter kennis van de Commissie had moeten worden gebracht en dat een dergelijke kennisgeving niet is gedaan.”</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Arrest van 8 september 2005 in zaak</w:t>
        </w:r>
      </w:hyperlink>
      <w:r>
        <w:t xml:space="preserve"> C-500/03, Commissie/Portugal, reeds aangehaald, punten 39 tot en met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De richtlijn verplicht de lidstaten de Commissie onverwijld in kennis te stellen van elk ontwerp voor een technisch voorschrift. Door een technisch voorschrift vast te stellen zonder dit ter kennis van de Commissie te brengen, is Portugal de op hem rustende verplichting tot kennisgeving van ontwerpen voor technische voorschriften niet nagekomen.</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(Aangezien het arrest uitsluitend in het Frans en het Portugees beschikbaar is, is de volgende tekst een vertaling.)</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Aangezien het onderhavige beroep wegens niet-nakoming beperkt is tot een vordering tot vaststelling van de niet-nakoming van de formele procedure van voorafgaande kennisgeving, kan worden volstaan met de opmerking, zonder dat op de overige argumenten van partijen behoeft te worden geantwoord, dat het Hof reeds heeft geoordeeld dat artikel 8, lid 1, van richtlijn 98/34 de lidstaten verplicht, de Commissie onverwijld ieder ontwerp voor een technisch voorschrift mee te delen (zie in die zin met name, met betrekking tot bepalingen die vergelijkbaar zijn met die van deze richtlijn, arresten van 2 augustus 1993, Commissie/Italië, 139/92,</w:t>
        <w:noBreakHyphen/>
        <w:t xml:space="preserve">Jurispr. blz. I 4707,</w:t>
        <w:noBreakHyphen/>
        <w:t xml:space="preserve">punt 3, en 11 januari 1996, Commissie/Nederland, 273/94, Jurispr.</w:t>
        <w:noBreakHyphen/>
        <w:t xml:space="preserve">blz. I-31, punt 15).</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Aangezien de relevante bepalingen van decreet nr. 783/98 technische voorschriften in de zin van richtlijn 98/34 vormen, zoals in punt 31 van het onderhavige arrest in herinnering is gebracht, was de Portugese Republiek krachtens artikel 8, lid 1, van richtlijn 98/34 verplicht deze in ontwerpvorm mee te delen (zie in die zin met name, met betrekking tot soortgelijke bepalingen als richtlijn 98/34, arresten van 7 mei 1998, Commissie/België,</w:t>
        <w:noBreakHyphen/>
        <w:t xml:space="preserve">145/97, Jurispr.</w:t>
        <w:noBreakHyphen/>
        <w:t xml:space="preserve">blz. I-2643, punt 13, en 21 april 2005, Lindberg, </w:t>
        <w:noBreakHyphen/>
        <w:t xml:space="preserve">267/03, Jurispr. blz. I-43, punt).</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Bijgevolg moet worden vastgesteld dat de Portugese Republiek, door besluit nr. 783/98 vast te stellen zonder dit in de ontwerpfase aan de Commissie mee te delen, de krachtens artikel 8 van richtlijn 98/34 op haar rustende verplichtingen niet is nagekomen.”</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Arrest van 26 oktober 2006</w:t>
        </w:r>
      </w:hyperlink>
      <w:r>
        <w:t xml:space="preserve"> in zaak C-65/05, Commissie/Griekenland, reeds aangehaald, punten 60 tot en met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De richtlijn verplicht de lidstaten de Commissie onverwijld in kennis te stellen van elk ontwerp voor een technisch voorschrift. Door deze kennisgeving niet te doen vóór de vaststelling van een technisch voorschrift, is Griekenland de krachtens deze richtlijn op hem rustende verplichtingen niet nagekomen.</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verordening nr. 1367/2006 bevat geen enkele aanwijzing dat het begrip “emissies in het milieu” in de zin van artikel 6, lid 1, eerste volzin, van deze verordening moet worden beperkt tot emissies afkomstig van bepaalde industriële installaties, zoals fabrieken en elektriciteitscentrales.</w:t>
      </w:r>
    </w:p>
    <w:p w14:paraId="4BFB9A72" w14:textId="77777777">
      <w:pPr>
        <w:pStyle w:val="P68B1DB1-BodyText25"/>
        <w:ind w:left="510"/>
      </w:pPr>
    </w:p>
    <w:p w14:paraId="0E60EA19" w14:textId="5C6F09B6">
      <w:pPr>
        <w:pStyle w:val="P68B1DB1-BodyText25"/>
        <w:ind w:left="510"/>
      </w:pPr>
      <w:r>
        <w:t xml:space="preserve">61. Die beperking kan evenmin worden afgeleid uit het Verdrag van Aarhus, waarmee rekening dient te worden gehouden bij de uitlegging van verordening nr. 1367/2006, aangezien, zoals is bepaald in artikel 1, het doel van deze verordening het leveren is van een bijdrage aan de uitvoering van de verplichtingen die voortvloeien uit voormeld verdrag, middels het vaststellen van regels voor de toepassing van dat verdrag op de instellingen en organen van de Unie.</w:t>
      </w:r>
    </w:p>
    <w:p w14:paraId="37017D07" w14:textId="77777777">
      <w:pPr>
        <w:pStyle w:val="P68B1DB1-BodyText25"/>
        <w:ind w:left="510"/>
      </w:pPr>
    </w:p>
    <w:p w14:paraId="36CD38D8" w14:textId="043FC15A">
      <w:pPr>
        <w:pStyle w:val="P68B1DB1-BodyText25"/>
        <w:ind w:left="510"/>
        <w:rPr>
          <w:iCs/>
        </w:rPr>
      </w:pPr>
      <w:r>
        <w:t xml:space="preserve">62. Zoals het Hof in punt 72 van het arrest van heden, Bayer CropScience en Stichting De Bijenstichting (C-442/14) oordeelt, zou een dergelijke beperking integendeel in strijd zijn met de tekst van artikel 4, lid 4, eerste alinea, onder d), van het Verdrag van Aarhus. Deze bepaling voorziet er immers in dat informatie over emissies die van belang is voor de bescherming van het milieu openbaar wordt gemaakt. Informatie over emissies afkomstig van andere bronnen dan industriële installaties, zoals die welke het gevolg zijn van het gebruik van gewasbeschermingsmiddelen op planten of in de bodem, is even relevant voor de bescherming van het milieu als informatie over emissies van industriële oorsprong.”</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Kennisgevingen van nieuwe technische voorschriften</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Arrest van 1 juni 1994</w:t>
        </w:r>
      </w:hyperlink>
      <w:r>
        <w:t xml:space="preserve"> in zaak C-317/92, Commissie/Duitsland, reeds aangehaald, punten 25 en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De uitbreiding van een bestaand “technisch voorschrift” tot nieuwe producten valt onder de aanmeldingsplicht, ook al is het oorspronkelijke technische voorschrift waarvan het toepassingsgebied wordt uitgebreid, reeds ter kennis van de Commissie gebracht.</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Dat argument kan niet worden aanvaard. De betrokken Duitse regeling vormt een nieuwe technische specificatie in de zin van artikel 1, aangezien steriele medische instrumenten die niet opnieuw kunnen worden gebruikt, voortaan slechts in Duitsland in de handel mogen worden gebracht of gebruikt indien aan bepaalde verplichtingen is voldaan, waarvan de toepassing voorheen beperkt was tot de etikettering van geneesmiddelen. Wanneer op bepaalde producten een voorschrift wordt toegepast dat voorheen op andere producten betrekking had, is dit voor de eerstbedoelde producten een nieuw voorschrift, waarvan derhalve mededeling moet worden gedaan overeenkomstig richtlijn 83/189.</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Aan deze vaststelling wordt niet afgedaan door het feit dat, zoals de Duitse regering betoogt, de uitbreiding van de werkingssfeer van de regel is gebaseerd op een machtigingsbepaling die vooraf aan de Commissie is meegedeeld. Op zichzelf beschouwd diende deze machtigingsbepaling immers volgens voornoemd artikel 8 niet te worden meegedeeld, daar zij geen nieuwe specificatie is. De situatie is anders wat betreft de uitvoering van die maatregel, die een nieuwe specificatie vormt die moet worden aangemeld.”</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Arrest van 3 juni 1999</w:t>
        </w:r>
      </w:hyperlink>
      <w:r>
        <w:rPr>
          <w:b/>
          <w:i/>
          <w:sz w:val="22"/>
          <w:szCs w:val="22"/>
        </w:rPr>
        <w:t xml:space="preserve">, C-33/189, Colim NV, punt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Een nationale maatregel die bestaande “technische voorschriften” reproduceert of vervangt die reeds bij de Commissie zijn aangemeld, zonder nieuwe specificaties toe te voegen, vormt geen ontwerp voor een “technisch voorschrift”.</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richtlijn 83/189 heeft tot doel het vrije verkeer van goederen, dat een van de grondslagen van de Gemeenschap vormt, door middel van preventieve controle te beschermen (arrest van 1997 juli 1753, Bic Benelux Belgische Staat, C-13/96, nog niet gepubliceerd in de Jurisprudentie, punt 19). Deze controle beoogt de belemmeringen van het vrije verkeer van goederen die uit de door de lidstaten voorgenomen technische voorschriften zouden kunnen voortvloeien, op te heffen of te beperken. Een nationale maatregel die bestaande technische voorschriften die na de inwerkingtreding van Richtlijn 83/189 zijn vastgesteld en naar behoren ter kennis van de Commissie zijn gebracht, zonder toevoeging van nieuwe of aanvullende specificaties, overneemt of vervangt, kan niet worden beschouwd als een “ontwerp” voor een technisch voorschrift in de zin van artikel 1, lid 6, van Richtlijn 83/189 en kan bijgevolg niet worden aangemerkt als een “ontwerp” van een technisch voorschrift in de zin van, van richtlijn, en kan bijgevolg ook niet onder de mededelingsplicht vallen.”</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Arrest van het Hof van Justitie van 21 april 2005</w:t>
        </w:r>
      </w:hyperlink>
      <w:r>
        <w:t xml:space="preserve">, Lindberg, C-267/03, punten 82 en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Een regel die slechts een herhaling of vervanging is van reeds aangemelde regels zonder toevoeging van nieuwe “technische voorschriften”, hoeft niet te worden aangemeld.</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om te beginnen zij eraan herinnerd, dat een nationale maatregel die bestaande technische voorschriften die na de inwerkingtreding van richtlijn 83/189 naar behoren ter kennis van de Commissie zijn gebracht, zonder toevoeging van nieuwe of aanvullende specificaties, overneemt of vervangt, niet kan worden beschouwd als een “ontwerp” voor een technisch voorschrift in de zin van artikel 1, lid 9, van richtlijn 83/189, en bijgevolg niet als een mededelingsplicht (zie arrest Colim, reeds aangehaald, punt 22). In het onderhavige geval moet rekening worden gehouden met de datum van inwerkingtreding van richtlijn 83/189 wat het Koninkrijk Zweden betreft.”</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Gelet op een en ander moet op de derde vraag worden geantwoord dat de herdefiniëring in de nationale wetgeving van een dienst die verband houdt met het ontwerpen van een product, met name de exploitatie van bepaalde speelautomaten, zoals de wet van 1996 heeft gedaan, een technisch voorschrift kan vormen waarvan krachtens richtlijn 83/189 kennis moet worden gegeven, indien deze nieuwe regeling niet beperkt is tot de reproductie of vervanging, zonder nieuwe of aanvullende specificaties, van bestaande technische voorschriften die, indien zij na de inwerkingtreding van richtlijn 83/189 in de betrokken lidstaat zijn vastgesteld, naar behoren ter kennis van de Commissie zijn gebracht.”</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Arrest van 13 maart 2025</w:t>
        </w:r>
      </w:hyperlink>
      <w:r>
        <w:rPr>
          <w:rFonts w:ascii="Times New Roman" w:hAnsi="Times New Roman" w:cs="Times New Roman" w:eastAsia="Times New Roman"/>
          <w:b/>
          <w:i/>
          <w:szCs w:val="20"/>
        </w:rPr>
        <w:t xml:space="preserve"> in zaak C-120/24, Unigames UAB, reeds aangehaald, punten 57 en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Een wijziging van een ontwerp voor een technisch voorschrift die het toepassingsgebied ervan aanzienlijk uitbreidt, moet ter kennis worden gebracht. Een wijziging waarbij sancties voor nieuwe gedragingen worden ingevoerd, moet worden beschouwd als een ingrijpende herziening van een technisch voorschrift.</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Uit het verzoek om een prejudiciële beslissing blijkt dat artikel 10, lid 19, van de kansspelwet het verbod om deelname aan kansspelen aan te moedigen, “ingrijpend heeft herzien”. De verwijzende rechter merkt met name op dat de gedragingen die Unigames wordt verweten op grond van de thans geldende wet, bestaande in de publicatie op de website van deze vennootschap van informatie over de door haar aangeboden kansspelactiviteiten, niet konden worden bestraft op grond van de oude kansspelwet. Volgens de verwijzende rechter heeft dit artikel 10, lid 19, de werkingssfeer van dat verbod dus uitgebreid.</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Uit de gegevens in het verzoek om een prejudiciële beslissing blijkt dus dat artikel 10, lid 19, van de kansspelwet nieuwe of aanvullende vereisten in de zin van de in punt 52 van het onderhavige arrest aangehaalde rechtspraak heeft toegevoegd ten opzichte van artikel 10, lid 19, van de oude kansspelwet. Hieruit volgt dat, onder voorbehoud van door de verwijzende rechter te verrichten verificaties, de wijziging die aanleiding heeft gegeven tot de thans geldende wet, overeenkomstig artikel 5, lid 1, eerste alinea, van richtlijn 2015/1535 had moeten worden meegedeeld.”</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Kennisgeving van de volledige tekst</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Hof: 16 september 1997</w:t>
        </w:r>
      </w:hyperlink>
      <w:r>
        <w:t xml:space="preserve">, Commissie/Italië, C-279/94, punten 38 en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Een tekst met “technische voorschriften” moet in zijn geheel worden meegedeeld, met inbegrip van maatregelen die geen “technische voorschriften” zijn, ook al is de status-quoperiode alleen van toepassing op “technische voorschriften”.</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Met betrekking tot de verplichting van de Italiaanse regering om de volledige tekst van wet nr. 257/92, met inbegrip van de bepalingen die geen technische voorschriften zijn, mee te delen, zij opgemerkt dat de lidstaten volgens artikel 8, lid 1, eerste alinea, laatste zin, van de richtlijn de Commissie ook de tekst van de primair en rechtstreeks betrokken fundamentele wettelijke of bestuursrechtelijke bepalingen moeten meedelen, indien kennis van deze tekst noodzakelijk is om de gevolgen van het ontwerp voor een technisch voorschrift te beoordelen.”</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Het enkele feit dat alle bepalingen van wet nr. 257/92 ter kennis van de Commissie zijn gebracht, belet de Italiaanse Republiek echter niet om de bepalingen die geen technische voorschriften zijn, onmiddellijk in werking te doen treden, en dus zonder de resultaten van de in de richtlijn bedoelde onderzoeksprocedure af te wachten.”</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Kennisgeving van de betrokken </w:t>
      </w:r>
      <w:bookmarkEnd w:id="139"/>
      <w:r>
        <w:t>basisbepalingen</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“In voorkomend geval en tenzij deze reeds samen met een voorafgaande mededeling is toegezonden, delen de lidstaten de Commissie gelijktijdig de tekst van de hoofdzakelijk en rechtstreeks betrokken fundamentele wettelijke of bestuursrechtelijke bepalingen mee, indien kennis van deze tekst nodig is om de gevolgen van het ontwerp voor een technisch voorschrift te beoordelen.”</w:t>
      </w:r>
    </w:p>
    <w:p w14:paraId="3C018828" w14:textId="77777777">
      <w:pPr>
        <w:pStyle w:val="BodyText"/>
        <w:ind w:left="1440"/>
        <w:jc w:val="right"/>
        <w:rPr>
          <w:i/>
          <w:iCs/>
        </w:rPr>
      </w:pPr>
    </w:p>
    <w:p w14:paraId="21D14611" w14:textId="15758967">
      <w:pPr>
        <w:pStyle w:val="BodyText"/>
        <w:ind w:left="1440"/>
        <w:jc w:val="right"/>
      </w:pPr>
      <w:r>
        <w:t xml:space="preserve">(artikel 5, lid 1, tweede zin, van Richtlijn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Arrest van 7 mei 1998</w:t>
        </w:r>
      </w:hyperlink>
      <w:r>
        <w:t xml:space="preserve"> in zaak C-145/97, Commissie/België, reeds aangehaald, punten 11 en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De lidstaten moeten niet alleen de ontwerptekst met de “technische voorschriften” meedelen, maar ook de tekst van de primair en rechtstreeks betrokken wettelijke of bestuursrechtelijke basisbepalingen. Deze verplichting heeft tot doel de Commissie in staat te stellen over zoveel mogelijk informatie te beschikken en aldus de haar door de richtlijn verleende bevoegdheden doeltreffend uit te oefenen.</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Wat in de tweede plaats de precieze omvang van de mededelingsplicht betreft, bepaalt de laatste zin van artikel 8, lid 1, eerste alinea, van de richtlijn dat de lidstaten ook de tekst van de primair en rechtstreeks betrokken fundamentele wettelijke of bestuursrechtelijke bepalingen meedelen indien kennis van de feiten noodzakelijk is om de gevolgen van het ontwerp voor een technisch voorschrift te beoordelen.</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Zoals het Hof in zijn arrest van 1997 juni 4743, Commissie/Italië (C-279/94, Jurispr. blz. I-40, punt), heeft verklaard, heeft deze bepaling tot doel de Commissie in staat te stellen zo veel mogelijk informatie te verkrijgen over elk ontwerp voor een technisch reglement met betrekking tot de inhoud, de strekking en de algemene context ervan, teneinde de Commissie in staat te stellen de haar door de richtlijn verleende bevoegdheden zo doeltreffend mogelijk uit te oefenen.”</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Heraanmelding</w:t>
      </w:r>
      <w:bookmarkEnd w:id="143"/>
      <w:r>
        <w:t xml:space="preserve"> tijdens de stand-stille periode</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“De lidstaten stellen de Commissie opnieuw in kennis van het ontwerp voor een technisch voorschrift onder de in de eerste en de tweede alinea van dit lid genoemde voorwaarden, indien zij in het ontwerp wijzigingen aanbrengen die tot gevolg hebben dat het toepassingsgebied ervan aanzienlijk wordt gewijzigd, het oorspronkelijk geplande tijdschema voor de uitvoering wordt verkort, specificaties of eisen worden toegevoegd of dit laatste restrictiever wordt gemaakt.”</w:t>
      </w:r>
    </w:p>
    <w:p w14:paraId="3E582DDB" w14:textId="77777777">
      <w:pPr>
        <w:pStyle w:val="BodyText"/>
        <w:ind w:left="1440"/>
        <w:jc w:val="right"/>
        <w:rPr>
          <w:i/>
          <w:iCs/>
        </w:rPr>
      </w:pPr>
    </w:p>
    <w:p w14:paraId="57E3F15D" w14:textId="51B7D3EF">
      <w:pPr>
        <w:pStyle w:val="BodyText"/>
        <w:ind w:left="1440"/>
        <w:jc w:val="right"/>
      </w:pPr>
      <w:r>
        <w:t xml:space="preserve">(artikel 5, lid 1, derde zin, van Richtlijn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Arrest van het Hof van Justitie van 15 april 2010</w:t>
        </w:r>
      </w:hyperlink>
      <w:r>
        <w:t xml:space="preserve">, Sandström, C-433/05, punten 47 en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Wijzigingen van een ontwerp voor een technisch voorschrift dat reeds aan de Commissie is meegedeeld en die slechts de gebruiksvoorwaarden van het betrokken product versoepelen, vormen geen belangrijke wijziging die verdere kennisgeving vereist.</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gelet op het in punt 41 van het onderhavige arrest genoemde doel van richtlijn 98/34, vormen wijzigingen van een ontwerp voor een technisch voorschrift dat reeds overeenkomstig artikel 8, lid 1, eerste alinea, van richtlijn 98/34 aan de Commissie is meegedeeld, die ten opzichte van het aangemelde ontwerp slechts een versoepeling van de gebruiksvoorwaarden van het betrokken product inhouden en dus de mogelijke gevolgen van het technisch voorschrift voor het handelsverkeer beperken, geen significante wijziging van het ontwerp in de zin van artikel 8, lid 1, derde alinea, van deze richtlijn. Voor dergelijke wijzigingen geldt de verplichting van voorafgaande mededeling dus niet.</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Hoewel de lidstaten krachtens artikel 8, lid 3, van richtlijn 98/34 de definitieve tekst van een technisch voorschrift onverwijld aan de Commissie meedelen, doet het feit dat een niet-ingrijpende wijziging van een dergelijk voorschrift niet vóór de vaststelling ervan is meegedeeld, geen afbreuk aan de toepasselijkheid van die verordening, indien er geen verplichting tot voorafgaande kennisgeving bestaat.”</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Arrest van 31 januari 2013</w:t>
        </w:r>
      </w:hyperlink>
      <w:r>
        <w:t xml:space="preserve"> in zaak C-26/11, Belgische Petroleum Unie e.a., reeds aangehaald, punten 56 en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De richtlijn vereist geen nieuwe kennisgeving van ontwerpen van nationale wetgeving wanneer het ontwerp, na kennisgeving ervan, is gewijzigd om rekening te houden met de opmerkingen van de Commissie en het gewijzigde ontwerp vervolgens aan de Commissie is meegedeeld.</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in deze omstandigheden heeft het Koninkrijk België zich ertoe beperkt de bepalingen van het wetsontwerp te wijzigen naar aanleiding van een verzoek van de Commissie om een handelsbelemmering weg te nemen, zodat de in artikel 10, lid 1, eerste alinea, van richtlijn 98/34 neergelegde verplichting tot kennisgeving aan de Commissie krachtens artikel 8, lid 1, laatste streepje, van die richtlijn niet van toepassing is op het wetsontwerp inzake de verplichting tot bijmenging.</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In die omstandigheden moet op de tweede vraag worden geantwoord dat artikel 8 van richtlijn 98/34, gelezen in samenhang met artikel 10, lid 1, laatste streepje, van deze richtlijn, aldus moet worden uitgelegd dat het niet vereist dat kennis wordt gegeven van een ontwerp van nationale regeling die aardoliemaatschappijen die benzine en/of dieselbrandstof in de handel brengen, verplicht om in hetzelfde kalenderjaar ook bepaalde percentages biobrandstoffen in de handel te brengen, wanneer het ontwerp, na kennisgeving overeenkomstig artikel 8, lid 1, eerste alinea, is gewijzigd om rekening te houden met de opmerkingen van de Commissie daarover, en het gewijzigde ontwerp vervolgens aan de Commissie is meegedeeld.”</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Arrest van 10 juli 2014,</w:t>
        </w:r>
        <w:r>
          <w:rPr>
            <w:rFonts w:ascii="Open Sans" w:hAnsi="Open Sans" w:cs="Open Sans" w:eastAsiaTheme="minorHAnsi"/>
            <w:color w:val="000000"/>
            <w:sz w:val="18"/>
            <w:szCs w:val="18"/>
          </w:rPr>
          <w:t xml:space="preserve"> </w:t>
        </w:r>
        <w:r>
          <w:rPr>
            <w:b/>
            <w:i/>
          </w:rPr>
          <w:t>C-307/13,</w:t>
        </w:r>
        <w:r>
          <w:rPr>
            <w:b/>
            <w:i/>
            <w:color w:val="0000FF"/>
            <w:u w:val="single"/>
          </w:rPr>
          <w:t xml:space="preserve"> </w:t>
        </w:r>
        <w:r>
          <w:rPr>
            <w:b/>
            <w:i/>
          </w:rPr>
          <w:t xml:space="preserve"> Ivansson e.a.</w:t>
        </w:r>
        <w:r>
          <w:rPr>
            <w:b/>
            <w:i/>
            <w:color w:val="0000FF"/>
            <w:u w:val="single"/>
          </w:rPr>
          <w:t xml:space="preserve">, punten 48 tot en met 50</w:t>
        </w:r>
      </w:hyperlink>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Elke belangrijke wijziging van het tijdschema voor de uitvoering van een nationale maatregel, met inbegrip van een aanzienlijke verkorting, moet aan de Commissie worden meegedeeld. Niet-mededeling leidt ertoe dat de maatregel niet van toepassing is en niet aan particulieren kan worden tegengeworpen.</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In dit verband zij eraan herinnerd dat het Hof heeft geoordeeld dat de niet-nakoming van de verplichting tot kennisgeving aan de Commissie een procedurefout bij de vaststelling van de betrokken technische voorschriften vormt, waardoor deze technische voorschriften niet kunnen worden toegepast en dus niet aan particulieren kunnen worden tegengeworpen (zie met name arresten CIA Security International, C-194/94, -C-20/05, punt 54, en Schwibbert, reeds aangehaald, punt 44). Particulieren kunnen zich op deze niet-toepasselijkheid beroepen voor de nationale rechter, die een nationaal technisch voorschrift dat niet overeenkomstig richtlijn 98/34 is meegedeeld, buiten toepassing moet laten (zie met name arrest Schwibbert, reeds aangehaald, punt 44 en aldaar aangehaalde rechtspraak).</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Hieruit volgt dat, indien de mededeling aan de Commissie van § 9 DSF daadwerkelijk de datum van inwerkingtreding van 1 mei 2003 en de verkorting van het tijdschema voor de uitvoering ervan tot 15 april 2003 vermeldde, het ontbreken van een nieuwe mededeling van deze nationale bepaling aan de Commissie tot gevolg zou hebben dat zij niet aan verweersters in het hoofdgeding kan worden tegengeworpen.</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Bijgevolg moet op de tweede vraag worden geantwoord dat indien de verkorting van het tijdschema voor de inwerkingtreding van een technisch voorschrift afhankelijk is van de in artikel 8, lid 1, derde alinea, van richtlijn 98/34 neergelegde verplichting tot mededeling aan de Commissie, het ontbreken van een dergelijke mededeling tot gevolg zou hebben dat die nationale maatregel niet van toepassing is, zodat zij niet aan particulieren kan worden tegengeworpen.”</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Uitzonderingen op de aanmeldingsplicht</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Omzetting van een Europese wet</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“De artikelen 5 en 6 zijn niet van toepassing op de wettelijke en bestuursrechtelijke bepalingen van de lidstaten of op vrijwillige overeenkomsten waarbij de lidstaten: </w:t>
      </w:r>
    </w:p>
    <w:p w14:paraId="2762B474" w14:textId="77777777">
      <w:pPr>
        <w:pStyle w:val="BodyText"/>
        <w:ind w:left="567"/>
        <w:rPr>
          <w:i/>
        </w:rPr>
      </w:pPr>
    </w:p>
    <w:p w14:paraId="753FC221" w14:textId="4E9C46C0">
      <w:pPr>
        <w:pStyle w:val="P68B1DB1-BodyText11"/>
        <w:ind w:left="1440"/>
        <w:rPr>
          <w:iCs/>
        </w:rPr>
      </w:pPr>
      <w:r>
        <w:t xml:space="preserve">a) voldoen aan bindende handelingen van de Unie die leiden tot de vaststelling van technische specificaties of regels betreffende diensten;”</w:t>
      </w:r>
    </w:p>
    <w:p w14:paraId="2A077376" w14:textId="77777777">
      <w:pPr>
        <w:pStyle w:val="BodyText"/>
        <w:ind w:left="567"/>
        <w:rPr>
          <w:i/>
          <w:iCs/>
        </w:rPr>
      </w:pPr>
    </w:p>
    <w:p w14:paraId="7AE538ED" w14:textId="4CFA3BCA">
      <w:pPr>
        <w:pStyle w:val="BodyText"/>
        <w:jc w:val="right"/>
      </w:pPr>
      <w:r>
        <w:t xml:space="preserve">(Artikel 7, lid 1, onder a), van Richtlijn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Arrest van 17 september 1996</w:t>
        </w:r>
      </w:hyperlink>
      <w:r>
        <w:t xml:space="preserve"> in zaak C-289/94, Commissie/Italië, reeds aangehaald, punten 43 tot en met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Om een nationale maatregel als een van aanmelding vrijgestelde omzettingsmaatregel te kunnen aanmerken, moet een rechtstreeks verband met een bindende communautaire handeling worden aangetoond.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Richtlijn 91/492 bevat op haar beurt veel ruimere bepalingen over het in de handel brengen, niet alleen van tweekleppige weekdieren, maar ook van mariene buikpotigen, manteldieren en stekelhuidigen. De richtlijn bevat immers nieuwe vereisten voor alle stadia van produktie, behandeling, opslag, vervoer en distributie van weekdieren; tevens wordt een registratie- en merksysteem ingevoerd, waardoor, met het oog op bescherming van de volksgezondheid, de herkomst van elke partij kan worden nagegaan.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Dat er tussen richtlijn 91/492 en de beide hier bedoelde besluiten geen rechtstreeks verband bestaat, wordt bovendien bevestigd door de verklaring van de Italiaanse regering, dat die richtlijn in Italiaanse recht is omgezet bij besluitwet nr. 530 van 30 december 1992, die, volgens de Italiaanse regering zelf, de enige tekst ter uitvoering van richtlijn 91/492 is en waarover de Commissie op 27 januari 1993 een uitvoerig kritisch advies heeft uitgebracht, omdat zij ook op een derde, in richtlijn 91/492 niet genoemde toxine (NSP) van toepassing was.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Aangezien zij geen maatregelen tot omzetting van richtlijn 91/492 vormen die de toepassing van artikel 10 van richtlijn 83/189 kunnen rechtvaardigen, moesten decreet nr. 257 van 1 augustus 1990 en het decreet van 1 september 1990 overeenkomstig artikel 8 van laatstgenoemde richtlijn ter kennis van de Commissie worden gebracht.”</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Arrest van het Hof van Justitie van 26 september 2000</w:t>
        </w:r>
      </w:hyperlink>
      <w:r>
        <w:t xml:space="preserve">, Unilever, C-443/98, punten 28 en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Wanneer de lidstaten bij de omzetting van een richtlijn van de Unie over een ruime beoordelingsmarge beschikken, kunnen daartoe vastgestelde nationale maatregelen niet worden beschouwd als nationale bepalingen die “in overeenstemming zijn met een bindende communautaire handeling”.</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In de tweede plaats betoogt de Italiaanse regering, dat de bestreden wet was vrijgesteld van de kennisgevingsplicht van artikel 10 van richtlijn 83/189, aangezien zij is vastgesteld overeenkomstig Richtlijn 79/112/EEG van de Raad van 18 december 1978 betreffende de onderlinge aanpassing van de wetgevingen der lidstaten inzake etikettering en presentatie van levensmiddelen bestemd voor de eindverbruiker alsmede inzake de daarvoor gemaakte reclame (PB 1979, L 33, blz. 1). Artikel 3, lid 1, (7) van deze richtlijn schrijft voor dat de plaats van oorsprong of herkomst van het product op het etiket moet worden vermeld wanneer het weglaten van die informatie de consument zou kunnen misleiden ten aanzien van de werkelijke oorsprong of herkomst van het levensmiddel.</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Die stelling kan niet worden aanvaard. Zoals de Commissie heeft opgemerkt, laat deze bepaling van richtlijn 79/112, die in algemene bewoordingen is geformuleerd, de lidstaten voldoende speelruimte om te concluderen dat nationale voorschriften inzake de etikettering van de oorsprong, zoals die welke in de bestreden wet zijn vastgesteld, niet kunnen worden beschouwd als nationale bepalingen die in overeenstemming zijn met een dwingende communautaire handeling in de zin van artikel 10, lid 1, eerste streepje, van richtlijn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Arrest van 22 januari 2000</w:t>
        </w:r>
      </w:hyperlink>
      <w:r>
        <w:t xml:space="preserve"> in zaak C-390/99, Canal Satélite Digital, punt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Nationale bepalingen ter omzetting van bindende communautaire maatregelen die “technische specificaties” bevatten, zijn niet onderworpen aan de kennisgevingsverplichting, mits zij strikt beperkt zijn tot een dergelijke omzetting.</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Voor wat betreft het tweede onderdeel van de derde vraag, met betrekking tot de mededelingsplicht van artikel 8 van richtlijn 83/189, volgt uit artikel 10 van deze richtlijn, dat de artikelen 8 en 9 ervan niet van toepassing zijn op de wettelijke en bestuursrechtelijke bepalingen van de lidstaten of op de vrijwillige overeenkomsten waarbij de lidstaten zich voegen naar dwingende communautaire besluiten die de vaststelling van technische voorschriften tot gevolg hebben. Voor zover de in het hoofdgeding aan de orde zijnde nationale regeling richtlijn 95/47 omzet, is er dus geen kennisgevingsplicht krachtens richtlijn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Arrest van 8 september 2005</w:t>
        </w:r>
      </w:hyperlink>
      <w:r>
        <w:t xml:space="preserve"> in zaak C-500/03, Commissie/Portugal, reeds aangehaald, punten 34 en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Nationale bepalingen die de kenmerken van pleziervaartuigen bepalen, komen niet in aanmerking voor de vrijstelling van kennisgeving die voor omzetting is voorbehouden, wanneer de aangevoerde richtlijn de lidstaten de vrijheid laat om de voorwaarden vast te stellen die zij noodzakelijk achten voor de bescherming van het milieu, de configuratie en de veiligheid van waterwegen.</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(Aangezien de uitspraak uitsluitend in het Frans en het Portugees beschikbaar is, is de volgende tekst een vertaling.)</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De lidstaten hebben het recht om, overeenkomstig artikel 2, lid 2, van Richtlijn 94/25, op nationaal niveau de voorwaarden vast te stellen die zij met betrekking tot de vaart in bepaalde wateren nodig achten om het milieu en de structuur van de waterwegen te beschermen en de veiligheid op die wateren te waarborgen. Deze bepalingen van nationaal recht kunnen echter in geen geval worden geacht te zijn vastgesteld met het oog op de naleving van een bindende communautaire handeling.</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Hieruit volgt dat de verordening betreffende de vaart in lagunes, waarbij technische beperkingen voor pleziervaartuigen worden ingevoerd overeenkomstig artikel 2, lid 2, van Richtlijn 94/25, niet binnen de werkingssfeer van artikel 10, lid 1, eerste streepje, van Richtlijn 98/34 valt.”</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Gebruik van een vrijwaringsclausule</w:t>
      </w:r>
      <w:bookmarkEnd w:id="158"/>
      <w:bookmarkEnd w:id="159"/>
    </w:p>
    <w:p w14:paraId="19EB441C" w14:textId="77777777">
      <w:pPr>
        <w:pStyle w:val="BodyText"/>
        <w:ind w:left="567"/>
      </w:pPr>
    </w:p>
    <w:p w14:paraId="3421D751" w14:textId="45643AD7">
      <w:pPr>
        <w:pStyle w:val="P68B1DB1-BodyText11"/>
        <w:ind w:left="567"/>
        <w:rPr>
          <w:iCs/>
        </w:rPr>
      </w:pPr>
      <w:r>
        <w:t xml:space="preserve">“De artikelen 5 en 6 </w:t>
      </w:r>
      <w:r>
        <w:rPr>
          <w:i w:val="0"/>
        </w:rPr>
        <w:t xml:space="preserve">[betreffende de kennisgevingsverplichting en de status-quoperiode] </w:t>
      </w:r>
      <w:r>
        <w:t xml:space="preserve">zijn niet van toepassing op de wettelijke en bestuursrechtelijke bepalingen van de lidstaten of op vrijwillige overeenkomsten waarbij de lidstaten: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gebruik maken van vrijwaringsclausules in bindende handelingen van de Unie;”</w:t>
      </w:r>
    </w:p>
    <w:p w14:paraId="3AF0BFA4" w14:textId="77777777">
      <w:pPr>
        <w:pStyle w:val="P68B1DB1-BodyText11"/>
        <w:ind w:left="567"/>
        <w:rPr>
          <w:iCs/>
        </w:rPr>
      </w:pPr>
    </w:p>
    <w:p w14:paraId="6099E717" w14:textId="6C5840E7">
      <w:pPr>
        <w:pStyle w:val="BodyText"/>
        <w:jc w:val="right"/>
      </w:pPr>
      <w:r>
        <w:t xml:space="preserve">(Artikel 7, lid 1, onder c), van Richtlijn (EU) 2015/1535)</w:t>
      </w:r>
    </w:p>
    <w:p w14:paraId="0B43480F" w14:textId="77777777">
      <w:pPr>
        <w:pStyle w:val="BodyText"/>
        <w:jc w:val="right"/>
      </w:pPr>
    </w:p>
    <w:p w14:paraId="2F300DBD" w14:textId="39C2EC6A">
      <w:pPr>
        <w:pStyle w:val="P68B1DB1-BodyText11"/>
        <w:ind w:left="567"/>
        <w:rPr>
          <w:iCs/>
        </w:rPr>
      </w:pPr>
      <w:r>
        <w:t xml:space="preserve">“Bovenbedoelde harmonisatiemaatregelen omvatten, in passende gevallen, een vrijwaringsclausule die de lidstaten machtigt om, op grond van één of meer van de in artikel 36 bedoelde niet-economische redenen, voorlopige maatregelen te treffen die aan toetsingsprocedure van de Unie worden onderworpen.”</w:t>
      </w:r>
    </w:p>
    <w:p w14:paraId="618BDE87" w14:textId="77777777">
      <w:pPr>
        <w:pStyle w:val="BodyText"/>
        <w:jc w:val="right"/>
      </w:pPr>
    </w:p>
    <w:p w14:paraId="4DE4DD33" w14:textId="77777777">
      <w:pPr>
        <w:pStyle w:val="BodyText"/>
        <w:jc w:val="right"/>
      </w:pPr>
      <w:r>
        <w:t xml:space="preserve">(Artikel 114, lid 10, van het Verdrag betreffende de werking van de Europese Unie)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Arrest van 8 september 2005</w:t>
        </w:r>
      </w:hyperlink>
      <w:r>
        <w:t xml:space="preserve"> in zaak C-500/03, Commissie/Portugal, reeds aangehaald, punten 34 en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Nationale bepalingen waarbij permanente maatregelen worden ingevoerd, kunnen niet in aanmerking komen voor de vrijstelling van aanmelding die is voorbehouden voor vrijwaringsclausules, omdat deze per definitie alleen voorlopige maatregelen omvatten.</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(Aangezien het arrest uitsluitend in het Frans en het Portugees beschikbaar is, is de volgende tekst een vertaling.)</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Aangezien het onderhavige beroep wegens niet-nakoming beperkt is tot een vordering tot vaststelling van de niet-nakoming van de formele procedure van voorafgaande kennisgeving, kan worden volstaan met de opmerking, zonder dat op de overige argumenten van partijen behoeft te worden geantwoord, dat het Hof reeds heeft geoordeeld dat artikel 8, lid 1, van richtlijn 98/34 de lidstaten verplicht, de Commissie onverwijld ieder ontwerp voor een technisch voorschrift mee te delen (zie in die zin met name, met betrekking tot bepalingen die vergelijkbaar zijn met die van deze richtlijn, arresten van 2 augustus 1993, Commissie/Italië, C-139/92, Jurispr. blz. I-4707, punt 3, en 11 januari 1996, Commissie/Nederland, C-273/94, Jurispr. blz. I-31, punt 15).</w:t>
      </w:r>
    </w:p>
    <w:p w14:paraId="4A696586" w14:textId="77777777">
      <w:pPr>
        <w:pStyle w:val="BodyText"/>
        <w:ind w:left="567"/>
        <w:rPr>
          <w:i/>
          <w:iCs/>
          <w:sz w:val="20"/>
          <w:szCs w:val="16"/>
        </w:rPr>
      </w:pPr>
    </w:p>
    <w:p w14:paraId="7FC8797C" w14:textId="46BA7B1B">
      <w:pPr>
        <w:pStyle w:val="P68B1DB1-BodyText25"/>
        <w:ind w:left="567"/>
        <w:jc w:val="left"/>
      </w:pPr>
      <w:r>
        <w:t xml:space="preserve">40. Aangezien de relevante bepalingen van decreet nr. 783/98 technische voorschriften in de zin van richtlijn 98/34 vormen, zoals in punt 31 van het onderhavige arrest in herinnering is gebracht, was de Portugese Republiek krachtens artikel 8, lid 1, van richtlijn 98/34 verplicht deze in ontwerpvorm mee te delen (zie in die zin met name, met betrekking tot bepalingen die vergelijkbaar zijn met die van richtlijn 98/34, arresten van 7 mei 1998, Commissie/België, C-145/97, Jurispr. blz. I-2643, punt 13, en 21 april 2005, Lindberg, C-267/03, Jurispr. blz. I-43, punt).”</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Arrest van 8 oktober 2020</w:t>
        </w:r>
      </w:hyperlink>
      <w:r>
        <w:t xml:space="preserve"> in zaak C-514/19, Union des industries de la protection des plantes, reeds aangehaald, punten 46 en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(onder verwijzing naar de </w:t>
      </w:r>
      <w:hyperlink r:id="rId93" w:history="1">
        <w:r>
          <w:rPr>
            <w:rStyle w:val="Hyperlink"/>
            <w:rFonts w:ascii="Times New Roman" w:hAnsi="Times New Roman" w:cs="Times New Roman" w:eastAsia="Times New Roman"/>
            <w:b/>
            <w:i/>
            <w:color w:val="0000FF"/>
            <w:szCs w:val="20"/>
          </w:rPr>
          <w:t xml:space="preserve">conclusie van advocaat-generaal Kokott</w:t>
        </w:r>
      </w:hyperlink>
      <w:r>
        <w:rPr>
          <w:rFonts w:ascii="Times New Roman" w:hAnsi="Times New Roman" w:cs="Times New Roman" w:eastAsia="Times New Roman"/>
          <w:b/>
          <w:i/>
          <w:szCs w:val="20"/>
        </w:rPr>
        <w:t xml:space="preserve">, reeds aangehaald, punt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Een clausule die overeenkomt met de definitie in artikel 114 van het Verdrag betreffende de werking van de Europese Unie, is een vrijwaringsclausule, ook al wordt deze niet genoemd in de handeling die daarin voorziet. Zij geniet dus een vrijstelling van de aanmeldingsplicht.</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(Arrest van het Hof</w:t>
      </w:r>
      <w:r>
        <w:rPr>
          <w:i/>
        </w:rPr>
        <w:t xml:space="preserve">) „46 [...] artikel 71, lid 1, van die verordening moet worden beschouwd als een vrijwaringsclausule, zoals de advocaat-generaal in punt 58 van haar conclusie heeft</w:t>
      </w:r>
      <w:r>
        <w:t xml:space="preserve"> opgemerkt.</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Het verschil tussen de procedures van respectievelijk artikel 5 en artikel 71 van deze verordening wordt dus bevestigd door artikel 7, lid 1, onder c), van deze richtlijn, dat bepaalt dat de artikelen 5 en 6 van deze richtlijn niet van toepassing zijn op de bepalingen van de lidstaten op grond waarvan deze laatste gebruik maken van in bindende handelingen van de Unie opgenomen vrijwaringsclausules.”</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(conclusie van advocaat-generaal Kokott)</w:t>
      </w:r>
      <w:r>
        <w:rPr>
          <w:i/>
        </w:rPr>
        <w:t xml:space="preserve"> </w:t>
      </w:r>
      <w:bookmarkStart w:id="163" w:name="point58"/>
      <w:r>
        <w:rPr>
          <w:i/>
        </w:rPr>
        <w:t>„</w:t>
      </w:r>
      <w:bookmarkEnd w:id="163"/>
      <w:r>
        <w:rPr>
          <w:i/>
        </w:rPr>
        <w:t xml:space="preserve">58.      Hoewel artikel 71 van de gewasbeschermingsverordening in tegenstelling tot sommige vergelijkbare regelingen niet het opschrift “vrijwaringsclausule” draagt, komt die bepaling inhoudelijk overeen met de omschrijving van vrijwaringsclausules in artikel 114, lid 10, VWEU. Zij kan derhalve ook worden beschouwd als een vrijwaringsclausule in de zin van artikel 7, lid 1, onder c), van de kennisgevingsrichtlijn.”</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Arrest van het Hof van Justitie van 9 maart 2023</w:t>
        </w:r>
      </w:hyperlink>
      <w:r>
        <w:rPr>
          <w:rFonts w:ascii="Times New Roman" w:hAnsi="Times New Roman" w:cs="Times New Roman" w:eastAsia="Times New Roman"/>
          <w:b/>
          <w:i/>
          <w:szCs w:val="20"/>
        </w:rPr>
        <w:t xml:space="preserve">, Vapo Atlantic, C 604/21</w:t>
        <w:noBreakHyphen/>
        <w:t xml:space="preserve">, beide reeds aangehaald, punten 55 tot en met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Een uitzondering op de kennisgevingsverplichting op basis van een “vrijwaringsclausule” is alleen mogelijk indien de aangevoerde harmonisatiehandeling uitdrukkelijk een clausule bevat die overeenstemt met de definitie in artikel 114 van het Verdrag betreffende de werking van de Europese Unie.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Er zij op gewezen dat de eerste twee alinea’s van artikel 4, lid 1, van richtlijn 2009/30 slechts een termijn stellen waarbinnen de lidstaten deze richtlijn moeten omzetten — namelijk uiterlijk op 31 december 2010 — door middel van de daartoe nodige wettelijke en bestuursrechtelijke bepalingen, waarbij zij worden verzocht om de Commissie onverwijld in kennis te stellen van deze maatregelen. De derde alinea stelt dat wanneer de lidstaten deze bepalingen aannemen, dient te worden verwezen naar richtlijn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Niets in de tekst van artikel 4, lid 1, van richtlijn 2009/30 wijst erop dat de Uniewetgever in deze richtlijn een vrijwaringsclausule in de zin van artikel 114, lid 10, VWEU heeft willen opnemen, waarvan de lidstaten gebruik hadden kunnen maken.</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In dit verband bepaalt laatstgenoemde bepaling dat de harmonisatiemaatregelen in voorkomend geval een vrijwaringsclausule bevatten op grond waarvan de lidstaten om een of meer van de in artikel 36 VWEU genoemde niet-economische redenen voorlopige maatregelen kunnen nemen die aan een Uniecontroleprocedure worden onderworpen. Hieruit volgt dat een dergelijke vrijwaringsclausule uitdrukkelijk moet zijn opgenomen in de harmonisatiehandeling. Artikel 4, lid 1, van Richtlijn 2009/30 heeft deze kenmerken niet en kan derhalve geen dergelijke vrijwaringsclausule vormen.”</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Wijziging in overeenstemming met een verzoek van de Commissie</w:t>
      </w:r>
      <w:bookmarkEnd w:id="169"/>
      <w:bookmarkEnd w:id="170"/>
    </w:p>
    <w:p w14:paraId="049085CF" w14:textId="77777777">
      <w:pPr>
        <w:pStyle w:val="BodyText"/>
        <w:jc w:val="left"/>
      </w:pPr>
    </w:p>
    <w:p w14:paraId="40F4BBF6" w14:textId="77777777">
      <w:pPr>
        <w:pStyle w:val="P68B1DB1-BodyText11"/>
        <w:ind w:left="567"/>
        <w:rPr>
          <w:iCs/>
        </w:rPr>
      </w:pPr>
      <w:r>
        <w:t xml:space="preserve">“De artikelen 5 en 6 </w:t>
      </w:r>
      <w:r>
        <w:rPr>
          <w:i w:val="0"/>
        </w:rPr>
        <w:t xml:space="preserve">[betreffende de kennisgevingsverplichting en de status-quoperiode] </w:t>
      </w:r>
      <w:r>
        <w:t xml:space="preserve">zijn niet van toepassing op de wettelijke en bestuursrechtelijke bepalingen van de lidstaten of op vrijwillige overeenkomsten waarbij de lidstaten: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zich beperken tot de wijziging van een technisch voorschrift in de zin van artikel 1, lid 1, onder f), overeenkomstig een verzoek van de Commissie, teneinde een belemmering voor het handelsverkeer of, in het geval van regels betreffende diensten, voor het vrije verkeer van diensten of de vrijheid van vestiging van dienstverleners weg te nemen.”</w:t>
      </w:r>
    </w:p>
    <w:p w14:paraId="21F03EA5" w14:textId="77777777">
      <w:pPr>
        <w:pStyle w:val="BodyText"/>
        <w:jc w:val="center"/>
      </w:pPr>
    </w:p>
    <w:p w14:paraId="7883B4B7" w14:textId="369773F7">
      <w:pPr>
        <w:pStyle w:val="BodyText"/>
        <w:jc w:val="right"/>
      </w:pPr>
      <w:r>
        <w:t xml:space="preserve">(Artikel 7, lid 1, onder f), van Richtlijn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Arrest van 31 januari 2013</w:t>
        </w:r>
      </w:hyperlink>
      <w:r>
        <w:t xml:space="preserve"> in zaak C-26/11, Belgische Petroleum Unie e.a., reeds aangehaald, punten 56 en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De richtlijn vereist geen kennisgeving van een ontwerp van nationale wetgeving wanneer het ontwerp na de eerste kennisgeving is gewijzigd om rekening te houden met de opmerkingen van de Commissie en de gewijzigde versie vervolgens aan de Commissie is meegedeeld.</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in deze omstandigheden heeft het Koninkrijk België zich ertoe beperkt de bepalingen van het wetsontwerp te wijzigen naar aanleiding van een verzoek van de Commissie om een handelsbelemmering weg te nemen, zodat de in artikel 10, lid 1, eerste alinea, van richtlijn 98/34 neergelegde verplichting tot kennisgeving aan de Commissie krachtens artikel 8, lid 1, laatste streepje, van die richtlijn niet van toepassing is op het wetsontwerp inzake de verplichting tot bijmenging.</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In die omstandigheden moet op de tweede vraag worden geantwoord dat artikel 8 van richtlijn 98/34, gelezen in samenhang met artikel 10, lid 1, laatste streepje, van deze richtlijn, aldus moet worden uitgelegd dat het niet vereist dat kennis wordt gegeven van een ontwerp van nationale regeling die aardoliemaatschappijen die benzine en/of dieselbrandstof in de handel brengen, verplicht om in hetzelfde kalenderjaar ook bepaalde percentages biobrandstoffen in de handel te brengen, wanneer het ontwerp, na kennisgeving overeenkomstig artikel 8, lid 1, eerste alinea, is gewijzigd om rekening te houden met de opmerkingen van de Commissie daarover, en het gewijzigde ontwerp vervolgens aan de Commissie is meegedeeld.”</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Omstandigheden die geen uitzonderingen vormen</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Arrest van 11 januari 1996</w:t>
        </w:r>
      </w:hyperlink>
      <w:r>
        <w:t xml:space="preserve"> in zaak C-273/94, Commissie/Nederland, reeds aangehaald, punten 14 en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De mededelingsplicht hangt niet af van de vermoedelijke invloed van de regel op de handel tussen de lidstaten.</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Aan deze beoordeling kan niet worden afgedaan door het argument van de Nederlandse regering, dat de Vrijstellingsregeling ruimere mogelijkheden voor het verhandelen van margarine biedt, zodat zij in overeenstemming is met het primaire doel van de richtlijn: de opheffing van belemmeringen in het intracommunautaire handelsverkeer.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De Lid-Staten zijn immers overeenkomstig artikel 8 van de richtlijn gehouden ieder ontwerp voor een technisch voorschrift aan de Commissie mee te delen. Een dergelijke verplichting kan niet afhankelijk worden gesteld van de eenzijdige beoordeling door de lidstaat die de verordening heeft opgesteld van de gevolgen die zij kan hebben voor de handel tussen de lidstaten.”</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Arrest van 16 juni 1998</w:t>
        </w:r>
      </w:hyperlink>
      <w:r>
        <w:t xml:space="preserve">, C-226/97, Lemmens, punten 18-20.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De richtlijn is van toepassing op “technische voorschriften”, ongeacht de reden voor de vaststelling ervan. Het feit dat een maatregel onder het strafrecht valt, ontslaat deze niet van de meldingsplicht. De nationale bepalingen inzake het apparaat voor ademhalingsanalyse dat door de politie wordt gebruikt om alcohol te meten, vormen dus een technisch voorschrift dat vóór de vaststelling ervan aan de Commissie had moeten worden meegedeeld.</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De Franse regering stelt zich op het standpunt, dat de richtlijn niet geldt voor producten die, zoals de producten waar het in de hoofdzaak om gaat, bestemd zijn voor gebruik dat tot de overheidsprerogatieven en, a fortiori, de strafvervolging door de lidstaten behoort.</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Die argumenten kunnen niet worden aanvaard. Ofschoon het strafrecht en het strafprocesrecht in beginsel onder de verantwoordelijkheid van de lidstaten vallen, volgt daaruit niet dat het gemeenschapsrecht deze tak van het recht niet kan aantasten (zie in die zin arresten van 1989 juli 195, Cowan, 186/87, Jurispr. blz. 19, punt 1981, en Casati, 203/80, Jurispr. blz. 2595, punt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In casu bevat de richtlijn geen enkele aanwijzing, dat technische voorschriften in de zin van artikel 1, wanneer zij tot het gebied van het strafrecht behoren, uitgesloten zouden zijn van de verplichting tot mededeling en dat de richtlijn enkel zou gelden voor producten bestemd voor gebruik dat niet tot de overheidsprerogatieven behoort. Zoals het Hof reeds heeft verklaard in zaak C-13/96, Bic Benelux, Jurispr. 1997, blz. I-1753, punt 19, is een richtlijn van toepassing op technische voorschriften, ongeacht de gronden waarop zij zijn vastgesteld.”</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Arrest van het Hof van Justitie van 21 april 2005</w:t>
        </w:r>
      </w:hyperlink>
      <w:r>
        <w:t xml:space="preserve">, Lindberg, C-267/03, EU:C:86:91, punten 92, en.</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De waarde van het product waarop een regel betrekking heeft, de omvang van de markt ervan en de gevolgen van deze regel voor het intracommunautaire handelsverkeer zijn geen relevante criteria om te bepalen of een “technisch voorschrift” moet worden aangemeld.</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Met zijn vierde vraag wenst de verwijzende rechter van het Hof te vernemen, welk belang met het oog op de in richtlijn 83/189 neergelegde mededelingsverplichting moet worden gehecht aan de volgende omstandigheden:</w:t>
      </w:r>
    </w:p>
    <w:p w14:paraId="767A8711" w14:textId="77777777">
      <w:pPr>
        <w:pStyle w:val="P68B1DB1-P68B1DB1-ListParagraph226"/>
        <w:tabs>
          <w:tab w:val="left" w:pos="396"/>
          <w:tab w:val="left" w:pos="425"/>
        </w:tabs>
        <w:ind w:left="709"/>
      </w:pPr>
      <w:r>
        <w:t xml:space="preserve">— De vervanging van een vergunningsvereiste door een verbod in het nationale recht;</w:t>
      </w:r>
    </w:p>
    <w:p w14:paraId="559C82EC" w14:textId="77777777">
      <w:pPr>
        <w:pStyle w:val="P68B1DB1-P68B1DB1-ListParagraph226"/>
        <w:tabs>
          <w:tab w:val="left" w:pos="396"/>
          <w:tab w:val="left" w:pos="425"/>
        </w:tabs>
        <w:ind w:left="709"/>
      </w:pPr>
      <w:r>
        <w:t xml:space="preserve">— De waarde van het product/de dienst,</w:t>
      </w:r>
    </w:p>
    <w:p w14:paraId="7057795D" w14:textId="77777777">
      <w:pPr>
        <w:pStyle w:val="P68B1DB1-P68B1DB1-ListParagraph226"/>
        <w:tabs>
          <w:tab w:val="left" w:pos="396"/>
          <w:tab w:val="left" w:pos="425"/>
        </w:tabs>
        <w:ind w:left="709"/>
      </w:pPr>
      <w:r>
        <w:t xml:space="preserve">— De omvang van de markt voor het product/de dienst, of</w:t>
      </w:r>
    </w:p>
    <w:p w14:paraId="7E4DCD6F" w14:textId="27AB1FF7">
      <w:pPr>
        <w:pStyle w:val="P68B1DB1-P68B1DB1-ListParagraph226"/>
        <w:tabs>
          <w:tab w:val="left" w:pos="396"/>
          <w:tab w:val="left" w:pos="425"/>
        </w:tabs>
        <w:ind w:left="709"/>
      </w:pPr>
      <w:r>
        <w:t xml:space="preserve">— De gevolgen van een nieuwe nationale bepaling voor het gebruik, die hetzij een algeheel gebruiksverbod, hetzij een verbod of beperking op een van de mogelijke gebruiksgebieden kan zijn?”</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Aangaande de tweede en de derde omstandigheid waarop de vierde prejudiciële vraag doelt, zij eraan herinnerd dat, zoals in punt 50 van dit arrest is opgemerkt, richtlijn 83/189 in een proceduremechanisme van preventieve controle voorziet, waardoor kan worden nagegaan of een nationale norm die een technisch voorschrift bevat, valt onder de verdragsbepalingen betreffende het vrije verkeer van goederen en, indien dat het geval is, kan worden onderzocht of een dergelijke norm met deze bepalingen verenigbaar is.</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Dienaangaande is in punt 51 van het onderhavige arrest geoordeeld dat de mogelijke gevolgen van het technisch voorschrift voor de intracommunautaire handel geen criterium vormen voor de afbakening van de werkingssfeer van richtlijn 83/189, met name wat betreft de mededelingsplicht waarin deze richtlijn voorziet.”</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Niet-toepasselijkheid</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Niet-toepasselijkheid in geval van niet-kennisgeving</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Arrest van 30 april 1996</w:t>
        </w:r>
      </w:hyperlink>
      <w:r>
        <w:t xml:space="preserve"> in zaak C-194/94, CIA Security International SA, reeds aangehaald, punten 48 en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Schending van de aanmeldingsplicht leidt tot niet-toepasselijkheid van de betrokken “technische voorschriften”, zodat zij niet aan particulieren kunnen worden tegengeworpen. Particulieren kunnen zich op de artikelen 8 en 9 van richtlijn 83/189 beroepen voor een nationale rechter die moet weigeren een nationaal “technisch voorschrift” toe te passen dat niet overeenkomstig deze richtlijn is meegedeeld.</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Voor een dergelijk gevolg van het verzuim van de uit richtlijn 83/189 voortvloeiende verplichtingen is niet vereist dat een uitdrukkelijke bepaling daarin voorziet. Zoals reeds gezegd staat vast, dat de richtlijn ertoe strekt via een preventieve controle het vrije verkeer van goederen te waarborgen, en dat de kennisgevingsplicht een essentieel middel vormt om deze communautaire controle mogelijk te maken. De doeltreffendheid van de communautaire controle zal veel groter zijn indien de richtlijn aldus wordt uitgelegd dat de niet-nakoming van de mededelingsplicht een wezenlijk vormgebrek vormt dat ertoe kan leiden dat de betrokken technische voorschriften niet op particulieren kunnen worden toegepast.”</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Mitsdien moet op de vijfde en de zesde vraag worden geantwoord, dat de artikelen 8 en 9 van richtlijn 83/189 aldus moeten worden uitgelegd, dat particulieren zich daarop kunnen beroepen voor de nationale rechter, die moet weigeren een nationaal technisch voorschrift toe te passen dat niet overeenkomstig de richtlijn is meegedeeld.”</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Arrest van 16 juni 1998</w:t>
        </w:r>
      </w:hyperlink>
      <w:r>
        <w:t xml:space="preserve">, C-226/97, Lemmens, punten 34-37.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De niet-nakoming van de verplichting tot kennisgeving van een technisch voorschrift betreffende ademhalingsapparatuur heeft niet tot gevolg dat het bewijs dat is verkregen met behulp van een overeenkomstig niet-meegedeelde voorschriften toegelaten ademhalingsapparatuur, niet kan worden tegengeworpen aan een persoon die belast is met het rijden onder invloed.</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In een strafprocedure als die in de hoofdzaak zijn de op de verdachte toegepaste regels in de eerste plaats die welke rijden onder invloed verbieden en bestraffen, en in de tweede plaats die welke de bestuurder verplichten ademlucht uit te blazen in een voor het onderzoek van het alcoholgehalte bestemd apparaat, waarbij de uitkomst van dit onderzoek als bewijs in de strafprocedure dient. Dit zijn andere regels dan die welke, omdat zij niet overeenkomstig de richtlijn aan de Commissie zijn meegedeeld, niet aan particulieren kunnen worden tegengeworpen.</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Ook al leidt het niet mededelen van technische voorschriften, wat schending van een vormvoorschrift bij de vaststelling ervan oplevert, tot niet-toepasselijkheid van die voorschriften voor zover zij het gebruik of de verhandeling belemmeren van een product dat niet aan die voorschriften voldoet, dit betekent echter niet, dat elk gebruik van een product dat aan de niet-aangemelde voorschriften voldoet, onwettig wordt.</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In een geval als het onderhavige kan gebruik van het product door de overheid geen belemmering voor het handelsverkeer scheppen, die had kunnen worden vermeden indien de mededelingsprocedure was gevolgd.</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Mitsdien moet op de eerste vraag worden geantwoord, dat de richtlijn aldus moet worden uitgelegd, dat de niet-nakoming van de in artikel 8 van de richtlijn neergelegde verplichting tot kennisgeving van een technisch voorschrift betreffende ademhalingsapparatuur niet tot gevolg heeft dat het bewijs dat is verkregen door middel van dergelijke apparaten, die zijn toegelaten overeenkomstig niet-meegedeelde voorschriften, niet kan worden tegengeworpen aan een persoon die belast is met het rijden onder invloed van alcohol.”</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Arrest van het Hof van Justitie van 6 juni 2002</w:t>
        </w:r>
      </w:hyperlink>
      <w:r>
        <w:t xml:space="preserve">, Sapod Audic, C-159/00, punten 52 en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Het staat aan de nationale rechter om te weigeren bepalingen toe te passen die wegens niet-kennisgeving niet van toepassing zijn. De gevolgen van een dergelijke niet-toepasselijkheid worden beheerst door het nationale recht, mits zij niet ongunstiger zijn dan voor soortgelijke nationale vorderingen en de uitoefening van rechten van de Unie niet onmogelijk maken.</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Hierbij zij evenwel opgemerkt, dat naar nationaal recht moet worden bepaald welke conclusie in de hoofdzaak voortvloeit uit de niet-toepasselijkheid van artikel 4, tweede alinea, van decreet nr. 92-377 inzake de strekking van de ingevolge het toepasselijke nationale recht daaraan verbonden gevolgen, zoals de nietigheid of de niet-tegenwerpbaarheid van de overeenkomst tussen Sapod en Eco-Emballages, met name wat de contractrechtelijke regels en beginselen betreft die deze gevolgen naar evenredigheid van de aard van het vastgestelde gebrek beperken of aanpassen. Deze regels en beginselen mogen evenwel niet ongunstiger zijn dan die welke voor soortgelijke nationale vorderingen gelden (gelijkwaardigheidsbeginsel) en mogen de uitoefening van de door het gemeenschapsrecht verleende rechten in de praktijk niet onmogelijk maken (doeltreffendheidsbeginsel) (zie met name arresten van 1976 juli 1989, Rewe, 33/76, Jurispr. blz. 5, punt 2001, en 1395 september 21, Camorotto en Vignone, C-52/99 en C-53/99, nog niet gepubliceerd in de Jurisprudentie, punt).</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Derhalve dient op het tweede gedeelte van de tweede vraag, voorzover zij richtlijn 83/189 betreft, te worden geantwoord, dat een particulier zich kan beroepen op het ontbreken van aanmelding overeenkomstig artikel 4 van deze richtlijn van een nationale bepaling als artikel 8, tweede alinea, van decreet nr. 92-377, ingeval laatstgenoemde bepaling aldus moet worden uitgelegd dat zij een verplichting tot merken of etiketteren inhoudt. Het staat vervolgens aan de nationale rechter om deze bepaling niet toe te passen, aangezien de vraag welke gevolgen uit de niet-toepasselijkheid van die nationale bepaling moeten worden getrokken met betrekking tot de zwaarte van de sanctie naar het toepasselijke nationale recht, zoals de nietigheid of niet-tegenwerpbaarheid van een overeenkomst, een kwestie is die door het nationale recht wordt beheerst. Deze conclusie is evenwel afhankelijk van de voorwaarde dat de toepasselijke regels van nationaal recht niet ongunstiger zijn dan die welke voor soortgelijke nationale vorderingen gelden en de uitoefening van de door het gemeenschapsrecht verleende rechten in de praktijk niet onmogelijk maken.”</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Arrest van 8 september 2005</w:t>
        </w:r>
      </w:hyperlink>
      <w:r>
        <w:t xml:space="preserve">, C-303/04, Lidl Italia, punten 22 en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De niet-nakoming van de mededelingsplicht vormt een wezenlijke procedurefout die ertoe kan leiden dat de betrokken “technische voorschriften” buiten toepassing worden gelaten en dus niet aan particulieren kunnen worden tegengeworpen.</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volgens vaste rechtspraak beoogt richtlijn 98/34 door middel van preventieve controle het vrije verkeer van goederen te beschermen, dat een van de grondslagen van de Gemeenschap vormt, en dat deze controle een nuttig doel dient, aangezien technische voorschriften die binnen de werkingssfeer van deze richtlijn vallen, belemmeringen van het goederenverkeer tussen de lidstaten kunnen vormen, die slechts toelaatbaar zijn indien zij noodzakelijk zijn om te voldoen aan dwingende eisen van algemeen belang (zie in die zin arresten van 1996 juli 2201, CIA Security International, C-194/94, Jurispr. blz. I-40, punt 1998, en Lemmens, C-226/97, nog niet gepubliceerd in de Jurisprudentie, punt 3711).</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Aangezien de met name in artikel 8, lid 1, eerste alinea, van richtlijn 98/34 bedoelde mededelingsplicht van wezenlijk belang is voor de verwezenlijking van deze communautaire controle, zal de doeltreffendheid van die controle veel groter zijn indien deze richtlijn aldus wordt uitgelegd dat de niet-nakoming van de mededelingsplicht een wezenlijk vormgebrek vormt dat de betrokken technische voorschriften buiten toepassing kan laten en derhalve niet aan particulieren kan worden tegengeworpen (reeds aangehaalde arresten CIA Security International, punten 44, 48 en 54, en Lemmens, punt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Arrest van het Hof van Justitie van 31 januari 2013</w:t>
        </w:r>
      </w:hyperlink>
      <w:r>
        <w:t xml:space="preserve">, Belgische Petroleum Unie e.a., C</w:t>
        <w:noBreakHyphen/>
        <w:t xml:space="preserve">26/11, ≠, punt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De niet-nakoming van de mededelingsplicht vormt een wezenlijke procedurefout die ertoe kan leiden dat de betrokken “technische voorschriften” buiten toepassing worden gelaten en dus niet aan particulieren kunnen worden tegengeworpen.</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Aangezien de in artikel 8, lid 1, eerste alinea, van richtlijn 98/34 bedoelde mededelingsplicht essentieel is voor de verwezenlijking van die controle, zal de doeltreffendheid van een dergelijke controle veel groter zijn indien deze richtlijn aldus wordt uitgelegd dat de niet-nakoming van de mededelingsplicht een materiële procedurefout vormt die de betrokken technische voorschriften buiten toepassing kan laten en derhalve niet aan particulieren kan worden tegengeworpen (zie reeds aangehaalde arresten Lidl Italia, punt 23, en Sandström, punt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Arrest van het Hof van Justitie van 2 februari 2016</w:t>
        </w:r>
      </w:hyperlink>
      <w:r>
        <w:t xml:space="preserve">, Ince, C-336/14, punten 67 en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Wanneer een “technisch voorschrift” niet wordt meegedeeld, is het niet van toepassing en kan het niet aan particulieren worden tegengeworpen. Laatstgenoemden kunnen zich voor de nationale rechterlijke instanties beroepen op artikel 8 van richtlijn 98/34, zodat zij verplicht zijn de niet-aangemelde regel niet toe te passen.</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Om te beginnen zij eraan herinnerd dat de niet-nakoming van de in artikel 8, lid 1, van richtlijn 98/34 neergelegde kennisgevingsplicht een procedurefout bij de vaststelling van de betrokken technische voorschriften vormt, waardoor deze technische voorschriften niet van toepassing zijn en dus niet aan particulieren kunnen worden tegengeworpen (zie met name arrest Ivansson e.a., C-307/13, cf. punt 48 en aldaar aangehaalde rechtspraak).</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In dit verband moet worden benadrukt dat, zoals de advocaat-generaal in punt 60 van zijn conclusie heeft opgemerkt, artikel 8, lid 1, van deze richtlijn weliswaar voorschrijft dat het gehele wetsontwerp met technische voorschriften aan de Commissie moet worden meegedeeld (zie in die zin arrest Commissie/Italië, C-279/94, reeds aangehaald, punten 40 en 41), maar dat de niet-toepasselijkheid die voortvloeit uit de niet-nakoming van die verplichting zich niet uitstrekt tot alle bepalingen van een dergelijke wet, maar alleen tot de daarin opgenomen technische voorschriften.”</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Beschikking van 21 april 2016</w:t>
        </w:r>
      </w:hyperlink>
      <w:r>
        <w:t xml:space="preserve"> in zaak C-285/15, Beca Engineering, reeds aangehaald, punt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Wanneer een “technisch voorschrift” niet wordt meegedeeld, is het niet van toepassing en kan het niet worden tegengeworpen aan particulieren, die zich voor de nationale rechter op artikel 8 van richtlijn 98/34 kunnen beroepen, zodat zij verplicht zijn de toepassing ervan af te wijzen.</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(Aangezien de volgorde uitsluitend in het Frans en het Italiaans beschikbaar is, is de volgende tekst een vertaling.)</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Het is vaste rechtspraak dat de niet-nakoming van de in artikel 8 van richtlijn 98/34 neergelegde verplichting tot onmiddellijke kennisgeving van technische voorschriften door de lidstaten aan de Commissie, tot gevolg heeft dat de betrokken technische voorschriften niet van toepassing zijn, zodat zij niet aan particulieren kunnen worden tegengeworpen, zodat deze laatste zich voor de nationale rechter op artikel 8 van richtlijn 98/34 kunnen beroepen, die moet weigeren een nationaal technisch voorschrift toe te passen dat niet overeenkomstig deze richtlijn is meegedeeld (zie in die zin arresten van 30 april 1996, CIA</w:t>
        <w:noBreakHyphen/>
        <w:t xml:space="preserve">Security International, 194/94, reeds aangehaald, punten 44 en 54; van 26 september 2000 in zaak</w:t>
        <w:noBreakHyphen/>
        <w:t xml:space="preserve">443/98, Unilever, reeds aangehaald, punt 49; en van 16 juli 2015, UNIC en Uni.co.pel, 95/14</w:t>
        <w:noBreakHyphen/>
        <w:t xml:space="preserve">, -, punt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Arrest van het Hof van Justitie van 1 februari 2017</w:t>
        </w:r>
      </w:hyperlink>
      <w:r>
        <w:t xml:space="preserve">, Município de Palmela, C</w:t>
        <w:noBreakHyphen/>
        <w:t xml:space="preserve">144/16, beide reeds aangehaald, punten 36 en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De niet-toepasselijkheid van niet-aangemelde technische voorschriften strekt zich alleen uit tot de bepalingen die als zodanig gelden en niet tot de gehele tekst waarin zij zijn vastgesteld.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Bovendien wordt de niet-nakoming van een dergelijke kennisgevingsverplichting bestraft met de niet-toepasselijkheid van technische voorschriften die niet zijn meegedeeld (zie in die zin, met betrekking tot richtlijn 83/189, arrest van 30 april 1996, CIA Security International, C-194/94, cf. punt 54, en, wat richtlijn 98/34 betreft, arrest van 4 februari 2016, Ince, C-336/14, cf. punt 67 en aldaar aangehaalde rechtspraak).</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Wat de omvang van een dergelijke sanctie betreft, geldt dat, ook al vereisen artikel 8, lid 1, van richtlijn 83/189 en artikel 8, lid 1, van richtlijn 98/34 dat het gehele wetsontwerp met technische voorschriften aan de Commissie moet worden meegedeeld, de niet-toepasselijkheid die voortvloeit uit de niet-nakoming van die verplichting zich niet uitstrekt tot alle bepalingen van een dergelijke wet, maar alleen tot de daarin vervatte technische voorschriften (zie in die zin arrest van 4 februari 2016, Ince, C-336/14, cf. punt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Arrest van het Hof van Justitie van 12 september 2019</w:t>
        </w:r>
      </w:hyperlink>
      <w:r>
        <w:t xml:space="preserve"> in zaak C-299/17, VG Media, punt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De niet-toepasselijkheid van een niet-aangemeld “technisch voorschrift” kan worden ingeroepen in een geding tussen particulieren.</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Voor zover een regel zoals die welke aan de orde is in het hoofdgeding betrekking heeft op de diensten van de informatiemaatschappij, moet het ontwerp voor een technisch voorschrift overeenkomstig artikel 8, lid 1, van richtlijn 98/34 vooraf aan de Commissie worden meegedeeld. Bij gebreke daarvan kan volgens vaste rechtspraak in het kader van een geding tussen particulieren een beroep worden gedaan op de niet-toepasselijkheid van een technisch voorschrift dat niet overeenkomstig deze bepaling is meegedeeld (arrest van 27 oktober 2016, James Elliott Construction, C 613/14</w:t>
        <w:noBreakHyphen/>
        <w:t xml:space="preserve">, cf. reeds aangehaald, punt 64 en aldaar aangehaalde rechtspraak).”</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Niet-toepasselijkheid in het geval van adoptie tijdens de stand-stille periode</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Arrest van het Hof van Justitie van 26 september 2000</w:t>
        </w:r>
      </w:hyperlink>
      <w:r>
        <w:t xml:space="preserve">, Unilever, C-443/98, punten 44 en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De niet-nakoming van de verplichting om de vaststelling van een “technisch voorschrift” uit te stellen, vormt een wezenlijke procedurefout en de daaruit voortvloeiende niet-toepasselijkheid kan worden aangevoerd in een civiele procedure inzake overeenkomstenrecht.</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Hoewel het Hof in punt 48 van het arrest CIA Security, na eraan te hebben herinnerd dat richtlijn 83/189 tot doel had het vrije verkeer van goederen door middel van preventieve controle te beschermen en dat de aanmeldingsplicht essentieel is voor de verwezenlijking van een dergelijke communautaire controle, heeft het geoordeeld dat de doeltreffendheid van een dergelijke controle veel groter zou zijn indien de richtlijn aldus zou worden uitgelegd dat de niet-nakoming van de mededelingsplicht een wezenlijke procedurefout vormt waardoor de betrokken technische voorschriften niet op particulieren kunnen worden toegepast, volgt uit de overwegingen in de punten 40 tot en met 43 van het onderhavige arrest dat de niet-nakoming van de in artikel 9 van richtlijn 83/189 neergelegde verplichting tot uitstel van vaststelling eveneens een wezenlijk vormgebrek vormt waardoor technische voorschriften buiten toepassing kunnen worden gelaten.”</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Uit de rechtspraak van het Hof volgt dus, dat de niet-toepasselijkheid van een technisch voorschrift dat niet overeenkomstig artikel 8 van richtlijn 83/189 is meegedeeld, om de in de punten 40 tot en met 43 van dit arrest genoemde redenen kan worden aangevoerd in een geding tussen particulieren. Hetzelfde geldt voor de niet-nakoming van de verplichtingen van artikel 9 van deze richtlijn, zonder dat geschillen tussen particulieren op het gebied van oneerlijke mededinging, zoals in de zaak CIA Security International, anders hoeven te worden behandeld dan geschillen tussen particulieren over rechten en verplichtingen van contractuele aard, zoals in het hoofdgeding.”</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Arrest van 16 juli 2015</w:t>
        </w:r>
      </w:hyperlink>
      <w:r>
        <w:t xml:space="preserve"> in zaak C-95/14, UNIC en Uni.co.pel, reeds aangehaald, punten 29 en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Een “technisch voorschrift” kan niet worden toegepast indien het niet is aangemeld of indien het, ondanks de kennisgeving ervan, vóór het einde van de status-quoperiode is vastgesteld en uitgevoerd. De niet-inachtneming van deze opschortende termijn vormt een materiële procedurefout waardoor het betrokken “technisch voorschrift” niet kan worden toegepast en aan particulieren niet kan worden tegengeworpen.</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In dit verband zij eraan herinnerd dat een technisch voorschrift niet kan worden toegepast indien het niet overeenkomstig artikel 8, lid 1, van richtlijn 98/34 is aangemeld of indien het, ondanks de kennisgeving ervan, is vastgesteld en uitgevoerd vóór het einde van de in artikel 9, lid 1, van deze richtlijn voorgeschreven opschortende termijn van drie maanden (zie arresten CIA Security International, C-194/94, -, punten 41, 44 en 54, en Unilever, C-443/98, -, punt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Bijgevolg staat het in het hoofdgeding aan de verwijzende rechter om na te gaan of wet nr. 8/2013 in werking is getreden zonder de in artikel 9 van richtlijn 98/34 voorgeschreven opschortende termijn in acht te nemen. Indien dit het geval is, dan levert de niet-inachtneming van deze termijn een schending van een wezenlijk vormvoorschrift op die de niet-toepasselijkheid van het betrokken technische voorschrift tot gevolg heeft. Zoals de advocaat-generaal in de punten 44 tot en met 47 van haar conclusie heeft opgemerkt, zou artikel 3, lid 2, van wet nr. 8/2103 in dat geval niet aan particulieren kunnen worden tegengeworpen.”</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Arrest van 21 december 2023</w:t>
        </w:r>
      </w:hyperlink>
      <w:r>
        <w:rPr>
          <w:rFonts w:ascii="Times New Roman" w:hAnsi="Times New Roman" w:cs="Times New Roman" w:eastAsia="Times New Roman"/>
          <w:b/>
          <w:i/>
          <w:szCs w:val="20"/>
        </w:rPr>
        <w:t xml:space="preserve"> in zaak C-86/22, Papier Mettler Italia, reeds aangehaald, punten 48 en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De aanneming van een ontwerp voor een “technisch voorschrift” zes dagen na de kennisgeving ervan is in strijd met de richtlijn.</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Clausules die de inwerkingtreding van wetgeving afhankelijk stellen van het uitblijven van een reactie van de Commissie op die wetgeving (“opschortende clausules”) zijn in strijd met de richtlijn, omdat met de vaststelling van dergelijke wetgeving geen rekening kan worden gehouden met de standpunten van andere lidstaten en het rechtszekerheidsbeginsel wordt geschonden.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In de tweede plaats is de vaststelling van het in het hoofdgeding aan de orde zijnde decreet binnen zes dagen na de kennisgeving ervan aan de Commissie krachtens artikel 8, lid 1, van deze richtlijn eveneens in strijd met de in artikel 9, lid 1, van deze richtlijn neergelegde verplichting om de vaststelling van een “ontwerp voor een technisch voorschrift” uit te stellen met een termijn van drie maanden, te rekenen vanaf de datum waarop de Commissie de in artikel 8, lid 1, van de richtlijn bedoelde mededeling heeft ontvangen.”</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Daarnaast betoogt deze regering dat de inwerkingtreding van het bestreden interministeriële besluit krachtens artikel 6 van dit besluit afhankelijk was van het “positieve resultaat” van de kennisgevingsprocedure die op 12 maart 2013 was ingeleid op grond van artikel 8, lid 1, van richtlijn 98/34. Deze procedure heeft echter niet tot een dergelijk resultaat geleid omdat de Commissie geen advies over het besluit heeft uitgebracht. Deze procedure had echter geen dergelijk resultaat, omdat de Commissie geen advies over dit decreet heeft uitgebracht. Dit argument moet worden afgewezen, aangezien de vaststelling en de bekendmaking van dit decreet op zich bepaalde gevolgen kunnen hebben voor het vrije verkeer van de betrokken goederen. ten tweede hebben zij geen rekening kunnen houden met de opmerkingen en uitvoerig gemotiveerde meningen van het Koninkrijk der Nederlanden, het Koninkrijk Zweden en het Verenigd Koninkrijk van Groot-Brittannië en Noord-Ierland; ten derde vormen zij, zoals de advocaat-generaal in punt 52 van zijn conclusie heeft opgemerkt, een wetgevingstechniek die onverenigbaar is met het rechtszekerheidsbeginsel.”</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Verduidelijking van het effect van niet-toepasselijkheid</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Arrest van 11 juni 2015</w:t>
        </w:r>
      </w:hyperlink>
      <w:r>
        <w:t xml:space="preserve">, C-98/14, Berlington Hungary e.a., punten 108 en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Kennisgevings- en standstillverplichtingen zijn niet bedoeld om rechten toe te kennen aan particulieren. Hieruit volgt dat de schending ervan door een lidstaat op grond van het Unierecht particulieren niet het recht geeft om van die lidstaat vergoeding van eventuele daaruit voortvloeiende schade te vorderen.</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In dit verband blijkt uit de rechtspraak dat richtlijn 98/34 weliswaar tot doel heeft het vrije verkeer van goederen te waarborgen door een preventieve controle in te stellen waarvan de doeltreffendheid vereist dat in het kader van een geding tussen particulieren een nationale maatregel die in strijd met de artikelen 8 en 9 ervan is vastgesteld, buiten toepassing wordt gelaten, maar dat deze richtlijn geenszins de materiële werkingssfeer definieert van de rechtsregel op basis waarvan de nationale rechter het bij hem aanhangige geding moet beslechten. Deze richtlijn schept dus geen rechten of verplichtingen voor particulieren (arrest Unilever, C-443/98, basis, punt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In die omstandigheden moet worden vastgesteld dat niet is voldaan aan de eerste van de in lid 104 genoemde voorwaarden, zodat particulieren zich niet op schending van de artikelen 8 en 9 van deze richtlijn kunnen beroepen om de betrokken lidstaat aansprakelijk te stellen op grond van het Unierecht.”</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Inbreukprocedure</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Arrest van 4 juni 2009</w:t>
        </w:r>
      </w:hyperlink>
      <w:r>
        <w:t xml:space="preserve"> in zaak C-109/08, Commissie/Griekenland, reeds aangehaald, punten 14 tot en met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Een arrest van het Hof waarbij niet-nakoming van de mededelingsplicht wordt vastgesteld, moet onverwijld worden uitgevoerd om de uniforme toepassing van het Unierecht te waarborgen. De vraag of er sprake is van een dergelijke niet-nakoming in de zin van artikel 228 EG, wordt beoordeeld aan het einde van de in het met redenen omkleed advies gestelde termijn. Aangezien Griekenland vóór het verstrijken van de gestelde termijn geen maatregelen heeft genomen, is het in casu de krachtens artikel 228, lid 1, EG op hem rustende verplichtingen niet nagekomen.</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Hoewel artikel 228 EG niet preciseert binnen welke termijn uitvoering moet worden gegeven aan een arrest van het Hof waarbij een niet-nakoming wordt vastgesteld, volgt uit vaste rechtspraak dat het belang van een onmiddellijke en uniforme toepassing van het gemeenschapsrecht meebrengt dat de procedure onverwijld moet worden ingeleid en zo spoedig mogelijk moet worden voltooid (zie met name arrest van 2008</w:t>
        <w:noBreakHyphen/>
        <w:t xml:space="preserve">juli 0000, Commissie/Frankrijk, C-121/07, Jurispr. blz. I 21, punt</w:t>
        <w:noBreakHyphen/>
        <w:t xml:space="preserve">en aldaar aangehaalde rechtspraak).</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Bovendien is de referentiedatum voor de beoordeling van het bestaan van een niet-nakoming in de zin van artikel 228 EG de datum waarop de termijn verstrijkt die is gesteld in het krachtens deze bepaling uitgebrachte met redenen omkleed advies (zie met name arrest van 2007 juli 6153</w:t>
        <w:noBreakHyphen/>
        <w:t xml:space="preserve">, Commissie/Duitsland, C 503/04, Jurispr. blz. I</w:t>
        <w:noBreakHyphen/>
        <w:t xml:space="preserve">19, punt en</w:t>
        <w:noBreakHyphen/>
        <w:t xml:space="preserve">aldaar aangehaalde rechtspraak).</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In casu is het duidelijk dat de Helleense Republiek op de datum waarop de in het met redenen omkleed advies van 29 juni 2007 gestelde termijn van twee maanden verstreek, geen van de maatregelen had genomen die nodig waren ter uitvoering van het arrest in zaak</w:t>
        <w:noBreakHyphen/>
        <w:t xml:space="preserve">65/05, Commissie/Griekenland, aangezien het ontwerp van een eerste maatregel ter uitvoering van dat arrest pas op 7 mei 2008 ter kennis van de Commissie was gebracht.</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In die omstandigheden moet worden vastgesteld dat de Helleense Republiek, zoals zij zelf erkent, de krachtens artikel 228, lid 1, EG op haar rustende verplichtingen niet is nagekomen.”</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De vergelijking van richtlijn 2015/1535 en Richtlijn 83/189/EEG is gebaseerd op de oorspronkelijke ongewijzigde handelingen, terwijl de vergelijking van Richtlijn 98/34/EG gebaseerd is op de versie die is gewijzigd bij Richtlijn 98/48/EG van 20 juli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Richtlijn (EU) 2015/1535 van het Europees Parlement en de Raad van 9 september 2015 betreffende een informatieprocedure op het gebied van technische voorschriften en regels betreffende de diensten van de informatiemaatschappij (codificatie)</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Richtlijn 98/34/EG van het Europees Parlement en de Raad van 22 juni 1998 betreffende een informatieprocedure op het gebied van normen en technische voorschriften, zoals gewijzigd bij Richtlijn 98/48/EG van 20 juli 1998 (met inbegrip van regels betreffende diensten)</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Richtlijn 83/189/EEG van de Raad van 28 maart 1983 betreffende een informatieprocedure op het gebied van normen en technische voorschriften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n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