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575" w:rsidRPr="000C77D5" w:rsidRDefault="00617575" w:rsidP="00617575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 xml:space="preserve">1.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------IND- 2021 0030 F-- HU- ------ 20210129 --- --- PROJET</w:t>
      </w:r>
    </w:p>
    <w:p w:rsidR="006D1B38" w:rsidRDefault="00BE4644" w:rsidP="00532188">
      <w:pPr>
        <w:pStyle w:val="LO-Normal"/>
        <w:ind w:left="6372"/>
      </w:pPr>
      <w:r>
        <w:t xml:space="preserve">2020. november 18-i változat</w:t>
      </w:r>
    </w:p>
    <w:tbl>
      <w:tblPr>
        <w:tblW w:w="4054" w:type="dxa"/>
        <w:tblInd w:w="11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27"/>
        <w:gridCol w:w="968"/>
        <w:gridCol w:w="1559"/>
      </w:tblGrid>
      <w:tr w:rsidR="006D1B38">
        <w:trPr>
          <w:cantSplit/>
        </w:trPr>
        <w:tc>
          <w:tcPr>
            <w:tcW w:w="4054" w:type="dxa"/>
            <w:gridSpan w:val="3"/>
          </w:tcPr>
          <w:p w:rsidR="006D1B38" w:rsidRDefault="00BE4644" w:rsidP="00532188">
            <w:pPr>
              <w:pStyle w:val="SNREPUBLIQUE"/>
            </w:pPr>
            <w:r>
              <w:t xml:space="preserve">FRANCIA KÖZTÁRSASÁG</w:t>
            </w:r>
          </w:p>
        </w:tc>
      </w:tr>
      <w:tr w:rsidR="006D1B38" w:rsidTr="002A4914">
        <w:trPr>
          <w:cantSplit/>
          <w:trHeight w:hRule="exact" w:val="113"/>
        </w:trPr>
        <w:tc>
          <w:tcPr>
            <w:tcW w:w="1527" w:type="dxa"/>
          </w:tcPr>
          <w:p w:rsidR="006D1B38" w:rsidRDefault="006D1B38" w:rsidP="00532188">
            <w:pPr>
              <w:pStyle w:val="LO-Normal"/>
            </w:pP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6D1B38" w:rsidRDefault="006D1B38" w:rsidP="00532188">
            <w:pPr>
              <w:pStyle w:val="LO-Normal"/>
            </w:pPr>
          </w:p>
        </w:tc>
        <w:tc>
          <w:tcPr>
            <w:tcW w:w="1559" w:type="dxa"/>
          </w:tcPr>
          <w:p w:rsidR="006D1B38" w:rsidRDefault="006D1B38" w:rsidP="00532188">
            <w:pPr>
              <w:pStyle w:val="LO-Normal"/>
            </w:pPr>
          </w:p>
        </w:tc>
      </w:tr>
      <w:tr w:rsidR="006D1B38">
        <w:trPr>
          <w:cantSplit/>
        </w:trPr>
        <w:tc>
          <w:tcPr>
            <w:tcW w:w="4054" w:type="dxa"/>
            <w:gridSpan w:val="3"/>
          </w:tcPr>
          <w:p w:rsidR="006D1B38" w:rsidRDefault="00BE4644" w:rsidP="00532188">
            <w:pPr>
              <w:pStyle w:val="SNTimbre"/>
              <w:widowControl/>
            </w:pPr>
            <w:r>
              <w:t xml:space="preserve">Gazdasági, Pénzügyi és Gazdaságélénkítési Minisztérium</w:t>
            </w:r>
          </w:p>
        </w:tc>
      </w:tr>
      <w:tr w:rsidR="006D1B38" w:rsidTr="002A4914">
        <w:trPr>
          <w:cantSplit/>
          <w:trHeight w:hRule="exact" w:val="227"/>
        </w:trPr>
        <w:tc>
          <w:tcPr>
            <w:tcW w:w="1527" w:type="dxa"/>
          </w:tcPr>
          <w:p w:rsidR="006D1B38" w:rsidRDefault="006D1B38" w:rsidP="00532188">
            <w:pPr>
              <w:pStyle w:val="LO-Normal"/>
            </w:pP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6D1B38" w:rsidRDefault="006D1B38" w:rsidP="00532188">
            <w:pPr>
              <w:pStyle w:val="LO-Normal"/>
            </w:pPr>
          </w:p>
        </w:tc>
        <w:tc>
          <w:tcPr>
            <w:tcW w:w="1559" w:type="dxa"/>
          </w:tcPr>
          <w:p w:rsidR="006D1B38" w:rsidRDefault="006D1B38" w:rsidP="00532188">
            <w:pPr>
              <w:pStyle w:val="LO-Normal"/>
            </w:pPr>
          </w:p>
        </w:tc>
      </w:tr>
      <w:tr w:rsidR="006D1B38">
        <w:trPr>
          <w:cantSplit/>
          <w:trHeight w:hRule="exact" w:val="227"/>
        </w:trPr>
        <w:tc>
          <w:tcPr>
            <w:tcW w:w="1527" w:type="dxa"/>
          </w:tcPr>
          <w:p w:rsidR="006D1B38" w:rsidRDefault="006D1B38" w:rsidP="00532188">
            <w:pPr>
              <w:pStyle w:val="LO-Normal"/>
            </w:pPr>
          </w:p>
        </w:tc>
        <w:tc>
          <w:tcPr>
            <w:tcW w:w="968" w:type="dxa"/>
          </w:tcPr>
          <w:p w:rsidR="006D1B38" w:rsidRDefault="006D1B38" w:rsidP="00532188">
            <w:pPr>
              <w:pStyle w:val="LO-Normal"/>
            </w:pPr>
          </w:p>
        </w:tc>
        <w:tc>
          <w:tcPr>
            <w:tcW w:w="1559" w:type="dxa"/>
          </w:tcPr>
          <w:p w:rsidR="006D1B38" w:rsidRDefault="006D1B38" w:rsidP="00532188">
            <w:pPr>
              <w:pStyle w:val="LO-Normal"/>
            </w:pPr>
          </w:p>
        </w:tc>
      </w:tr>
    </w:tbl>
    <w:p w:rsidR="006D1B38" w:rsidRDefault="00BE4644" w:rsidP="00532188">
      <w:pPr>
        <w:pStyle w:val="SNNature"/>
        <w:widowControl/>
      </w:pPr>
      <w:r>
        <w:t xml:space="preserve">2020. …-i 2020-…. sz. kormányrendelet</w:t>
      </w:r>
    </w:p>
    <w:p w:rsidR="006D1B38" w:rsidRDefault="00BE4644" w:rsidP="00532188">
      <w:pPr>
        <w:pStyle w:val="SNtitre"/>
        <w:widowControl/>
      </w:pPr>
      <w:r>
        <w:t xml:space="preserve">az „újracsomagolt” és az „újracsomagolt termék” fogalmak használati feltételeiről</w:t>
      </w:r>
    </w:p>
    <w:p w:rsidR="006D1B38" w:rsidRDefault="00BE4644" w:rsidP="00532188">
      <w:pPr>
        <w:pStyle w:val="SNNORCentr"/>
      </w:pPr>
      <w:r>
        <w:t xml:space="preserve">NOR:</w:t>
      </w:r>
      <w:r>
        <w:t xml:space="preserve"> </w:t>
      </w:r>
      <w:r>
        <w:t xml:space="preserve">[…]</w:t>
      </w:r>
    </w:p>
    <w:p w:rsidR="006D1B38" w:rsidRDefault="00BE4644" w:rsidP="00C85968">
      <w:pPr>
        <w:pStyle w:val="SNAutorit"/>
      </w:pPr>
      <w:r>
        <w:rPr>
          <w:rStyle w:val="Policepardfaut"/>
          <w:i/>
          <w:b/>
        </w:rPr>
        <w:t xml:space="preserve">Az érintettek köre:</w:t>
      </w:r>
      <w:r>
        <w:rPr>
          <w:rStyle w:val="Policepardfaut"/>
          <w:i/>
        </w:rPr>
        <w:t xml:space="preserve"> </w:t>
      </w:r>
      <w:r>
        <w:rPr>
          <w:rStyle w:val="Policepardfaut"/>
          <w:i/>
        </w:rPr>
        <w:t xml:space="preserve">A forgalomba hozott termékek eladói, beleértve azt is, amikor az árukat online interfészről kínálják értékesítésre;</w:t>
      </w:r>
    </w:p>
    <w:p w:rsidR="006D1B38" w:rsidRDefault="00BE4644" w:rsidP="00C85968">
      <w:pPr>
        <w:pStyle w:val="SNAutorit"/>
      </w:pPr>
      <w:r>
        <w:rPr>
          <w:rStyle w:val="Policepardfaut"/>
          <w:i/>
          <w:b/>
        </w:rPr>
        <w:t xml:space="preserve">Tárgy:</w:t>
      </w:r>
      <w:r>
        <w:rPr>
          <w:rStyle w:val="Policepardfaut"/>
          <w:i/>
        </w:rPr>
        <w:t xml:space="preserve"> </w:t>
      </w:r>
      <w:r>
        <w:rPr>
          <w:rStyle w:val="Policepardfaut"/>
          <w:i/>
        </w:rPr>
        <w:t xml:space="preserve">az „újracsomagolt” vagy az „újracsomagolt termék” fogalmak használati feltételei</w:t>
      </w:r>
    </w:p>
    <w:p w:rsidR="006D1B38" w:rsidRDefault="00BE4644" w:rsidP="00C85968">
      <w:pPr>
        <w:pStyle w:val="SNAutorit"/>
      </w:pPr>
      <w:r>
        <w:rPr>
          <w:rStyle w:val="Policepardfaut"/>
          <w:i/>
          <w:b/>
        </w:rPr>
        <w:t xml:space="preserve">Hatálybalépés:</w:t>
      </w:r>
      <w:r>
        <w:rPr>
          <w:rStyle w:val="Policepardfaut"/>
          <w:i/>
        </w:rPr>
        <w:t xml:space="preserve"> </w:t>
      </w:r>
    </w:p>
    <w:p w:rsidR="006D1B38" w:rsidRDefault="00BE4644" w:rsidP="00C85968">
      <w:pPr>
        <w:pStyle w:val="SNAutorit"/>
      </w:pPr>
      <w:r>
        <w:rPr>
          <w:rStyle w:val="Policepardfaut"/>
          <w:i/>
          <w:b/>
        </w:rPr>
        <w:t xml:space="preserve">Megjegyzés:</w:t>
      </w:r>
      <w:r>
        <w:rPr>
          <w:rStyle w:val="Policepardfaut"/>
          <w:i/>
        </w:rPr>
        <w:t xml:space="preserve"> </w:t>
      </w:r>
      <w:r>
        <w:rPr>
          <w:rStyle w:val="Policepardfaut"/>
          <w:i/>
        </w:rPr>
        <w:t xml:space="preserve">E rendelet meghatározza a fogyasztóvédelmi törvénykönyv „újracsomagolt” és „újracsomagolt termék” fogalmak használatának jogi szabályozását meghatározó L. 122-21-1. cikkének alkalmazási feltételeit.</w:t>
      </w:r>
      <w:r>
        <w:rPr>
          <w:rStyle w:val="Policepardfaut"/>
          <w:i/>
        </w:rPr>
        <w:t xml:space="preserve"> </w:t>
      </w:r>
      <w:r>
        <w:rPr>
          <w:rStyle w:val="Policepardfaut"/>
          <w:i/>
        </w:rPr>
        <w:t xml:space="preserve">Ennek alapján a rendelet e megjegyzések alkalmazását a használt termékekre tartja fenn és pontosan meghatározza, hogy milyen feltételek mellett használhatók, akár tesztek elvégzése sőt egy vagy több műszaki beavatkozás megkövetelése révén, ami lehetővé teszi a termék biztonságának és működésének a biztosítását.</w:t>
      </w:r>
      <w:r>
        <w:rPr>
          <w:rStyle w:val="Policepardfaut"/>
          <w:i/>
        </w:rPr>
        <w:t xml:space="preserve"> </w:t>
      </w:r>
      <w:r>
        <w:rPr>
          <w:rStyle w:val="Policepardfaut"/>
          <w:i/>
        </w:rPr>
        <w:t xml:space="preserve">A terméken végrehajtott egy vagy több beavatkozás a termék lényeges jellemzője.</w:t>
      </w:r>
      <w:r>
        <w:rPr>
          <w:rStyle w:val="Policepardfaut"/>
          <w:i/>
        </w:rPr>
        <w:t xml:space="preserve"> </w:t>
      </w:r>
      <w:r>
        <w:rPr>
          <w:rStyle w:val="Policepardfaut"/>
          <w:i/>
        </w:rPr>
        <w:t xml:space="preserve">Emellett annak elkerülése érdekében, hogy a fogyasztót megtévesszék az újracsomagolt termék jellemzői kapcsán, e rendelet tiltja az új termékre történő bárminemű hivatkozást és a „Franciaországban újracsomagolt megjegyzés használatát azokra az újracsomagolási műveletekre tartja fenn, amelyeket teljes egészében az ország területén végeznek el.</w:t>
      </w:r>
      <w:r>
        <w:rPr>
          <w:rStyle w:val="Policepardfaut"/>
          <w:i/>
        </w:rPr>
        <w:t xml:space="preserve"> </w:t>
      </w:r>
      <w:r>
        <w:rPr>
          <w:rStyle w:val="Policepardfaut"/>
          <w:i/>
        </w:rPr>
        <w:t xml:space="preserve">Ezek a szabályok vonatkoznak az alkatrészekre is.</w:t>
      </w:r>
    </w:p>
    <w:p w:rsidR="006D1B38" w:rsidRPr="003114B3" w:rsidRDefault="00BE4644" w:rsidP="00C85968">
      <w:pPr>
        <w:pStyle w:val="SNAutorit"/>
        <w:rPr>
          <w:rStyle w:val="Policepardfaut"/>
          <w:i/>
        </w:rPr>
      </w:pPr>
      <w:r>
        <w:rPr>
          <w:rStyle w:val="Policepardfaut"/>
          <w:i/>
          <w:b/>
        </w:rPr>
        <w:t xml:space="preserve">Hivatkozás:</w:t>
      </w:r>
      <w:r>
        <w:rPr>
          <w:rStyle w:val="Policepardfaut"/>
          <w:i/>
        </w:rPr>
        <w:t xml:space="preserve"> </w:t>
      </w:r>
      <w:r>
        <w:rPr>
          <w:rStyle w:val="Policepardfaut"/>
          <w:i/>
        </w:rPr>
        <w:t xml:space="preserve">e kormányrendelet megtekinthető a Légifrance honlapon (</w:t>
      </w:r>
      <w:hyperlink r:id="rId7" w:tgtFrame="_top">
        <w:r>
          <w:rPr>
            <w:rStyle w:val="Policepardfaut"/>
            <w:b/>
            <w:i/>
          </w:rPr>
          <w:t xml:space="preserve">http://www.legifrance.gouv.fr</w:t>
        </w:r>
      </w:hyperlink>
      <w:r>
        <w:rPr>
          <w:rStyle w:val="Policepardfaut"/>
          <w:i/>
        </w:rPr>
        <w:t xml:space="preserve">).</w:t>
      </w:r>
    </w:p>
    <w:p w:rsidR="003114B3" w:rsidRDefault="003114B3" w:rsidP="00C85968">
      <w:pPr>
        <w:pStyle w:val="SNAutorit"/>
        <w:rPr>
          <w:b/>
        </w:rPr>
      </w:pPr>
    </w:p>
    <w:p w:rsidR="006D1B38" w:rsidRDefault="00BE4644" w:rsidP="00C85968">
      <w:pPr>
        <w:pStyle w:val="SNAutorit"/>
        <w:rPr>
          <w:b/>
        </w:rPr>
      </w:pPr>
      <w:r>
        <w:rPr>
          <w:b/>
        </w:rPr>
        <w:t xml:space="preserve">A miniszterelnök,</w:t>
      </w:r>
    </w:p>
    <w:p w:rsidR="006D1B38" w:rsidRDefault="00BE4644" w:rsidP="00C85968">
      <w:pPr>
        <w:pStyle w:val="SNRapport"/>
      </w:pPr>
      <w:r>
        <w:t xml:space="preserve">a gazdasági, pénzügyi és gazdaságélénkítési miniszter jelentése alapján,</w:t>
      </w:r>
    </w:p>
    <w:p w:rsidR="006D1B38" w:rsidRDefault="00BE4644" w:rsidP="00C85968">
      <w:pPr>
        <w:pStyle w:val="SNVisa"/>
      </w:pPr>
      <w:r>
        <w:t xml:space="preserve">tekintettel a természetes személyeknek a személyes adatok kezelése tekintetében történő védelméről és az ilyen adatok szabad áramlásáról, valamint a 95/46/EK rendelet hatályon kívül helyezéséről szóló, 2016. április 27-i (EU) 2016/679 európai parlamenti és tanácsi rendeletre (általános adatvédelmi rendelet),</w:t>
      </w:r>
    </w:p>
    <w:p w:rsidR="006D1B38" w:rsidRDefault="00BE4644" w:rsidP="00C85968">
      <w:pPr>
        <w:ind w:firstLine="720"/>
        <w:rPr>
          <w:sz w:val="22"/>
          <w:szCs w:val="22"/>
          <w:rFonts w:ascii="Calibri" w:eastAsia="Calibri" w:hAnsi="Calibri" w:cs="Calibri"/>
        </w:rPr>
      </w:pPr>
      <w:r>
        <w:rPr>
          <w:sz w:val="22"/>
          <w:szCs w:val="22"/>
          <w:rFonts w:ascii="Calibri" w:hAnsi="Calibri"/>
        </w:rPr>
        <w:t xml:space="preserve">tekintettel a műszaki szabályokkal és az információs társadalom szolgáltatásaira vonatkozó szabályokkal kapcsolatos információszolgáltatási eljárás megállapításáról szóló, 2015. szeptember 9-i (EU) 2015/1535 európai parlamenti és tanácsi irányelvre (egységes szerkezetbe foglalt szöveg), és különösen a(z) év/XXX/F sz. értesítésre,</w:t>
      </w:r>
    </w:p>
    <w:p w:rsidR="006D1B38" w:rsidRDefault="00BE4644" w:rsidP="00C85968">
      <w:pPr>
        <w:pStyle w:val="SNVisa"/>
      </w:pPr>
      <w:r>
        <w:t xml:space="preserve">tekintettel a kereskedelmi törvénykönyvre, különösen annak R. 321-1. cikkére,</w:t>
      </w:r>
    </w:p>
    <w:p w:rsidR="006D1B38" w:rsidRDefault="00BE4644" w:rsidP="00C85968">
      <w:pPr>
        <w:pStyle w:val="SNVisa"/>
      </w:pPr>
      <w:r>
        <w:t xml:space="preserve">tekintettel a fogyasztóvédelmi törvénykönyvre, különösen annak a pazarlás elleni küzdelemről és a körforgásos gazdaságról szóló, 2020. február 10-i 2020-105. sz. törvény 37. cikkéből következő L. 122-21-1. cikkére,</w:t>
      </w:r>
    </w:p>
    <w:p w:rsidR="006D1B38" w:rsidRDefault="00BE4644" w:rsidP="00C85968">
      <w:pPr>
        <w:pStyle w:val="LO-Normal"/>
        <w:spacing w:before="100" w:after="100"/>
        <w:ind w:firstLine="720"/>
        <w:jc w:val="both"/>
      </w:pPr>
      <w:r>
        <w:t xml:space="preserve">tekintettel az informatikáról, a nyilvántartásokról és a szabadságjogokról szóló, 1978. január 6-i 78-17. sz. módosított törvényre,</w:t>
      </w:r>
    </w:p>
    <w:p w:rsidR="006D1B38" w:rsidRDefault="00BE4644" w:rsidP="00C85968">
      <w:pPr>
        <w:pStyle w:val="SNVisa"/>
      </w:pPr>
      <w:r>
        <w:t xml:space="preserve">az Államtanács (pénzügyi szekció) véleményének meghallgatását követően,</w:t>
      </w:r>
    </w:p>
    <w:p w:rsidR="006D1B38" w:rsidRDefault="00BE4644" w:rsidP="00532188">
      <w:pPr>
        <w:pStyle w:val="SNActe"/>
      </w:pPr>
      <w:r>
        <w:t xml:space="preserve">elrendeli a következőket:</w:t>
      </w:r>
    </w:p>
    <w:p w:rsidR="006D1B38" w:rsidRDefault="00BE4644" w:rsidP="00532188">
      <w:pPr>
        <w:pStyle w:val="SNArticle"/>
        <w:keepNext/>
        <w:keepLines/>
      </w:pPr>
      <w:r>
        <w:t xml:space="preserve">1. cikk</w:t>
      </w:r>
    </w:p>
    <w:p w:rsidR="006D1B38" w:rsidRDefault="00BE4644" w:rsidP="00532188">
      <w:pPr>
        <w:pStyle w:val="BodyText"/>
      </w:pPr>
      <w:r>
        <w:t xml:space="preserve">A fogyasztóvédelmi törvénykönyv I. könyve II. címének II. fejezete a következők szerint módosul:</w:t>
      </w:r>
    </w:p>
    <w:p w:rsidR="006D1B38" w:rsidRDefault="00BE4644" w:rsidP="00532188">
      <w:pPr>
        <w:pStyle w:val="BodyText"/>
      </w:pPr>
      <w:r>
        <w:t xml:space="preserve">1. Az egyetlen szakasz számozása 1. szakaszra változik;</w:t>
      </w:r>
    </w:p>
    <w:p w:rsidR="006D1B38" w:rsidRDefault="00BE4644" w:rsidP="00532188">
      <w:pPr>
        <w:pStyle w:val="BodyText"/>
      </w:pPr>
      <w:r>
        <w:t xml:space="preserve">2. A következő 2. szakasszal egészül ki:</w:t>
      </w:r>
    </w:p>
    <w:p w:rsidR="006D1B38" w:rsidRDefault="00BE4644" w:rsidP="00532188">
      <w:pPr>
        <w:pStyle w:val="BodyText"/>
        <w:keepNext/>
        <w:keepLines/>
        <w:jc w:val="center"/>
      </w:pPr>
      <w:r>
        <w:t xml:space="preserve">„2. szakasz</w:t>
      </w:r>
    </w:p>
    <w:p w:rsidR="006D1B38" w:rsidRDefault="00BE4644" w:rsidP="00532188">
      <w:pPr>
        <w:pStyle w:val="BodyText"/>
        <w:keepNext/>
        <w:keepLines/>
        <w:jc w:val="center"/>
      </w:pPr>
      <w:r>
        <w:t xml:space="preserve">„Az „újracsomagolt” és az „újracsomagolt termék” fogalmak használata</w:t>
      </w:r>
    </w:p>
    <w:p w:rsidR="006D1B38" w:rsidRDefault="00BE4644" w:rsidP="00532188">
      <w:pPr>
        <w:pStyle w:val="BodyText"/>
        <w:spacing w:before="100" w:after="100"/>
      </w:pPr>
      <w:r>
        <w:t xml:space="preserve">„</w:t>
      </w:r>
      <w:r>
        <w:rPr>
          <w:i/>
          <w:iCs/>
        </w:rPr>
        <w:t xml:space="preserve">R. 122-4. cikk</w:t>
      </w:r>
      <w:r>
        <w:t xml:space="preserve"> </w:t>
      </w:r>
      <w:r>
        <w:t xml:space="preserve">– Egy termék vagy alkatrész abban az esetben minősülhet „újracsomagolt terméknek”, vagy akkor tüntethető fel rajta az „újracsomagolt” megjegyzés, ha a következő feltételek mindegyike teljesül:</w:t>
      </w:r>
    </w:p>
    <w:p w:rsidR="006D1B38" w:rsidRDefault="00BE4644" w:rsidP="00532188">
      <w:pPr>
        <w:pStyle w:val="BodyText"/>
        <w:spacing w:before="100" w:after="100"/>
      </w:pPr>
      <w:r>
        <w:t xml:space="preserve">„1. A kereskedelmi törvénykönyv L. 321-1- cikke szerinti használt termékről vagy alkatrészről van szó, amelyet minden működésre kiterjedő tesztnek alávetettek annak megállapítására, hogy a termék vagy alkatrész megfelel-e a biztonságra vonatkozó törvényi kötelezettségeknek és a fogyasztó által jogosan elvárt használatnak, valamint hogy a működése helyreállítása céljából elvégeztek-e rajta egy vagy több beavatkozást.</w:t>
      </w:r>
    </w:p>
    <w:p w:rsidR="006D1B38" w:rsidRDefault="00BE4644" w:rsidP="00532188">
      <w:pPr>
        <w:pStyle w:val="LO-Normal"/>
        <w:spacing w:before="100" w:after="100"/>
        <w:jc w:val="both"/>
      </w:pPr>
      <w:r>
        <w:t xml:space="preserve">„2. Szükség szerint amikor az előző bekezdésben meghatározott egy vagy több beavatkozás magában foglalja a korábbi használattal vagy a korábbi használóval összefüggésben elmentett vagy tárolt valamennyi személyes adat törlését a természetes személyeknek a személyes adatok kezelése tekintetében történő védelméről és az ilyen adatok szabad áramlásáról szóló, 2016. április 27-i (EU) 2016/679 európai parlamenti és tanácsi rendelet, valamint az informatikáról, nyilvántartásokról és szabadságjogokról szóló 1978. január 6-i, 78-17. törvény rendelkezéseinek a tiszteletben tartása mellett, különös tekintettel a személyes adatok visszaállítására és hordozhatóságára;</w:t>
      </w:r>
    </w:p>
    <w:p w:rsidR="006D1B38" w:rsidRDefault="00BE4644" w:rsidP="00532188">
      <w:pPr>
        <w:pStyle w:val="LO-Normal"/>
        <w:spacing w:before="100" w:after="100"/>
        <w:jc w:val="both"/>
      </w:pPr>
      <w:r>
        <w:t xml:space="preserve">Az „újracsomagolt terméknek minősülő vagy az „újracsomagolt” megjegyzést tartalmazó terméket vagy alkatrészt eladásra kínáló szakmai szereplő feladata annak bizonyítása, hogy az előző bekezdésekben előírt műveleteket elvégezték.</w:t>
      </w:r>
    </w:p>
    <w:p w:rsidR="006D1B38" w:rsidRDefault="00BE4644" w:rsidP="00532188">
      <w:pPr>
        <w:pStyle w:val="BodyText"/>
        <w:spacing w:before="100" w:after="100"/>
      </w:pPr>
      <w:r>
        <w:t xml:space="preserve">„</w:t>
      </w:r>
      <w:r>
        <w:rPr>
          <w:i/>
          <w:iCs/>
        </w:rPr>
        <w:t xml:space="preserve">R. 122-5. cikk</w:t>
      </w:r>
      <w:r>
        <w:t xml:space="preserve"> </w:t>
      </w:r>
      <w:r>
        <w:t xml:space="preserve">– A terméken vagy alkatrészen végrehajtott, az „újracsomagolt termék” vagy a „Franciaországban újracsomagolva” megjegyzések használatát igazoló egy vagy több beavatkozás a termék vagy alkatrész lényeges jellemzője”.</w:t>
      </w:r>
    </w:p>
    <w:p w:rsidR="006D1B38" w:rsidRDefault="00BE4644" w:rsidP="00532188">
      <w:pPr>
        <w:pStyle w:val="BodyText"/>
        <w:spacing w:before="100" w:after="100"/>
      </w:pPr>
      <w:r>
        <w:rPr>
          <w:rStyle w:val="Policepardfaut"/>
          <w:i/>
        </w:rPr>
        <w:t xml:space="preserve">„</w:t>
      </w:r>
      <w:r>
        <w:rPr>
          <w:rStyle w:val="Policepardfaut"/>
          <w:i/>
          <w:i/>
          <w:iCs/>
        </w:rPr>
        <w:t xml:space="preserve">R. 122-6. cikk</w:t>
      </w:r>
      <w:r>
        <w:t xml:space="preserve"> </w:t>
      </w:r>
      <w:r>
        <w:t xml:space="preserve">– Az „új állapotú”, „mint az új”, „újonnan” illetve ezeknek megfelelő bármely egyéb megjegyzés használata tilos az „újracsomagolt termék” minősítésű vagy az „újracsomagolt” megjegyzéssel ellátott termék vagy alkatrész esetében.</w:t>
      </w:r>
    </w:p>
    <w:p w:rsidR="006D1B38" w:rsidRDefault="00BE4644" w:rsidP="00532188">
      <w:pPr>
        <w:pStyle w:val="BodyText"/>
        <w:spacing w:before="100" w:after="100"/>
      </w:pPr>
      <w:r>
        <w:rPr>
          <w:rStyle w:val="Policepardfaut"/>
          <w:i/>
        </w:rPr>
        <w:t xml:space="preserve">„</w:t>
      </w:r>
      <w:r>
        <w:rPr>
          <w:rStyle w:val="Policepardfaut"/>
          <w:i/>
          <w:i/>
          <w:iCs/>
        </w:rPr>
        <w:t xml:space="preserve">R. 122-7. cikk</w:t>
      </w:r>
      <w:r>
        <w:t xml:space="preserve"> </w:t>
      </w:r>
      <w:r>
        <w:t xml:space="preserve">– A „Franciaországban újracsomagolva” megjegyzés használata az R. 122-4. cikkben említett azon műveletekre alkalmazható, amelyeket teljes egészében az ország területén végeztek el.</w:t>
      </w:r>
    </w:p>
    <w:p w:rsidR="006D1B38" w:rsidRDefault="00BE4644" w:rsidP="00532188">
      <w:pPr>
        <w:pStyle w:val="BodyText"/>
        <w:keepNext/>
        <w:keepLines/>
        <w:spacing w:before="100" w:after="100" w:line="244" w:lineRule="auto"/>
        <w:jc w:val="center"/>
        <w:rPr>
          <w:b/>
        </w:rPr>
      </w:pPr>
      <w:r>
        <w:rPr>
          <w:b/>
        </w:rPr>
        <w:t xml:space="preserve">2. cikk</w:t>
      </w:r>
    </w:p>
    <w:p w:rsidR="006D1B38" w:rsidRDefault="00BE4644" w:rsidP="00532188">
      <w:pPr>
        <w:pStyle w:val="BodyText"/>
        <w:spacing w:before="100" w:after="100" w:line="244" w:lineRule="auto"/>
      </w:pPr>
      <w:r>
        <w:t xml:space="preserve">Ez a kormányrendelet 2021. április 1-jén lép hatályba.</w:t>
      </w:r>
    </w:p>
    <w:p w:rsidR="006D1B38" w:rsidRDefault="00BE4644" w:rsidP="00532188">
      <w:pPr>
        <w:pStyle w:val="BodyText"/>
        <w:keepNext/>
        <w:keepLines/>
        <w:spacing w:before="100" w:after="100" w:line="244" w:lineRule="auto"/>
        <w:jc w:val="center"/>
        <w:rPr>
          <w:b/>
        </w:rPr>
      </w:pPr>
      <w:r>
        <w:rPr>
          <w:b/>
        </w:rPr>
        <w:t xml:space="preserve">3. cikk</w:t>
      </w:r>
    </w:p>
    <w:p w:rsidR="006D1B38" w:rsidRDefault="00BE4644" w:rsidP="00532188">
      <w:pPr>
        <w:pStyle w:val="BodyText"/>
      </w:pPr>
      <w:r>
        <w:t xml:space="preserve">E kormányrendeletet a Francia Köztársaság Hivatalos Lapjában teszik közzé, végrehajtásáért – a hatáskörüket érintő területen – az ökológiai átállásért felelős miniszter, valamint a gazdasági, pénzügyi és gazdaságélénkítési miniszter felel.</w:t>
      </w:r>
    </w:p>
    <w:p w:rsidR="006D1B38" w:rsidRDefault="006D1B38" w:rsidP="00532188">
      <w:pPr>
        <w:pStyle w:val="BodyText"/>
      </w:pPr>
    </w:p>
    <w:p w:rsidR="006D1B38" w:rsidRDefault="006D1B38" w:rsidP="00532188">
      <w:pPr>
        <w:pStyle w:val="BodyText"/>
      </w:pPr>
    </w:p>
    <w:p w:rsidR="006D1B38" w:rsidRDefault="00BE4644" w:rsidP="00532188">
      <w:pPr>
        <w:pStyle w:val="SNContreseing"/>
      </w:pPr>
      <w:r>
        <w:t xml:space="preserve">Kelt:</w:t>
      </w:r>
    </w:p>
    <w:p w:rsidR="006D1B38" w:rsidRDefault="00BE4644" w:rsidP="00532188">
      <w:pPr>
        <w:pStyle w:val="SNContreseing"/>
      </w:pPr>
      <w:r>
        <w:t xml:space="preserve">A miniszterelnök nevében,</w:t>
      </w:r>
    </w:p>
    <w:p w:rsidR="006D1B38" w:rsidRDefault="006D1B38" w:rsidP="00532188">
      <w:pPr>
        <w:pStyle w:val="LO-Normal"/>
        <w:spacing w:before="100" w:after="100" w:line="240" w:lineRule="auto"/>
        <w:rPr>
          <w:rFonts w:eastAsia="Times New Roman"/>
          <w:lang w:eastAsia="fr-FR"/>
        </w:rPr>
      </w:pPr>
    </w:p>
    <w:p w:rsidR="006D1B38" w:rsidRDefault="00BE4644" w:rsidP="00532188">
      <w:pPr>
        <w:pStyle w:val="LO-Normal"/>
        <w:keepNext/>
        <w:keepLines/>
        <w:spacing w:before="100" w:after="100" w:line="240" w:lineRule="auto"/>
        <w:rPr>
          <w:rFonts w:eastAsia="Times New Roman"/>
        </w:rPr>
      </w:pPr>
      <w:r>
        <w:t xml:space="preserve">Az ökológiai átállásért felelős miniszter</w:t>
      </w:r>
    </w:p>
    <w:p w:rsidR="006D1B38" w:rsidRDefault="00BE4644" w:rsidP="00532188">
      <w:pPr>
        <w:pStyle w:val="LO-Normal"/>
        <w:spacing w:after="0" w:line="240" w:lineRule="auto"/>
        <w:rPr>
          <w:rFonts w:eastAsia="Times New Roman"/>
        </w:rPr>
      </w:pPr>
      <w:r>
        <w:t xml:space="preserve">Barbara POMPILI</w:t>
      </w:r>
    </w:p>
    <w:p w:rsidR="006D1B38" w:rsidRDefault="00BE4644" w:rsidP="00532188">
      <w:pPr>
        <w:pStyle w:val="LO-Normal"/>
        <w:keepNext/>
        <w:keepLines/>
        <w:spacing w:before="100" w:after="100" w:line="240" w:lineRule="auto"/>
        <w:ind w:left="5040"/>
        <w:rPr>
          <w:rFonts w:eastAsia="Times New Roman"/>
        </w:rPr>
      </w:pPr>
      <w:r>
        <w:t xml:space="preserve">a gazdasági, pénzügyi és gazdaságélénkítési miniszter</w:t>
      </w:r>
    </w:p>
    <w:p w:rsidR="006D1B38" w:rsidRDefault="00BE4644" w:rsidP="00532188">
      <w:pPr>
        <w:pStyle w:val="LO-Normal"/>
        <w:spacing w:before="100" w:after="100" w:line="240" w:lineRule="auto"/>
        <w:ind w:left="5040"/>
        <w:rPr>
          <w:rFonts w:eastAsia="Times New Roman"/>
        </w:rPr>
      </w:pPr>
      <w:r>
        <w:t xml:space="preserve">Bruno LE MAIRE</w:t>
      </w:r>
    </w:p>
    <w:sectPr w:rsidR="006D1B38">
      <w:pgSz w:w="11906" w:h="16838"/>
      <w:pgMar w:top="1134" w:right="1418" w:bottom="1418" w:left="1134" w:header="0" w:footer="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6B4" w:rsidRDefault="00F926B4" w:rsidP="00451EFE">
      <w:r>
        <w:separator/>
      </w:r>
    </w:p>
  </w:endnote>
  <w:endnote w:type="continuationSeparator" w:id="0">
    <w:p w:rsidR="00F926B4" w:rsidRDefault="00F926B4" w:rsidP="00451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6B4" w:rsidRDefault="00F926B4" w:rsidP="00451EFE">
      <w:r>
        <w:separator/>
      </w:r>
    </w:p>
  </w:footnote>
  <w:footnote w:type="continuationSeparator" w:id="0">
    <w:p w:rsidR="00F926B4" w:rsidRDefault="00F926B4" w:rsidP="00451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4719C"/>
    <w:multiLevelType w:val="multilevel"/>
    <w:tmpl w:val="80ACE59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dirty"/>
  <w:defaultTabStop w:val="708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B38"/>
    <w:rsid w:val="002A4914"/>
    <w:rsid w:val="003114B3"/>
    <w:rsid w:val="00451EFE"/>
    <w:rsid w:val="00532188"/>
    <w:rsid w:val="00617575"/>
    <w:rsid w:val="0063400E"/>
    <w:rsid w:val="006D1B38"/>
    <w:rsid w:val="00BE4644"/>
    <w:rsid w:val="00C85968"/>
    <w:rsid w:val="00F9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2A71C"/>
  <w15:docId w15:val="{73A5017A-2E1A-4E48-AAA5-5DD331F6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fr-FR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O-Normal"/>
    <w:next w:val="LO-Normal"/>
    <w:uiPriority w:val="9"/>
    <w:qFormat/>
    <w:pPr>
      <w:keepNext/>
      <w:numPr>
        <w:numId w:val="1"/>
      </w:numPr>
      <w:spacing w:before="240" w:after="0"/>
      <w:jc w:val="center"/>
      <w:outlineLvl w:val="0"/>
    </w:pPr>
    <w:rPr>
      <w:rFonts w:cs="Arial"/>
      <w:bCs/>
      <w:caps/>
      <w:kern w:val="2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numPr>
        <w:ilvl w:val="1"/>
        <w:numId w:val="1"/>
      </w:numPr>
      <w:spacing w:before="240" w:after="0"/>
      <w:jc w:val="center"/>
      <w:outlineLvl w:val="1"/>
    </w:pPr>
    <w:rPr>
      <w:bCs/>
      <w:iCs/>
      <w:smallCaps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numPr>
        <w:ilvl w:val="2"/>
        <w:numId w:val="1"/>
      </w:numPr>
      <w:spacing w:before="120" w:after="0"/>
      <w:jc w:val="center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licepardfaut">
    <w:name w:val="Police par défaut"/>
    <w:qFormat/>
  </w:style>
  <w:style w:type="character" w:customStyle="1" w:styleId="SNTimbreCar">
    <w:name w:val="SNTimbre Car"/>
    <w:basedOn w:val="Policepardfaut"/>
    <w:qFormat/>
    <w:rPr>
      <w:rFonts w:eastAsia="Lucida Sans Unicode"/>
      <w:sz w:val="24"/>
      <w:szCs w:val="24"/>
      <w:lang w:val="hu-HU" w:bidi="ar-SA"/>
    </w:rPr>
  </w:style>
  <w:style w:type="character" w:customStyle="1" w:styleId="SNDateCar">
    <w:name w:val="SNDate Car"/>
    <w:basedOn w:val="Policepardfaut"/>
    <w:qFormat/>
    <w:rPr>
      <w:sz w:val="24"/>
      <w:szCs w:val="24"/>
      <w:lang w:val="hu-HU" w:eastAsia="fr-FR" w:bidi="ar-SA"/>
    </w:rPr>
  </w:style>
  <w:style w:type="character" w:customStyle="1" w:styleId="SNArticleCar">
    <w:name w:val="SNArticle Car"/>
    <w:basedOn w:val="Policepardfaut"/>
    <w:qFormat/>
    <w:rPr>
      <w:b/>
      <w:sz w:val="24"/>
      <w:szCs w:val="24"/>
      <w:lang w:val="hu-HU" w:eastAsia="fr-FR" w:bidi="ar-SA"/>
    </w:rPr>
  </w:style>
  <w:style w:type="character" w:customStyle="1" w:styleId="En-tteCar">
    <w:name w:val="En-tête Car"/>
    <w:basedOn w:val="Policepardfaut"/>
    <w:qFormat/>
  </w:style>
  <w:style w:type="character" w:customStyle="1" w:styleId="Marquedecommentaire">
    <w:name w:val="Marque de commentaire"/>
    <w:basedOn w:val="Policepardfaut"/>
    <w:qFormat/>
    <w:rPr>
      <w:rFonts w:cs="Times New Roman"/>
      <w:sz w:val="16"/>
    </w:rPr>
  </w:style>
  <w:style w:type="character" w:customStyle="1" w:styleId="CommentaireCar">
    <w:name w:val="Commentaire Car"/>
    <w:basedOn w:val="Policepardfaut"/>
    <w:qFormat/>
  </w:style>
  <w:style w:type="character" w:customStyle="1" w:styleId="ObjetducommentaireCar">
    <w:name w:val="Objet du commentaire Car"/>
    <w:basedOn w:val="CommentaireCar"/>
    <w:qFormat/>
    <w:rPr>
      <w:b/>
      <w:bCs/>
    </w:rPr>
  </w:style>
  <w:style w:type="character" w:customStyle="1" w:styleId="CitationintenseCar">
    <w:name w:val="Citation intense Car"/>
    <w:basedOn w:val="Policepardfaut"/>
    <w:qFormat/>
    <w:rPr>
      <w:rFonts w:ascii="Calibri" w:eastAsia="Calibri" w:hAnsi="Calibri" w:cs="Calibri"/>
      <w:i/>
      <w:iCs/>
      <w:color w:val="5B9BD5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qFormat/>
    <w:rPr>
      <w:sz w:val="24"/>
      <w:szCs w:val="24"/>
    </w:rPr>
  </w:style>
  <w:style w:type="character" w:customStyle="1" w:styleId="LienInternet">
    <w:name w:val="Lien Internet"/>
    <w:rPr>
      <w:color w:val="0000FF"/>
      <w:u w:val="single"/>
    </w:rPr>
  </w:style>
  <w:style w:type="paragraph" w:customStyle="1" w:styleId="Titre">
    <w:name w:val="Titre"/>
    <w:basedOn w:val="Normal"/>
    <w:next w:val="BodyText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BodyText">
    <w:name w:val="Body Text"/>
    <w:basedOn w:val="LO-Normal"/>
    <w:pPr>
      <w:spacing w:after="120"/>
      <w:jc w:val="both"/>
    </w:pPr>
  </w:style>
  <w:style w:type="paragraph" w:customStyle="1" w:styleId="LO-Normal">
    <w:name w:val="LO-Normal"/>
    <w:qFormat/>
    <w:pPr>
      <w:suppressAutoHyphens/>
      <w:spacing w:after="160" w:line="242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NREPUBLIQUE">
    <w:name w:val="SNREPUBLIQUE"/>
    <w:basedOn w:val="LO-Normal"/>
    <w:qFormat/>
    <w:pPr>
      <w:jc w:val="center"/>
    </w:pPr>
    <w:rPr>
      <w:b/>
      <w:bCs/>
      <w:szCs w:val="20"/>
    </w:rPr>
  </w:style>
  <w:style w:type="paragraph" w:customStyle="1" w:styleId="puce1">
    <w:name w:val="puce1"/>
    <w:basedOn w:val="LO-Normal"/>
    <w:qFormat/>
    <w:pPr>
      <w:widowControl w:val="0"/>
      <w:tabs>
        <w:tab w:val="left" w:pos="0"/>
      </w:tabs>
      <w:spacing w:before="240" w:after="0"/>
      <w:ind w:left="1429" w:hanging="360"/>
    </w:pPr>
    <w:rPr>
      <w:rFonts w:eastAsia="Lucida Sans Unicode"/>
    </w:rPr>
  </w:style>
  <w:style w:type="paragraph" w:customStyle="1" w:styleId="puce2">
    <w:name w:val="puce2"/>
    <w:basedOn w:val="LO-Normal"/>
    <w:qFormat/>
    <w:pPr>
      <w:widowControl w:val="0"/>
      <w:tabs>
        <w:tab w:val="left" w:pos="0"/>
      </w:tabs>
      <w:spacing w:before="240" w:after="0"/>
      <w:ind w:left="2149" w:hanging="360"/>
    </w:pPr>
    <w:rPr>
      <w:rFonts w:eastAsia="Lucida Sans Unicode"/>
    </w:rPr>
  </w:style>
  <w:style w:type="paragraph" w:customStyle="1" w:styleId="puce3">
    <w:name w:val="puce3"/>
    <w:basedOn w:val="LO-Normal"/>
    <w:qFormat/>
    <w:pPr>
      <w:widowControl w:val="0"/>
      <w:tabs>
        <w:tab w:val="left" w:pos="0"/>
      </w:tabs>
      <w:spacing w:before="240" w:after="0"/>
      <w:ind w:left="2869" w:hanging="360"/>
    </w:pPr>
    <w:rPr>
      <w:rFonts w:eastAsia="Lucida Sans Unicode"/>
    </w:rPr>
  </w:style>
  <w:style w:type="paragraph" w:customStyle="1" w:styleId="num1">
    <w:name w:val="num1"/>
    <w:basedOn w:val="LO-Normal"/>
    <w:qFormat/>
    <w:pPr>
      <w:widowControl w:val="0"/>
      <w:tabs>
        <w:tab w:val="left" w:pos="0"/>
      </w:tabs>
      <w:spacing w:before="240" w:after="0"/>
      <w:ind w:left="1429" w:hanging="360"/>
    </w:pPr>
    <w:rPr>
      <w:rFonts w:eastAsia="Lucida Sans Unicode"/>
    </w:rPr>
  </w:style>
  <w:style w:type="paragraph" w:customStyle="1" w:styleId="num2">
    <w:name w:val="num2"/>
    <w:basedOn w:val="LO-Normal"/>
    <w:qFormat/>
    <w:pPr>
      <w:widowControl w:val="0"/>
      <w:tabs>
        <w:tab w:val="left" w:pos="0"/>
      </w:tabs>
      <w:spacing w:before="240" w:after="0"/>
      <w:ind w:left="2149" w:hanging="360"/>
    </w:pPr>
    <w:rPr>
      <w:rFonts w:eastAsia="Lucida Sans Unicode"/>
    </w:rPr>
  </w:style>
  <w:style w:type="paragraph" w:customStyle="1" w:styleId="num3">
    <w:name w:val="num3"/>
    <w:basedOn w:val="LO-Normal"/>
    <w:qFormat/>
    <w:pPr>
      <w:widowControl w:val="0"/>
      <w:tabs>
        <w:tab w:val="left" w:pos="0"/>
      </w:tabs>
      <w:spacing w:before="240" w:after="0"/>
      <w:ind w:left="2869" w:hanging="180"/>
    </w:pPr>
    <w:rPr>
      <w:rFonts w:eastAsia="Lucida Sans Unicode"/>
    </w:rPr>
  </w:style>
  <w:style w:type="paragraph" w:customStyle="1" w:styleId="SNConsultation">
    <w:name w:val="SNConsultation"/>
    <w:basedOn w:val="LO-Normal"/>
    <w:autoRedefine/>
    <w:qFormat/>
    <w:pPr>
      <w:widowControl w:val="0"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LO-Normal"/>
    <w:next w:val="SNtitre"/>
    <w:autoRedefine/>
    <w:qFormat/>
    <w:pPr>
      <w:widowControl w:val="0"/>
      <w:suppressLineNumber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LO-Normal"/>
    <w:next w:val="SNNORCentr"/>
    <w:autoRedefine/>
    <w:qFormat/>
    <w:pPr>
      <w:widowControl w:val="0"/>
      <w:suppressLineNumber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next w:val="SNAutorit"/>
    <w:qFormat/>
    <w:pPr>
      <w:suppressAutoHyphens/>
      <w:jc w:val="center"/>
    </w:pPr>
    <w:rPr>
      <w:bCs/>
      <w:sz w:val="24"/>
    </w:rPr>
  </w:style>
  <w:style w:type="paragraph" w:customStyle="1" w:styleId="SNAutorit">
    <w:name w:val="SNAutorité"/>
    <w:basedOn w:val="LO-Normal"/>
    <w:autoRedefine/>
    <w:qFormat/>
    <w:pPr>
      <w:spacing w:before="100" w:after="100"/>
      <w:ind w:firstLine="720"/>
      <w:jc w:val="both"/>
    </w:pPr>
  </w:style>
  <w:style w:type="paragraph" w:customStyle="1" w:styleId="SNSignatureprnomnomDroite">
    <w:name w:val="SNSignature prénom+nom Droite"/>
    <w:basedOn w:val="SNSignatureDroite"/>
    <w:next w:val="SNSignatureGauche"/>
    <w:qFormat/>
    <w:pPr>
      <w:spacing w:before="0" w:after="120"/>
      <w:ind w:left="5041"/>
    </w:pPr>
  </w:style>
  <w:style w:type="paragraph" w:customStyle="1" w:styleId="SNSignatureDroite">
    <w:name w:val="SNSignatureDroite"/>
    <w:basedOn w:val="LO-Normal"/>
    <w:next w:val="SNSignatureprnomnomDroite"/>
    <w:autoRedefine/>
    <w:qFormat/>
    <w:pPr>
      <w:spacing w:before="120" w:after="1680"/>
      <w:ind w:left="5040"/>
      <w:jc w:val="right"/>
    </w:pPr>
    <w:rPr>
      <w:color w:val="000000"/>
    </w:rPr>
  </w:style>
  <w:style w:type="paragraph" w:customStyle="1" w:styleId="SNSignatureGauche">
    <w:name w:val="SNSignatureGauche"/>
    <w:basedOn w:val="LO-Normal"/>
    <w:next w:val="SNSignatureprnomnomGauche"/>
    <w:autoRedefine/>
    <w:qFormat/>
    <w:pPr>
      <w:spacing w:before="120" w:after="1680"/>
      <w:ind w:left="720" w:right="4494"/>
    </w:pPr>
  </w:style>
  <w:style w:type="paragraph" w:customStyle="1" w:styleId="SNSignatureprnomnomGauche">
    <w:name w:val="SNSignature prénom+nom Gauche"/>
    <w:basedOn w:val="SNSignatureGauche"/>
    <w:next w:val="SNSignatureDroite"/>
    <w:qFormat/>
    <w:pPr>
      <w:spacing w:before="0" w:after="120"/>
    </w:pPr>
    <w:rPr>
      <w:color w:val="000000"/>
    </w:rPr>
  </w:style>
  <w:style w:type="paragraph" w:customStyle="1" w:styleId="SNTimbre">
    <w:name w:val="SNTimbre"/>
    <w:basedOn w:val="LO-Normal"/>
    <w:autoRedefine/>
    <w:qFormat/>
    <w:pPr>
      <w:widowControl w:val="0"/>
      <w:snapToGrid w:val="0"/>
      <w:spacing w:before="120" w:after="0"/>
      <w:jc w:val="center"/>
    </w:pPr>
    <w:rPr>
      <w:rFonts w:eastAsia="Lucida Sans Unicode"/>
    </w:rPr>
  </w:style>
  <w:style w:type="paragraph" w:customStyle="1" w:styleId="SNRapport">
    <w:name w:val="SNRapport"/>
    <w:basedOn w:val="LO-Normal"/>
    <w:autoRedefine/>
    <w:qFormat/>
    <w:pPr>
      <w:spacing w:before="240" w:after="120"/>
      <w:ind w:firstLine="720"/>
    </w:pPr>
  </w:style>
  <w:style w:type="paragraph" w:customStyle="1" w:styleId="SNVisa">
    <w:name w:val="SNVisa"/>
    <w:basedOn w:val="LO-Normal"/>
    <w:autoRedefine/>
    <w:qFormat/>
    <w:pPr>
      <w:spacing w:before="120" w:after="120"/>
      <w:ind w:firstLine="720"/>
      <w:jc w:val="both"/>
    </w:pPr>
  </w:style>
  <w:style w:type="paragraph" w:customStyle="1" w:styleId="SNDate">
    <w:name w:val="SNDate"/>
    <w:basedOn w:val="LO-Normal"/>
    <w:next w:val="SNContreseing"/>
    <w:autoRedefine/>
    <w:qFormat/>
    <w:pPr>
      <w:spacing w:before="480" w:after="2760"/>
      <w:ind w:firstLine="720"/>
    </w:pPr>
  </w:style>
  <w:style w:type="paragraph" w:customStyle="1" w:styleId="SNContreseing">
    <w:name w:val="SNContreseing"/>
    <w:basedOn w:val="LO-Normal"/>
    <w:next w:val="SNSignatureGauche"/>
    <w:autoRedefine/>
    <w:qFormat/>
    <w:pPr>
      <w:spacing w:before="480" w:after="0"/>
      <w:ind w:firstLine="720"/>
    </w:pPr>
  </w:style>
  <w:style w:type="paragraph" w:customStyle="1" w:styleId="SNActe">
    <w:name w:val="SNActe"/>
    <w:basedOn w:val="LO-Normal"/>
    <w:autoRedefine/>
    <w:qFormat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LO-Normal"/>
    <w:next w:val="BodyText"/>
    <w:autoRedefine/>
    <w:qFormat/>
    <w:pPr>
      <w:spacing w:before="240" w:after="240"/>
      <w:jc w:val="center"/>
    </w:pPr>
    <w:rPr>
      <w:b/>
    </w:rPr>
  </w:style>
  <w:style w:type="paragraph" w:customStyle="1" w:styleId="SNConsidrant">
    <w:name w:val="SNConsidérant"/>
    <w:basedOn w:val="LO-Normal"/>
    <w:autoRedefine/>
    <w:qFormat/>
    <w:pPr>
      <w:ind w:firstLine="720"/>
    </w:pPr>
  </w:style>
  <w:style w:type="paragraph" w:customStyle="1" w:styleId="SNConsultationCE">
    <w:name w:val="SNConsultationCE"/>
    <w:basedOn w:val="SNConsultation"/>
    <w:autoRedefine/>
    <w:qFormat/>
  </w:style>
  <w:style w:type="paragraph" w:customStyle="1" w:styleId="SNConsultationCM">
    <w:name w:val="SNConsultationCM"/>
    <w:basedOn w:val="SNConsultation"/>
    <w:autoRedefine/>
    <w:qFormat/>
  </w:style>
  <w:style w:type="paragraph" w:customStyle="1" w:styleId="SNDirection">
    <w:name w:val="SNDirection"/>
    <w:basedOn w:val="LO-Normal"/>
    <w:autoRedefine/>
    <w:qFormat/>
    <w:pPr>
      <w:spacing w:before="720" w:after="0"/>
      <w:jc w:val="center"/>
    </w:pPr>
    <w:rPr>
      <w:b/>
    </w:rPr>
  </w:style>
  <w:style w:type="paragraph" w:customStyle="1" w:styleId="SNIntitul">
    <w:name w:val="SNIntitulé"/>
    <w:basedOn w:val="LO-Normal"/>
    <w:autoRedefine/>
    <w:qFormat/>
    <w:pPr>
      <w:jc w:val="center"/>
    </w:pPr>
  </w:style>
  <w:style w:type="paragraph" w:customStyle="1" w:styleId="SNTitreRapport">
    <w:name w:val="SNTitreRapport"/>
    <w:basedOn w:val="SNActe"/>
    <w:autoRedefine/>
    <w:qFormat/>
  </w:style>
  <w:style w:type="paragraph" w:customStyle="1" w:styleId="SNRfrence">
    <w:name w:val="SNRéférence"/>
    <w:basedOn w:val="LO-Normal"/>
    <w:autoRedefine/>
    <w:qFormat/>
  </w:style>
  <w:style w:type="paragraph" w:customStyle="1" w:styleId="Textedebulles">
    <w:name w:val="Texte de bulles"/>
    <w:basedOn w:val="LO-Normal"/>
    <w:qFormat/>
    <w:rPr>
      <w:rFonts w:ascii="Tahoma" w:eastAsia="Tahoma" w:hAnsi="Tahoma" w:cs="Tahoma"/>
      <w:sz w:val="16"/>
      <w:szCs w:val="16"/>
    </w:rPr>
  </w:style>
  <w:style w:type="paragraph" w:customStyle="1" w:styleId="TITRE1OBJET">
    <w:name w:val="TITRE 1 OBJET"/>
    <w:basedOn w:val="Heading1"/>
    <w:next w:val="LO-Normal"/>
    <w:qFormat/>
    <w:pPr>
      <w:numPr>
        <w:numId w:val="0"/>
      </w:numPr>
      <w:spacing w:before="0" w:after="120"/>
    </w:pPr>
    <w:rPr>
      <w:b/>
    </w:rPr>
  </w:style>
  <w:style w:type="paragraph" w:customStyle="1" w:styleId="Titre2objet">
    <w:name w:val="Titre 2 objet"/>
    <w:basedOn w:val="Heading2"/>
    <w:next w:val="LO-Normal"/>
    <w:qFormat/>
    <w:pPr>
      <w:numPr>
        <w:ilvl w:val="0"/>
        <w:numId w:val="0"/>
      </w:numPr>
      <w:spacing w:before="0" w:after="120"/>
    </w:pPr>
    <w:rPr>
      <w:b/>
    </w:rPr>
  </w:style>
  <w:style w:type="paragraph" w:customStyle="1" w:styleId="titre3objet">
    <w:name w:val="titre 3 objet"/>
    <w:basedOn w:val="Heading3"/>
    <w:next w:val="LO-Normal"/>
    <w:qFormat/>
    <w:pPr>
      <w:numPr>
        <w:ilvl w:val="0"/>
        <w:numId w:val="0"/>
      </w:numPr>
      <w:spacing w:before="0"/>
    </w:pPr>
    <w:rPr>
      <w:b/>
      <w:szCs w:val="24"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LO-Normal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corpsdetexte">
    <w:name w:val="corps de texte"/>
    <w:basedOn w:val="LO-Normal"/>
    <w:qFormat/>
    <w:pPr>
      <w:spacing w:after="240"/>
      <w:ind w:firstLine="709"/>
      <w:jc w:val="both"/>
    </w:pPr>
  </w:style>
  <w:style w:type="paragraph" w:customStyle="1" w:styleId="Commentaire">
    <w:name w:val="Commentaire"/>
    <w:basedOn w:val="LO-Normal"/>
    <w:qFormat/>
    <w:rPr>
      <w:sz w:val="20"/>
      <w:szCs w:val="20"/>
    </w:rPr>
  </w:style>
  <w:style w:type="paragraph" w:customStyle="1" w:styleId="Paragraphedeliste">
    <w:name w:val="Paragraphe de liste"/>
    <w:basedOn w:val="LO-Normal"/>
    <w:qFormat/>
    <w:pPr>
      <w:ind w:left="720"/>
    </w:pPr>
  </w:style>
  <w:style w:type="paragraph" w:customStyle="1" w:styleId="Objetducommentaire">
    <w:name w:val="Objet du commentaire"/>
    <w:basedOn w:val="Commentaire"/>
    <w:next w:val="Commentaire"/>
    <w:qFormat/>
    <w:rPr>
      <w:b/>
      <w:bCs/>
    </w:rPr>
  </w:style>
  <w:style w:type="paragraph" w:customStyle="1" w:styleId="Citationintense">
    <w:name w:val="Citation intense"/>
    <w:basedOn w:val="LO-Normal"/>
    <w:next w:val="LO-Normal"/>
    <w:qFormat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paragraph" w:customStyle="1" w:styleId="Rvision">
    <w:name w:val="Révision"/>
    <w:qFormat/>
    <w:pPr>
      <w:suppressAutoHyphens/>
    </w:pPr>
    <w:rPr>
      <w:sz w:val="24"/>
      <w:szCs w:val="24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DocumentMap">
    <w:name w:val="DocumentMap"/>
    <w:qFormat/>
    <w:pPr>
      <w:textAlignment w:val="auto"/>
    </w:pPr>
  </w:style>
  <w:style w:type="paragraph" w:styleId="Footer">
    <w:name w:val="footer"/>
    <w:basedOn w:val="Normal"/>
    <w:link w:val="FooterChar"/>
    <w:uiPriority w:val="99"/>
    <w:unhideWhenUsed/>
    <w:rsid w:val="00451E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gifrance.gouv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subject/>
  <dc:creator>CHAUVELOT-RATTIER Raphaël (3A)</dc:creator>
  <dc:description/>
  <cp:lastModifiedBy>Ke, Tingting</cp:lastModifiedBy>
  <cp:revision>4</cp:revision>
  <cp:lastPrinted>2011-01-06T11:21:00Z</cp:lastPrinted>
  <dcterms:created xsi:type="dcterms:W3CDTF">2020-10-28T14:37:00Z</dcterms:created>
  <dcterms:modified xsi:type="dcterms:W3CDTF">2021-01-22T08:38:00Z</dcterms:modified>
  <dc:language>fr-FR</dc:language>
</cp:coreProperties>
</file>