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F0" w:rsidRPr="00E11544" w:rsidRDefault="004A68F0" w:rsidP="004A68F0">
      <w:pPr>
        <w:pStyle w:val="PlainText"/>
        <w:ind w:left="1418"/>
        <w:jc w:val="center"/>
        <w:rPr>
          <w:rStyle w:val="BodyTextChar"/>
          <w:rFonts w:ascii="Courier New" w:hAnsi="Courier New" w:cs="Courier New"/>
        </w:rPr>
      </w:pPr>
      <w:r w:rsidRPr="00E11544">
        <w:rPr>
          <w:rStyle w:val="BodyTextChar"/>
          <w:rFonts w:ascii="Courier New" w:hAnsi="Courier New"/>
        </w:rPr>
        <w:t>1. ------IND- 2018 0094 I-- HU- ------ 20180326 --- --- PROJET</w:t>
      </w:r>
    </w:p>
    <w:p w:rsidR="00952519" w:rsidRPr="00E11544" w:rsidRDefault="00952519" w:rsidP="00B310BB">
      <w:pPr>
        <w:jc w:val="center"/>
        <w:rPr>
          <w:rFonts w:ascii="Times New Roman" w:hAnsi="Times New Roman" w:cs="Times New Roman"/>
          <w:sz w:val="28"/>
          <w:szCs w:val="28"/>
        </w:rPr>
      </w:pPr>
      <w:r w:rsidRPr="00E11544">
        <w:rPr>
          <w:rFonts w:ascii="Times New Roman" w:hAnsi="Times New Roman"/>
          <w:sz w:val="28"/>
        </w:rPr>
        <w:t>RENDELET</w:t>
      </w:r>
    </w:p>
    <w:p w:rsidR="00BF7796" w:rsidRPr="00E11544" w:rsidRDefault="009E4D53" w:rsidP="00BF7796">
      <w:pPr>
        <w:jc w:val="center"/>
        <w:rPr>
          <w:rFonts w:ascii="Times New Roman" w:hAnsi="Times New Roman" w:cs="Times New Roman"/>
          <w:b/>
          <w:sz w:val="24"/>
          <w:szCs w:val="24"/>
        </w:rPr>
      </w:pPr>
      <w:r w:rsidRPr="00E11544">
        <w:rPr>
          <w:rFonts w:ascii="Times New Roman" w:hAnsi="Times New Roman"/>
          <w:b/>
          <w:sz w:val="24"/>
        </w:rPr>
        <w:t xml:space="preserve">a radiometrikus felügyelet végrehajtási módszereinek, a radiometrikus felügyeleti tanúsítványok tartalmának és a radiometrikus felügyeletnek alávetett félkész fémtermékek listájának meghatározásáról szóló, 1995. március 17-i 230. sz. módosított törvényerejű rendelet 157. cikke (3) bekezdésének végrehajtásáról </w:t>
      </w:r>
    </w:p>
    <w:p w:rsidR="00AB0F43" w:rsidRPr="00E11544" w:rsidRDefault="00AB0F43" w:rsidP="00BF7796">
      <w:pPr>
        <w:jc w:val="center"/>
        <w:rPr>
          <w:rFonts w:ascii="Times New Roman" w:hAnsi="Times New Roman" w:cs="Times New Roman"/>
          <w:b/>
          <w:sz w:val="24"/>
          <w:szCs w:val="24"/>
        </w:rPr>
      </w:pPr>
    </w:p>
    <w:p w:rsidR="000501D0" w:rsidRPr="00E11544" w:rsidRDefault="00B310BB" w:rsidP="000501D0">
      <w:pPr>
        <w:jc w:val="center"/>
        <w:rPr>
          <w:rFonts w:ascii="Times New Roman" w:hAnsi="Times New Roman" w:cs="Times New Roman"/>
          <w:sz w:val="24"/>
          <w:szCs w:val="24"/>
        </w:rPr>
      </w:pPr>
      <w:r w:rsidRPr="00E11544">
        <w:rPr>
          <w:rFonts w:ascii="Times New Roman" w:hAnsi="Times New Roman"/>
          <w:sz w:val="24"/>
        </w:rPr>
        <w:t>A GAZDASÁGFEJLESZTÉSI MINISZTER</w:t>
      </w:r>
    </w:p>
    <w:p w:rsidR="00AB0F43" w:rsidRPr="00E11544" w:rsidRDefault="00B310BB" w:rsidP="00AB0F43">
      <w:pPr>
        <w:jc w:val="center"/>
        <w:rPr>
          <w:rFonts w:ascii="Times New Roman" w:hAnsi="Times New Roman" w:cs="Times New Roman"/>
          <w:sz w:val="24"/>
          <w:szCs w:val="24"/>
        </w:rPr>
      </w:pPr>
      <w:r w:rsidRPr="00E11544">
        <w:rPr>
          <w:rFonts w:ascii="Times New Roman" w:hAnsi="Times New Roman"/>
          <w:sz w:val="24"/>
        </w:rPr>
        <w:t xml:space="preserve">EGYETÉRTÉSBEN </w:t>
      </w:r>
    </w:p>
    <w:p w:rsidR="00AB0F43" w:rsidRPr="00E11544" w:rsidRDefault="001B3A1F" w:rsidP="00AB0F43">
      <w:pPr>
        <w:jc w:val="center"/>
        <w:rPr>
          <w:rFonts w:ascii="Times New Roman" w:hAnsi="Times New Roman" w:cs="Times New Roman"/>
          <w:sz w:val="24"/>
          <w:szCs w:val="24"/>
        </w:rPr>
      </w:pPr>
      <w:r w:rsidRPr="00E11544">
        <w:rPr>
          <w:rFonts w:ascii="Times New Roman" w:hAnsi="Times New Roman"/>
          <w:sz w:val="24"/>
        </w:rPr>
        <w:t>AZ EURÓPAI ÜGYEKÉRT FELELŐS ÁLLAMTITKÁRRAL</w:t>
      </w:r>
    </w:p>
    <w:p w:rsidR="00AB0F43" w:rsidRPr="00E11544" w:rsidRDefault="001B3A1F" w:rsidP="00AB0F43">
      <w:pPr>
        <w:jc w:val="center"/>
        <w:rPr>
          <w:rFonts w:ascii="Times New Roman" w:hAnsi="Times New Roman" w:cs="Times New Roman"/>
          <w:sz w:val="24"/>
          <w:szCs w:val="24"/>
        </w:rPr>
      </w:pPr>
      <w:r w:rsidRPr="00E11544">
        <w:rPr>
          <w:rFonts w:ascii="Times New Roman" w:hAnsi="Times New Roman"/>
          <w:sz w:val="24"/>
        </w:rPr>
        <w:t>AZ EGÉSZSÉGÜGYI MINISZTERREL</w:t>
      </w:r>
    </w:p>
    <w:p w:rsidR="001B3A1F" w:rsidRPr="00E11544" w:rsidRDefault="001B3A1F" w:rsidP="00AB0F43">
      <w:pPr>
        <w:jc w:val="center"/>
        <w:rPr>
          <w:rFonts w:ascii="Times New Roman" w:hAnsi="Times New Roman" w:cs="Times New Roman"/>
          <w:sz w:val="24"/>
          <w:szCs w:val="24"/>
        </w:rPr>
      </w:pPr>
      <w:r w:rsidRPr="00E11544">
        <w:rPr>
          <w:rFonts w:ascii="Times New Roman" w:hAnsi="Times New Roman"/>
          <w:sz w:val="24"/>
        </w:rPr>
        <w:t xml:space="preserve">A KÖRNYEZET- ÉS TÁJVÉDELMI, VALAMINT TENGERÜGYI MINISZTERREL </w:t>
      </w:r>
    </w:p>
    <w:p w:rsidR="00AB0F43" w:rsidRPr="00E11544" w:rsidRDefault="001B3A1F" w:rsidP="00AB0F43">
      <w:pPr>
        <w:jc w:val="center"/>
        <w:rPr>
          <w:rFonts w:ascii="Times New Roman" w:hAnsi="Times New Roman" w:cs="Times New Roman"/>
          <w:sz w:val="24"/>
          <w:szCs w:val="24"/>
        </w:rPr>
      </w:pPr>
      <w:r w:rsidRPr="00E11544">
        <w:rPr>
          <w:rFonts w:ascii="Times New Roman" w:hAnsi="Times New Roman"/>
          <w:sz w:val="24"/>
        </w:rPr>
        <w:t>A MUNKAÜGYI ÉS SZOCIÁLPOLITIKAI MINISZTERREL</w:t>
      </w:r>
    </w:p>
    <w:p w:rsidR="00AB0F43" w:rsidRPr="00E11544" w:rsidRDefault="001B3A1F" w:rsidP="00AB0F43">
      <w:pPr>
        <w:jc w:val="center"/>
        <w:rPr>
          <w:rFonts w:ascii="Times New Roman" w:hAnsi="Times New Roman" w:cs="Times New Roman"/>
          <w:sz w:val="24"/>
          <w:szCs w:val="24"/>
        </w:rPr>
      </w:pPr>
      <w:r w:rsidRPr="00E11544">
        <w:rPr>
          <w:rFonts w:ascii="Times New Roman" w:hAnsi="Times New Roman"/>
          <w:sz w:val="24"/>
        </w:rPr>
        <w:t>A BELÜGYMINISZTERREL</w:t>
      </w:r>
    </w:p>
    <w:p w:rsidR="00AB0F43" w:rsidRPr="00E11544" w:rsidRDefault="001B3A1F" w:rsidP="00AB0F43">
      <w:pPr>
        <w:jc w:val="center"/>
        <w:rPr>
          <w:rFonts w:ascii="Times New Roman" w:hAnsi="Times New Roman" w:cs="Times New Roman"/>
          <w:sz w:val="24"/>
          <w:szCs w:val="24"/>
        </w:rPr>
      </w:pPr>
      <w:r w:rsidRPr="00E11544">
        <w:rPr>
          <w:rFonts w:ascii="Times New Roman" w:hAnsi="Times New Roman"/>
          <w:sz w:val="24"/>
        </w:rPr>
        <w:t>A GAZDASÁGI ÉS PÉNZÜGYMINISZTERREL</w:t>
      </w:r>
    </w:p>
    <w:p w:rsidR="00B310BB" w:rsidRPr="00E11544" w:rsidRDefault="001B3A1F" w:rsidP="00AB0F43">
      <w:pPr>
        <w:jc w:val="center"/>
        <w:rPr>
          <w:rFonts w:ascii="Times New Roman" w:hAnsi="Times New Roman" w:cs="Times New Roman"/>
          <w:sz w:val="24"/>
          <w:szCs w:val="24"/>
        </w:rPr>
      </w:pPr>
      <w:r w:rsidRPr="00E11544">
        <w:rPr>
          <w:rFonts w:ascii="Times New Roman" w:hAnsi="Times New Roman"/>
          <w:sz w:val="24"/>
        </w:rPr>
        <w:t>AZ INFRASTRUKTÚRAÜGYI ÉS KÖZLEKEDÉSI MINISZTERREL</w:t>
      </w:r>
    </w:p>
    <w:p w:rsidR="00B310BB" w:rsidRPr="00E11544" w:rsidRDefault="00B310BB" w:rsidP="00C213BF">
      <w:pPr>
        <w:jc w:val="both"/>
        <w:rPr>
          <w:rFonts w:ascii="Times New Roman" w:hAnsi="Times New Roman" w:cs="Times New Roman"/>
          <w:sz w:val="24"/>
          <w:szCs w:val="24"/>
        </w:rPr>
      </w:pPr>
    </w:p>
    <w:p w:rsidR="002938E4" w:rsidRPr="00E11544" w:rsidRDefault="002938E4" w:rsidP="00114FDF">
      <w:pPr>
        <w:spacing w:line="240" w:lineRule="auto"/>
        <w:jc w:val="both"/>
        <w:rPr>
          <w:rFonts w:ascii="Times New Roman" w:hAnsi="Times New Roman" w:cs="Times New Roman"/>
          <w:sz w:val="24"/>
          <w:szCs w:val="24"/>
        </w:rPr>
      </w:pPr>
      <w:r w:rsidRPr="00E11544">
        <w:rPr>
          <w:rFonts w:ascii="Times New Roman" w:hAnsi="Times New Roman"/>
          <w:sz w:val="24"/>
        </w:rPr>
        <w:t xml:space="preserve">TEKINTETTEL az ionizáló sugárzás területén a 89/618/Euratom, a 90/641/Euratom, 96/29/Euratom és a 2006/117/Euratom tanácsi irányelv, a nukleáris létesítmények nukleáris biztonsági közösségi keretrendszerének létrehozásáról szóló, 2009. június 25-i 2009/71/Euratom tanácsi irányelv, valamint a kiégett fűtőelemek és a radioaktív hulladékok felelősségteljes és biztonságos kezelését szolgáló közösségi keret létrehozásáról szóló, 2011. július 19-i 2011/70/Euratom tanácsi irányelv végrehajtásáról szóló, 1995. március 17-i 230. sz. módosított törvényerejű rendeletre; </w:t>
      </w:r>
    </w:p>
    <w:p w:rsidR="00C22B35" w:rsidRPr="00E11544" w:rsidRDefault="00B310BB" w:rsidP="00146EE7">
      <w:pPr>
        <w:spacing w:line="240" w:lineRule="auto"/>
        <w:jc w:val="both"/>
        <w:rPr>
          <w:rFonts w:ascii="Times New Roman" w:hAnsi="Times New Roman" w:cs="Times New Roman"/>
          <w:sz w:val="24"/>
          <w:szCs w:val="24"/>
        </w:rPr>
      </w:pPr>
      <w:r w:rsidRPr="00E11544">
        <w:rPr>
          <w:rFonts w:ascii="Times New Roman" w:hAnsi="Times New Roman"/>
          <w:sz w:val="24"/>
        </w:rPr>
        <w:t>TEKINTETTEL a 2006/117/Euratom irányelv végrehajtásáról szóló, 2009. február 20-i 23. sz. törvényerejű rendelethez fűzött kiegészítő és korrekciós rendelkezések megállapításáról szóló, 2011. június 1-jei 100. sz. törvényerejű rendeletre, amelynek 1. cikke különösen a fent említett 1995. március 17-i törvényerejű rendeletnek a kiégett fűtőelemek és radioaktív hulladékok szállításának felügyeletéről és ellenőrzéséről – az anyagok vagy félkész fémtermékek radiometrikus felügyeletéről szóló 157. cikkét módosítja;</w:t>
      </w:r>
    </w:p>
    <w:p w:rsidR="00B310BB" w:rsidRPr="00E11544" w:rsidRDefault="00B310BB" w:rsidP="00146EE7">
      <w:pPr>
        <w:tabs>
          <w:tab w:val="left" w:pos="0"/>
        </w:tabs>
        <w:spacing w:line="240" w:lineRule="auto"/>
        <w:jc w:val="both"/>
        <w:rPr>
          <w:rFonts w:ascii="Times New Roman" w:hAnsi="Times New Roman" w:cs="Times New Roman"/>
          <w:sz w:val="24"/>
          <w:szCs w:val="24"/>
        </w:rPr>
      </w:pPr>
      <w:r w:rsidRPr="00E11544">
        <w:rPr>
          <w:rFonts w:ascii="Times New Roman" w:hAnsi="Times New Roman"/>
          <w:sz w:val="24"/>
        </w:rPr>
        <w:t xml:space="preserve">TEKINTETTEL az 1995. március 17-i 230. sz. törvényerejű rendeletre, és különösen 157. cikkének (3) bekezdésére – amelyet a gazdaságfejlesztési miniszter rendelete útján, az európai politikai ügyekért felelős, az egészségügyi, a környezet- és tájvédelmi, valamint a tengerügyi, a munkaügyi és szociálpolitikai, a belügy-, a gazdasági és pénzügy-, az infrastruktúraügyi és közlekedési miniszterrel egyetértésben, a Vám‑ és Monopóliumügyi Hivatallal és az olasz Környezetvédelmi Kutatóintézettel (ISPRA) folytatott konzultációt, valamint a 98/34/EK irányelvvel </w:t>
      </w:r>
      <w:r w:rsidRPr="00E11544">
        <w:rPr>
          <w:rFonts w:ascii="Times New Roman" w:hAnsi="Times New Roman"/>
          <w:sz w:val="24"/>
          <w:highlight w:val="yellow"/>
        </w:rPr>
        <w:t>(jelenleg (EU) 2015/1535 irányelv)</w:t>
      </w:r>
      <w:r w:rsidRPr="00E11544">
        <w:rPr>
          <w:rFonts w:ascii="Times New Roman" w:hAnsi="Times New Roman"/>
          <w:sz w:val="24"/>
        </w:rPr>
        <w:t xml:space="preserve"> összhangban az Európai Bizottságnak és a kereskedelem technikai akadályairól szóló, 1995. január 1-je óta hatályos megállapodással összhangban a Kereskedelmi </w:t>
      </w:r>
      <w:r w:rsidRPr="00E11544">
        <w:rPr>
          <w:rFonts w:ascii="Times New Roman" w:hAnsi="Times New Roman"/>
          <w:sz w:val="24"/>
        </w:rPr>
        <w:lastRenderedPageBreak/>
        <w:t>Világszervezetnek történő bejelentést követően bocsátandó ki –, amely meghatározza a radiometrikus felügyelet végrehajtási módszereit, a radiometrikus felügyeleti tanúsítványok tartalmát és a radiometrikus felügyeletnek alávetett félkész fémtermékek listáját;</w:t>
      </w:r>
    </w:p>
    <w:p w:rsidR="00A756ED" w:rsidRPr="00E11544" w:rsidRDefault="00A756ED" w:rsidP="00146EE7">
      <w:pPr>
        <w:tabs>
          <w:tab w:val="left" w:pos="0"/>
        </w:tabs>
        <w:spacing w:line="240" w:lineRule="auto"/>
        <w:jc w:val="both"/>
        <w:rPr>
          <w:rFonts w:ascii="Times New Roman" w:hAnsi="Times New Roman" w:cs="Times New Roman"/>
          <w:sz w:val="24"/>
          <w:szCs w:val="24"/>
        </w:rPr>
      </w:pPr>
      <w:r w:rsidRPr="00E11544">
        <w:rPr>
          <w:rFonts w:ascii="Times New Roman" w:hAnsi="Times New Roman"/>
          <w:sz w:val="24"/>
        </w:rPr>
        <w:t>TEKINTETTEL a radioaktivitás-figyelő rendszerek beszerzéséről és telepítéséről szóló, 1996. augusztus 8-i 421. sz. törvénnyel átalakított és módosított, 1996. június 17-i 321. sz. rendelettörvényre, és különösen annak 10. cikkére;</w:t>
      </w:r>
    </w:p>
    <w:p w:rsidR="00A756ED" w:rsidRPr="00E11544" w:rsidRDefault="00A756ED" w:rsidP="00146EE7">
      <w:pPr>
        <w:tabs>
          <w:tab w:val="left" w:pos="0"/>
        </w:tabs>
        <w:spacing w:line="240" w:lineRule="auto"/>
        <w:jc w:val="both"/>
        <w:rPr>
          <w:rFonts w:ascii="Times New Roman" w:hAnsi="Times New Roman" w:cs="Times New Roman"/>
          <w:sz w:val="24"/>
          <w:szCs w:val="24"/>
        </w:rPr>
      </w:pPr>
      <w:r w:rsidRPr="00E11544">
        <w:rPr>
          <w:rFonts w:ascii="Times New Roman" w:hAnsi="Times New Roman"/>
          <w:sz w:val="24"/>
        </w:rPr>
        <w:t>TEKINTETTEL az 1995. május 22-i pénzügyminiszteri rendeletre, amely meghatározza azon határátkelőhelyeket, amelyeken az anyagok radioaktivitásának automatikus kimutatása érdekében a kapuknál elhelyezett szcintillációs rendszerek telepítése szükséges;</w:t>
      </w:r>
    </w:p>
    <w:p w:rsidR="00F66476" w:rsidRPr="00E11544" w:rsidRDefault="009E4D53" w:rsidP="000501D0">
      <w:pPr>
        <w:tabs>
          <w:tab w:val="left" w:pos="0"/>
        </w:tabs>
        <w:spacing w:line="240" w:lineRule="auto"/>
        <w:jc w:val="both"/>
        <w:rPr>
          <w:rFonts w:ascii="Times New Roman" w:hAnsi="Times New Roman" w:cs="Times New Roman"/>
          <w:sz w:val="24"/>
          <w:szCs w:val="24"/>
        </w:rPr>
      </w:pPr>
      <w:r w:rsidRPr="00E11544">
        <w:rPr>
          <w:rFonts w:ascii="Times New Roman" w:hAnsi="Times New Roman"/>
          <w:sz w:val="24"/>
        </w:rPr>
        <w:t>TEKINTETTEL a nagy aktivitású zárt radioaktív sugárforrások és a gazdátlan sugárforrások ellenőrzéséről szóló, 2003. december 22-i 2003/122/Euratom tanácsi irányelv végrehajtásáról szóló, 2007. február 6-i 52. sz. törvényerejű rendeletre, és különösen annak a gazdátlan sugárforrások helyének meghatározására és értékelésére szolgáló rendszerek bevezetéséről szóló 15. cikkére;</w:t>
      </w:r>
    </w:p>
    <w:p w:rsidR="00BF7796" w:rsidRPr="00E11544" w:rsidRDefault="009E4D53" w:rsidP="00687712">
      <w:pPr>
        <w:spacing w:line="240" w:lineRule="auto"/>
        <w:jc w:val="both"/>
        <w:rPr>
          <w:rFonts w:ascii="Times New Roman" w:hAnsi="Times New Roman" w:cs="Times New Roman"/>
          <w:sz w:val="24"/>
          <w:szCs w:val="24"/>
        </w:rPr>
      </w:pPr>
      <w:r w:rsidRPr="00E11544">
        <w:rPr>
          <w:rFonts w:ascii="Times New Roman" w:hAnsi="Times New Roman"/>
          <w:sz w:val="24"/>
        </w:rPr>
        <w:t>TEKINTETTEL az Európai Közösséget létrehozó szerződés 174. cikkének (2) bekezdésére az elővigyázatosság elve tekintetében, amely kimondja, hogy az emberi egészséget és a környezetet fenyegető veszélyek esetében, ideértve a potenciális veszélyeket is, magas szintű védelmet kell biztosítani;</w:t>
      </w:r>
    </w:p>
    <w:p w:rsidR="00F044D6" w:rsidRPr="00E11544" w:rsidRDefault="00F044D6" w:rsidP="00146EE7">
      <w:pPr>
        <w:spacing w:line="240" w:lineRule="auto"/>
        <w:jc w:val="both"/>
        <w:rPr>
          <w:rFonts w:ascii="Times New Roman" w:hAnsi="Times New Roman" w:cs="Times New Roman"/>
          <w:sz w:val="24"/>
          <w:szCs w:val="24"/>
        </w:rPr>
      </w:pPr>
      <w:r w:rsidRPr="00E11544">
        <w:rPr>
          <w:rFonts w:ascii="Times New Roman" w:hAnsi="Times New Roman"/>
          <w:sz w:val="24"/>
        </w:rPr>
        <w:t>TEKINTETTEL az 1988. augusztus 23-i 400. számú törvény 17. cikkének (3) bekezdésére;</w:t>
      </w:r>
    </w:p>
    <w:p w:rsidR="00EC6946" w:rsidRPr="00E11544" w:rsidRDefault="001E58F8" w:rsidP="00146EE7">
      <w:pPr>
        <w:spacing w:line="240" w:lineRule="auto"/>
        <w:jc w:val="both"/>
        <w:rPr>
          <w:rFonts w:ascii="Times New Roman" w:eastAsia="Times New Roman" w:hAnsi="Times New Roman"/>
          <w:sz w:val="24"/>
          <w:szCs w:val="24"/>
        </w:rPr>
      </w:pPr>
      <w:r w:rsidRPr="00E11544">
        <w:rPr>
          <w:rFonts w:ascii="Times New Roman" w:hAnsi="Times New Roman"/>
          <w:sz w:val="24"/>
        </w:rPr>
        <w:t>TEKINTETTEL a 2014. március 4-i 45. sz. törvényerejű rendeletre, és különösen annak 6. cikkére, amely létrehozza a Nemzeti Nukleáris Biztonsági és Sugárvédelmi Felügyeletet (ISIN) mint a nukleáris biztonságért és a sugárvédelemért felelős szabályozó hatóságot, és meghatározza többek között annak feladatait, valamint tekintettel a 9. cikkre, amely átmenetileg az ISPRA Technológiai és Ipari Kockázatokért Felelős és Nukleáris Osztályát jelöli ki e feladatok ellátására a felügyelet belső szervezetének és működésének meghatározásáról szóló rendelet hatálybalépéséig;</w:t>
      </w:r>
    </w:p>
    <w:p w:rsidR="00B144CD" w:rsidRPr="00E11544" w:rsidRDefault="00B144CD" w:rsidP="00146EE7">
      <w:pPr>
        <w:spacing w:line="240" w:lineRule="auto"/>
        <w:jc w:val="both"/>
        <w:rPr>
          <w:rFonts w:ascii="Times New Roman" w:hAnsi="Times New Roman" w:cs="Times New Roman"/>
          <w:sz w:val="24"/>
          <w:szCs w:val="24"/>
        </w:rPr>
      </w:pPr>
      <w:r w:rsidRPr="00E11544">
        <w:rPr>
          <w:rFonts w:ascii="Times New Roman" w:hAnsi="Times New Roman"/>
          <w:sz w:val="24"/>
        </w:rPr>
        <w:t>MIVEL e rendelet megszünteti a 2011. június 1-jei 100. sz. törvényerejű rendelet 2. cikkében szereplő, a félkész fémtermékek kötelező radiometrikus felügyeletére vonatkozó ideiglenes rendszert, és a vonatkozó előírások így hatályukat vesztik, a helyükbe pedig e rendelet hatályba lépésétől számítva annak előírásai lépnek;</w:t>
      </w:r>
    </w:p>
    <w:p w:rsidR="008162CB" w:rsidRPr="00E11544" w:rsidRDefault="00E50D7C" w:rsidP="00146EE7">
      <w:pPr>
        <w:spacing w:line="240" w:lineRule="auto"/>
        <w:jc w:val="both"/>
        <w:rPr>
          <w:rFonts w:ascii="Times New Roman" w:hAnsi="Times New Roman" w:cs="Times New Roman"/>
          <w:strike/>
          <w:sz w:val="24"/>
          <w:szCs w:val="24"/>
        </w:rPr>
      </w:pPr>
      <w:r w:rsidRPr="00E11544">
        <w:rPr>
          <w:rFonts w:ascii="Times New Roman" w:hAnsi="Times New Roman"/>
          <w:sz w:val="24"/>
        </w:rPr>
        <w:t xml:space="preserve">MIVEL előrelépések történtek a fémhulladékok és az egyéb fém melléktermékek, valamint a félkész fémtermékek radiometrikus felügyeletének terén a rendellenes radioaktivitási szint és bármely használaton kívüli sugárforrás kimutatásának érdekében; </w:t>
      </w:r>
    </w:p>
    <w:p w:rsidR="00231A56" w:rsidRPr="00E11544" w:rsidRDefault="00E50D7C" w:rsidP="00146EE7">
      <w:pPr>
        <w:spacing w:line="240" w:lineRule="auto"/>
        <w:jc w:val="both"/>
        <w:rPr>
          <w:rFonts w:ascii="Times New Roman" w:hAnsi="Times New Roman" w:cs="Times New Roman"/>
          <w:sz w:val="24"/>
          <w:szCs w:val="24"/>
        </w:rPr>
      </w:pPr>
      <w:r w:rsidRPr="00E11544">
        <w:rPr>
          <w:rFonts w:ascii="Times New Roman" w:hAnsi="Times New Roman"/>
          <w:sz w:val="24"/>
        </w:rPr>
        <w:t xml:space="preserve">MIVEL a félkész fémtermékeknek a 2011. június 1-jei 100. sz. törvényerejű rendelet I. mellékletében említett listájával kapcsolatos termékkategóriák azonosító kódjait a nemzetközi változásokkal összhangban aktualizálni kell; </w:t>
      </w:r>
    </w:p>
    <w:p w:rsidR="004213AA" w:rsidRPr="00E11544" w:rsidRDefault="00146EE7" w:rsidP="00146EE7">
      <w:pPr>
        <w:spacing w:line="240" w:lineRule="auto"/>
        <w:jc w:val="both"/>
        <w:rPr>
          <w:rFonts w:ascii="Times New Roman" w:hAnsi="Times New Roman" w:cs="Times New Roman"/>
          <w:sz w:val="24"/>
          <w:szCs w:val="24"/>
        </w:rPr>
      </w:pPr>
      <w:r w:rsidRPr="00E11544">
        <w:rPr>
          <w:rFonts w:ascii="Times New Roman" w:hAnsi="Times New Roman"/>
          <w:sz w:val="24"/>
        </w:rPr>
        <w:t>a Vám‑ és Monopóliumügyi Hivatallal folytatott konzultációt követően;</w:t>
      </w:r>
    </w:p>
    <w:p w:rsidR="00836745" w:rsidRPr="00E11544" w:rsidRDefault="004F1DE0" w:rsidP="00146EE7">
      <w:pPr>
        <w:spacing w:line="240" w:lineRule="auto"/>
        <w:jc w:val="both"/>
        <w:rPr>
          <w:rFonts w:ascii="Times New Roman" w:hAnsi="Times New Roman" w:cs="Times New Roman"/>
          <w:sz w:val="24"/>
          <w:szCs w:val="24"/>
        </w:rPr>
      </w:pPr>
      <w:r w:rsidRPr="00E11544">
        <w:rPr>
          <w:rFonts w:ascii="Times New Roman" w:hAnsi="Times New Roman"/>
          <w:sz w:val="24"/>
        </w:rPr>
        <w:t>az olasz Környezetvédelmi Kutatóintézet Technológiai és Ipari Kockázatokért Felelős és Nukleáris Osztályával folytatott konzultációt követően;</w:t>
      </w:r>
    </w:p>
    <w:p w:rsidR="00231A56" w:rsidRPr="00E11544" w:rsidRDefault="00231A56" w:rsidP="00146EE7">
      <w:pPr>
        <w:spacing w:line="240" w:lineRule="auto"/>
        <w:jc w:val="both"/>
        <w:rPr>
          <w:rFonts w:ascii="Times New Roman" w:hAnsi="Times New Roman" w:cs="Times New Roman"/>
          <w:sz w:val="24"/>
          <w:szCs w:val="24"/>
        </w:rPr>
      </w:pPr>
      <w:r w:rsidRPr="00E11544">
        <w:rPr>
          <w:rFonts w:ascii="Times New Roman" w:hAnsi="Times New Roman"/>
          <w:sz w:val="24"/>
        </w:rPr>
        <w:t>az 1995. március 17-i 230. sz. törvényerejű rendelet 161. cikkével összhangban, az állam, a régiók, valamint Trento és Bolzano autonóm tartományok közötti kapcsolatokért felelős állandó konferenciájával folytatott konzultációt követően;</w:t>
      </w:r>
    </w:p>
    <w:p w:rsidR="00B310BB" w:rsidRPr="00E11544" w:rsidRDefault="004213AA" w:rsidP="00146EE7">
      <w:pPr>
        <w:spacing w:line="240" w:lineRule="auto"/>
        <w:jc w:val="both"/>
        <w:rPr>
          <w:rFonts w:ascii="Times New Roman" w:hAnsi="Times New Roman" w:cs="Times New Roman"/>
          <w:sz w:val="24"/>
          <w:szCs w:val="24"/>
        </w:rPr>
      </w:pPr>
      <w:r w:rsidRPr="00E11544">
        <w:rPr>
          <w:rFonts w:ascii="Times New Roman" w:hAnsi="Times New Roman"/>
          <w:sz w:val="24"/>
        </w:rPr>
        <w:lastRenderedPageBreak/>
        <w:t>az</w:t>
      </w:r>
      <w:r w:rsidRPr="00E11544">
        <w:rPr>
          <w:rFonts w:ascii="Times New Roman" w:hAnsi="Times New Roman"/>
          <w:sz w:val="24"/>
          <w:highlight w:val="yellow"/>
        </w:rPr>
        <w:t xml:space="preserve"> (EU) 2015/1535 irányelvvel</w:t>
      </w:r>
      <w:r w:rsidRPr="00E11544">
        <w:rPr>
          <w:rFonts w:ascii="Times New Roman" w:hAnsi="Times New Roman"/>
          <w:sz w:val="24"/>
        </w:rPr>
        <w:t xml:space="preserve"> összhangban az Európai Bizottságnak és a kereskedelem technikai akadályairól szóló, 1995. január 1-je óta hatályos megállapodással összhangban a Kereskedelmi Világszervezetnek történő bejelentési eljárás teljesítését követőn, </w:t>
      </w:r>
    </w:p>
    <w:p w:rsidR="00A91928" w:rsidRPr="00E11544" w:rsidRDefault="009E4D53" w:rsidP="00146EE7">
      <w:pPr>
        <w:spacing w:line="240" w:lineRule="auto"/>
        <w:jc w:val="both"/>
        <w:rPr>
          <w:rFonts w:ascii="Times New Roman" w:hAnsi="Times New Roman" w:cs="Times New Roman"/>
          <w:sz w:val="24"/>
          <w:szCs w:val="24"/>
        </w:rPr>
      </w:pPr>
      <w:r w:rsidRPr="00E11544">
        <w:rPr>
          <w:rFonts w:ascii="Times New Roman" w:hAnsi="Times New Roman"/>
          <w:sz w:val="24"/>
          <w:highlight w:val="yellow"/>
        </w:rPr>
        <w:t>Az államtanács _________________-i plenáris ülése keretében a jogi aktusok konzultációs ülése során kifejezett állásfoglalásának kézhezvételét követően</w:t>
      </w:r>
    </w:p>
    <w:p w:rsidR="004213AA" w:rsidRPr="00E11544" w:rsidRDefault="004213AA" w:rsidP="004213AA">
      <w:pPr>
        <w:jc w:val="center"/>
        <w:rPr>
          <w:rFonts w:ascii="Times New Roman" w:hAnsi="Times New Roman" w:cs="Times New Roman"/>
          <w:b/>
          <w:sz w:val="24"/>
          <w:szCs w:val="24"/>
        </w:rPr>
      </w:pPr>
      <w:r w:rsidRPr="00E11544">
        <w:rPr>
          <w:rFonts w:ascii="Times New Roman" w:hAnsi="Times New Roman"/>
          <w:b/>
          <w:sz w:val="24"/>
        </w:rPr>
        <w:t>A KÖVETKEZŐKET RENDELI EL:</w:t>
      </w:r>
    </w:p>
    <w:p w:rsidR="002A06FD" w:rsidRPr="00E11544" w:rsidRDefault="002A06FD" w:rsidP="00160CDF">
      <w:pPr>
        <w:spacing w:after="0" w:line="240" w:lineRule="auto"/>
        <w:jc w:val="center"/>
        <w:rPr>
          <w:rFonts w:ascii="Times New Roman" w:hAnsi="Times New Roman" w:cs="Times New Roman"/>
          <w:sz w:val="24"/>
          <w:szCs w:val="24"/>
        </w:rPr>
      </w:pPr>
      <w:r w:rsidRPr="00E11544">
        <w:rPr>
          <w:rFonts w:ascii="Times New Roman" w:hAnsi="Times New Roman"/>
          <w:sz w:val="24"/>
        </w:rPr>
        <w:t>1. cikk</w:t>
      </w:r>
    </w:p>
    <w:p w:rsidR="001E58F8" w:rsidRPr="00E11544" w:rsidRDefault="001E58F8" w:rsidP="001E58F8">
      <w:pPr>
        <w:jc w:val="center"/>
        <w:rPr>
          <w:rFonts w:ascii="Times New Roman" w:hAnsi="Times New Roman"/>
          <w:i/>
          <w:sz w:val="24"/>
          <w:szCs w:val="24"/>
        </w:rPr>
      </w:pPr>
      <w:r w:rsidRPr="00E11544">
        <w:rPr>
          <w:rFonts w:ascii="Times New Roman" w:hAnsi="Times New Roman"/>
          <w:i/>
          <w:sz w:val="24"/>
        </w:rPr>
        <w:t>Cél és alkalmazási kör</w:t>
      </w:r>
    </w:p>
    <w:p w:rsidR="001E58F8" w:rsidRPr="00E11544" w:rsidRDefault="001E58F8" w:rsidP="009C46FC">
      <w:pPr>
        <w:pStyle w:val="ListParagraph"/>
        <w:numPr>
          <w:ilvl w:val="0"/>
          <w:numId w:val="10"/>
        </w:numPr>
        <w:spacing w:after="0" w:line="240" w:lineRule="auto"/>
        <w:jc w:val="both"/>
        <w:rPr>
          <w:rFonts w:ascii="Times New Roman" w:hAnsi="Times New Roman" w:cs="Times New Roman"/>
          <w:sz w:val="24"/>
          <w:szCs w:val="24"/>
        </w:rPr>
      </w:pPr>
      <w:r w:rsidRPr="00E11544">
        <w:rPr>
          <w:rFonts w:ascii="Times New Roman" w:hAnsi="Times New Roman"/>
          <w:sz w:val="24"/>
        </w:rPr>
        <w:t>E rendelet az 1995. március 17-i 230. sz. törvényerejű rendelet 157. cikkének (1) bekezdésében említett radiometrikus felügyelet végrehajtására irányuló eljárásokat határozza meg azon gazdálkodó egységek esetében, amelyek ipari vagy kereskedelmi célból fémhulladékok vagy egyéb fém melléktermékek behozatalára, gyűjtésére, tárolására, illetve beolvasztására irányuló tevékenységet végeznek, valamint azon gazdálkodó egységek esetében, amelyek ipari vagy kereskedelmi célból félkész fémtermékek behozatalára irányuló tevékenységet végeznek, a rendellenes radioaktivitási szintek és a használaton kívüli lehetséges sugárforrások kimutatása és a munkavállalók és a lakosság egészségének azon eseményektől való védelme érdekében, amelyek ionizáló sugárzásnak való kitettséget eredményezhetnek, valamint a környezet szennyezésének megakadályozása céljából.</w:t>
      </w:r>
    </w:p>
    <w:p w:rsidR="00224337" w:rsidRPr="00E11544" w:rsidRDefault="009C46FC" w:rsidP="00073A90">
      <w:pPr>
        <w:pStyle w:val="ListParagraph"/>
        <w:numPr>
          <w:ilvl w:val="0"/>
          <w:numId w:val="10"/>
        </w:numPr>
        <w:spacing w:after="0" w:line="240" w:lineRule="auto"/>
        <w:jc w:val="both"/>
        <w:rPr>
          <w:rFonts w:ascii="Times New Roman" w:hAnsi="Times New Roman" w:cs="Times New Roman"/>
          <w:sz w:val="24"/>
          <w:szCs w:val="24"/>
        </w:rPr>
      </w:pPr>
      <w:r w:rsidRPr="00E11544">
        <w:rPr>
          <w:rFonts w:ascii="Times New Roman" w:hAnsi="Times New Roman"/>
          <w:sz w:val="24"/>
        </w:rPr>
        <w:t>E rendelet meghatározza továbbá az 1995. március 17-i 230. sz. törvényerejű rendelet 157. cikkének (2) bekezdésében említett, a végrehajtott radiometrikus felügyeletről szóló tanúsítvány tartalmát, a radiometrikus felügyeletnek alávetett félkész fémtermékek listáját, amely hatályon kívül helyezi a 2011. június 1-jei 100. sz. törvényerejű rendelet I. mellékletét, valamint a fémhulladékok vagy az egyéb fém melléktermékek és a félkész fémtermékek behozott rakományainak származási helyén végzett radiometrikus vizsgálatok tanúsítványainak kölcsönös elismerését a vámeljárások során.</w:t>
      </w:r>
    </w:p>
    <w:p w:rsidR="00146EE7" w:rsidRPr="00E11544" w:rsidRDefault="00146EE7" w:rsidP="00160CDF">
      <w:pPr>
        <w:spacing w:after="0"/>
        <w:ind w:left="360"/>
        <w:jc w:val="both"/>
        <w:rPr>
          <w:rFonts w:ascii="Times New Roman" w:hAnsi="Times New Roman" w:cs="Times New Roman"/>
          <w:i/>
          <w:sz w:val="24"/>
          <w:szCs w:val="24"/>
        </w:rPr>
      </w:pPr>
    </w:p>
    <w:p w:rsidR="006F7602" w:rsidRPr="00E11544" w:rsidRDefault="002028A7" w:rsidP="00160CDF">
      <w:pPr>
        <w:spacing w:after="0" w:line="240" w:lineRule="auto"/>
        <w:ind w:left="360"/>
        <w:jc w:val="center"/>
        <w:rPr>
          <w:rFonts w:ascii="Times New Roman" w:hAnsi="Times New Roman" w:cs="Times New Roman"/>
          <w:sz w:val="24"/>
          <w:szCs w:val="24"/>
        </w:rPr>
      </w:pPr>
      <w:r w:rsidRPr="00E11544">
        <w:rPr>
          <w:rFonts w:ascii="Times New Roman" w:hAnsi="Times New Roman"/>
          <w:sz w:val="24"/>
        </w:rPr>
        <w:t>2. cikk</w:t>
      </w:r>
    </w:p>
    <w:p w:rsidR="00231A56" w:rsidRPr="00E11544" w:rsidRDefault="00EC26E1" w:rsidP="00160CDF">
      <w:pPr>
        <w:spacing w:after="0" w:line="240" w:lineRule="auto"/>
        <w:ind w:left="360"/>
        <w:jc w:val="center"/>
        <w:rPr>
          <w:rFonts w:ascii="Times New Roman" w:hAnsi="Times New Roman" w:cs="Times New Roman"/>
          <w:i/>
          <w:sz w:val="24"/>
          <w:szCs w:val="24"/>
        </w:rPr>
      </w:pPr>
      <w:r w:rsidRPr="00E11544">
        <w:rPr>
          <w:rFonts w:ascii="Times New Roman" w:hAnsi="Times New Roman"/>
          <w:i/>
          <w:sz w:val="24"/>
        </w:rPr>
        <w:t>A radiometrikus felügyelet kritériumai</w:t>
      </w:r>
    </w:p>
    <w:p w:rsidR="00EC26E1" w:rsidRPr="00E11544" w:rsidRDefault="00EC26E1" w:rsidP="00160CDF">
      <w:pPr>
        <w:spacing w:after="0" w:line="240" w:lineRule="auto"/>
        <w:ind w:left="360"/>
        <w:jc w:val="center"/>
        <w:rPr>
          <w:rFonts w:ascii="Times New Roman" w:hAnsi="Times New Roman" w:cs="Times New Roman"/>
          <w:sz w:val="24"/>
          <w:szCs w:val="24"/>
        </w:rPr>
      </w:pPr>
    </w:p>
    <w:p w:rsidR="003B3C39" w:rsidRPr="00E11544" w:rsidRDefault="00D24F86" w:rsidP="00D24F86">
      <w:pPr>
        <w:pStyle w:val="Footer"/>
        <w:numPr>
          <w:ilvl w:val="0"/>
          <w:numId w:val="11"/>
        </w:numPr>
        <w:jc w:val="both"/>
        <w:rPr>
          <w:rFonts w:ascii="Times New Roman" w:hAnsi="Times New Roman" w:cs="Times New Roman"/>
          <w:sz w:val="24"/>
        </w:rPr>
      </w:pPr>
      <w:r w:rsidRPr="00E11544">
        <w:rPr>
          <w:rFonts w:ascii="Times New Roman" w:hAnsi="Times New Roman"/>
          <w:sz w:val="24"/>
        </w:rPr>
        <w:t xml:space="preserve">A fémhulladékok vagy az egyéb fém melléktermékek és a félkész fémtermékek rakományainak radiometrikus felügyeletét a rakományok környezetében kimutatható, levegőben elnyelt dózis mértékének ellenőrzésével kell végrehajtani a gazdátlan sugárforrások jelenlétének vagy a rendellenes radioaktivitási szintek kimutatása érdekében, amelyeket az 1995. március 17-i 230. sz. törvényerejű rendelet 153. cikkével összhangban kibocsátott, a bevált gyakorlatokkal kapcsolatos alkalmazandó szabályok vagy technikai iránymutatások alapján – amennyiben ilyenek rendelkezésre állnak –, valamint a törvényerejű rendelet 157. cikkének (4) bekezdése szerinti kötelezettségek teljesítése céljából kell meghatározni. A „rakomány” az említett fémhulladékokhoz, fémtermékekhez vagy félkész fémtermékekhez használt konténert, járművet vagy vasúti vagont, illetve más tárolóeszközt jelent. </w:t>
      </w:r>
    </w:p>
    <w:p w:rsidR="00D24F86" w:rsidRPr="00E11544" w:rsidRDefault="00707A33" w:rsidP="00D24F86">
      <w:pPr>
        <w:pStyle w:val="Footer"/>
        <w:numPr>
          <w:ilvl w:val="0"/>
          <w:numId w:val="11"/>
        </w:numPr>
        <w:jc w:val="both"/>
        <w:rPr>
          <w:rFonts w:ascii="Times New Roman" w:hAnsi="Times New Roman" w:cs="Times New Roman"/>
          <w:sz w:val="24"/>
        </w:rPr>
      </w:pPr>
      <w:r w:rsidRPr="00E11544">
        <w:rPr>
          <w:rFonts w:ascii="Times New Roman" w:hAnsi="Times New Roman"/>
          <w:sz w:val="24"/>
        </w:rPr>
        <w:t>A radiometrikus felügyelet végrehajtható a kirakodás vagy kezelés során is a fémhulladékok vagy az egyéb fém melléktermékek és a félkész fémtermékek környezetében kimutatható, levegőben elnyelt dózis mértékének ellenőrzésével.</w:t>
      </w:r>
    </w:p>
    <w:p w:rsidR="00707A33" w:rsidRPr="00E11544" w:rsidRDefault="00707A33" w:rsidP="00D24F86">
      <w:pPr>
        <w:pStyle w:val="Footer"/>
        <w:numPr>
          <w:ilvl w:val="0"/>
          <w:numId w:val="11"/>
        </w:numPr>
        <w:jc w:val="both"/>
        <w:rPr>
          <w:rFonts w:ascii="Times New Roman" w:hAnsi="Times New Roman" w:cs="Times New Roman"/>
          <w:sz w:val="24"/>
        </w:rPr>
      </w:pPr>
      <w:r w:rsidRPr="00E11544">
        <w:rPr>
          <w:rFonts w:ascii="Times New Roman" w:hAnsi="Times New Roman"/>
          <w:sz w:val="24"/>
        </w:rPr>
        <w:t>Radioaktív sugárforrások felfedezése esetén, vagy ha a radiometrikus mérések rendellenes radioaktivitási szinteket jeleznek, meg kell vizsgálni a szállításra használt konténerek belső falainak felületi szennyeződését.</w:t>
      </w:r>
    </w:p>
    <w:p w:rsidR="00EC26E1" w:rsidRPr="00E11544" w:rsidRDefault="00D138EC" w:rsidP="00D24F86">
      <w:pPr>
        <w:pStyle w:val="Footer"/>
        <w:numPr>
          <w:ilvl w:val="0"/>
          <w:numId w:val="11"/>
        </w:numPr>
        <w:jc w:val="both"/>
        <w:rPr>
          <w:rFonts w:ascii="Times New Roman" w:hAnsi="Times New Roman" w:cs="Times New Roman"/>
          <w:sz w:val="24"/>
        </w:rPr>
      </w:pPr>
      <w:r w:rsidRPr="00E11544">
        <w:rPr>
          <w:rFonts w:ascii="Times New Roman" w:hAnsi="Times New Roman"/>
          <w:sz w:val="24"/>
        </w:rPr>
        <w:t xml:space="preserve">Az öntvényminták tervezett minőség-ellenőrzésének részeként, illetve radioaktív sugárforrások vagy szennyezett anyagok beolvasztásának gyanúja esetén a tömegegységre </w:t>
      </w:r>
      <w:r w:rsidRPr="00E11544">
        <w:rPr>
          <w:rFonts w:ascii="Times New Roman" w:hAnsi="Times New Roman"/>
          <w:sz w:val="24"/>
        </w:rPr>
        <w:lastRenderedPageBreak/>
        <w:t>vetített aktivitáskoncentrációra vonatkozó méréseket kell végezni a terméken és a kemencesalakon, valamint a létesítmény füstelvezető rendszeréből származó poron.</w:t>
      </w:r>
    </w:p>
    <w:p w:rsidR="00D24F86" w:rsidRPr="00E11544" w:rsidRDefault="00F32D90" w:rsidP="00D24F86">
      <w:pPr>
        <w:pStyle w:val="Footer"/>
        <w:numPr>
          <w:ilvl w:val="0"/>
          <w:numId w:val="11"/>
        </w:numPr>
        <w:jc w:val="both"/>
        <w:rPr>
          <w:rFonts w:ascii="Times New Roman" w:hAnsi="Times New Roman" w:cs="Times New Roman"/>
          <w:sz w:val="24"/>
        </w:rPr>
      </w:pPr>
      <w:r w:rsidRPr="00E11544">
        <w:rPr>
          <w:rFonts w:ascii="Times New Roman" w:hAnsi="Times New Roman"/>
          <w:sz w:val="24"/>
        </w:rPr>
        <w:t>A tengeren ömlesztve szállított fémhulladékok és egyéb fém melléktermékek esetében a radiometrikus felügyeletet fokozatosan kell végrehajtani a kialakított rakományon.</w:t>
      </w:r>
    </w:p>
    <w:p w:rsidR="00EC26E1" w:rsidRPr="00E11544" w:rsidRDefault="00EC26E1" w:rsidP="00160CDF">
      <w:pPr>
        <w:spacing w:after="0" w:line="240" w:lineRule="auto"/>
        <w:ind w:left="360"/>
        <w:jc w:val="center"/>
        <w:rPr>
          <w:rFonts w:ascii="Times New Roman" w:hAnsi="Times New Roman" w:cs="Times New Roman"/>
          <w:sz w:val="24"/>
          <w:szCs w:val="24"/>
        </w:rPr>
      </w:pPr>
    </w:p>
    <w:p w:rsidR="00F32D90" w:rsidRPr="00E11544" w:rsidRDefault="00F32D90" w:rsidP="00223553">
      <w:pPr>
        <w:keepNext/>
        <w:spacing w:after="0" w:line="240" w:lineRule="auto"/>
        <w:ind w:left="357"/>
        <w:jc w:val="center"/>
        <w:rPr>
          <w:rFonts w:ascii="Times New Roman" w:hAnsi="Times New Roman" w:cs="Times New Roman"/>
          <w:sz w:val="24"/>
          <w:szCs w:val="24"/>
        </w:rPr>
      </w:pPr>
      <w:r w:rsidRPr="00E11544">
        <w:rPr>
          <w:rFonts w:ascii="Times New Roman" w:hAnsi="Times New Roman"/>
          <w:sz w:val="24"/>
        </w:rPr>
        <w:t>3. cikk</w:t>
      </w:r>
    </w:p>
    <w:p w:rsidR="002028A7" w:rsidRPr="00E11544" w:rsidRDefault="002028A7" w:rsidP="00223553">
      <w:pPr>
        <w:keepNext/>
        <w:spacing w:after="0" w:line="240" w:lineRule="auto"/>
        <w:ind w:left="357"/>
        <w:jc w:val="center"/>
        <w:rPr>
          <w:rFonts w:ascii="Times New Roman" w:hAnsi="Times New Roman" w:cs="Times New Roman"/>
          <w:i/>
          <w:sz w:val="24"/>
          <w:szCs w:val="24"/>
        </w:rPr>
      </w:pPr>
      <w:r w:rsidRPr="00E11544">
        <w:rPr>
          <w:rFonts w:ascii="Times New Roman" w:hAnsi="Times New Roman"/>
          <w:i/>
          <w:sz w:val="24"/>
        </w:rPr>
        <w:t>A radiometrikus felügyelet végrehajtási módszerei</w:t>
      </w:r>
    </w:p>
    <w:p w:rsidR="003B3C39" w:rsidRPr="00E11544" w:rsidRDefault="003B3C39" w:rsidP="00223553">
      <w:pPr>
        <w:keepNext/>
        <w:spacing w:after="0" w:line="240" w:lineRule="auto"/>
        <w:ind w:left="357"/>
        <w:jc w:val="center"/>
        <w:rPr>
          <w:rFonts w:ascii="Times New Roman" w:hAnsi="Times New Roman" w:cs="Times New Roman"/>
          <w:i/>
          <w:sz w:val="24"/>
          <w:szCs w:val="24"/>
        </w:rPr>
      </w:pPr>
    </w:p>
    <w:p w:rsidR="00586CE6" w:rsidRPr="00E11544" w:rsidRDefault="00E976DA">
      <w:pPr>
        <w:pStyle w:val="ListParagraph"/>
        <w:numPr>
          <w:ilvl w:val="0"/>
          <w:numId w:val="5"/>
        </w:numPr>
        <w:spacing w:after="0" w:line="240" w:lineRule="auto"/>
        <w:jc w:val="both"/>
        <w:rPr>
          <w:rFonts w:ascii="Times New Roman" w:hAnsi="Times New Roman" w:cs="Times New Roman"/>
          <w:sz w:val="24"/>
          <w:szCs w:val="24"/>
        </w:rPr>
      </w:pPr>
      <w:r w:rsidRPr="00E11544">
        <w:rPr>
          <w:rFonts w:ascii="Times New Roman" w:hAnsi="Times New Roman"/>
          <w:sz w:val="24"/>
        </w:rPr>
        <w:t xml:space="preserve">Az 1995. március 17-i 230. sz. törvényerejű rendelet 157. cikkének (1) bekezdésében említett azon gazdálkodó egységek, amelyek ipari vagy kereskedelmi célból fémhulladékok vagy egyéb fém melléktermékek gyűjtésére vagy tárolására irányuló tevékenységet végeznek, kötelesek radiometrikus felügyeletet végrehajtani az érkezési létesítmény bejáratánál az egyes rakományok környezetében kimutatható, levegőben elnyelt dózis mértékének vizsgálatával. </w:t>
      </w:r>
    </w:p>
    <w:p w:rsidR="00760AF9" w:rsidRPr="00E11544" w:rsidRDefault="00D27263">
      <w:pPr>
        <w:pStyle w:val="ListParagraph"/>
        <w:numPr>
          <w:ilvl w:val="0"/>
          <w:numId w:val="5"/>
        </w:numPr>
        <w:spacing w:after="0" w:line="240" w:lineRule="auto"/>
        <w:jc w:val="both"/>
        <w:rPr>
          <w:rFonts w:ascii="Times New Roman" w:hAnsi="Times New Roman" w:cs="Times New Roman"/>
          <w:sz w:val="24"/>
          <w:szCs w:val="24"/>
        </w:rPr>
      </w:pPr>
      <w:r w:rsidRPr="00E11544">
        <w:rPr>
          <w:rFonts w:ascii="Times New Roman" w:hAnsi="Times New Roman"/>
          <w:sz w:val="24"/>
        </w:rPr>
        <w:t>A fenti 1. pontban meghatározott rendelkezésen kívül az abban említett gazdálkodó egységek az ilyen anyagok kirakodása és kezelése során kötelesek elvégezni azok szemrevételezéssel történő első vizsgálatát is, figyelembe véve a radioaktív sugárforrások és konténereik leggyakoribb jellemzőit, annak érdekében, hogy megállapítsák a gyanús anyagok jelenlétét és megmérjék a kirakodott anyagok környezetében kimutatható, levegőben elnyelt dózis mértékét.</w:t>
      </w:r>
    </w:p>
    <w:p w:rsidR="00BF09C2" w:rsidRPr="00E11544" w:rsidRDefault="00BF09C2">
      <w:pPr>
        <w:pStyle w:val="ListParagraph"/>
        <w:numPr>
          <w:ilvl w:val="0"/>
          <w:numId w:val="5"/>
        </w:numPr>
        <w:spacing w:after="0" w:line="240" w:lineRule="auto"/>
        <w:jc w:val="both"/>
        <w:rPr>
          <w:rFonts w:ascii="Times New Roman" w:hAnsi="Times New Roman" w:cs="Times New Roman"/>
          <w:sz w:val="24"/>
          <w:szCs w:val="24"/>
        </w:rPr>
      </w:pPr>
      <w:r w:rsidRPr="00E11544">
        <w:rPr>
          <w:rFonts w:ascii="Times New Roman" w:hAnsi="Times New Roman"/>
          <w:sz w:val="24"/>
        </w:rPr>
        <w:t>Azon gazdálkodó egységek esetében, amelyek ipari vagy kereskedelmi célból fémhulladékok vagy egyéb fém melléktermékek beolvasztására irányuló tevékenységet végeznek, az öntvényminták tervezett minőség-ellenőrzésének részeként, valamint radioaktív sugárforrások vagy szennyezett anyagok beolvasztásának gyanúja esetén, a tömegegységre vetített aktivitáskoncentrációra vonatkozó méréseket kell végezni az olvasztókemence egyes töltéseiből származó minőség- és eredményminták felhasználásával. Ugyanezen gazdálkodó egységeknek továbbá radiometrikus vizsgálatokat kell végezniük a létesítmény füstelvezető rendszeréből származó reprezentatív hulladék-és pormintákon. A reprezentativitás érdekében a vizsgálatok gyakoriságát és a kapcsolódó mintaszámot a létesítmény jellemzői és az ott végzett tevékenységek alapján kialakított különleges belső eljárással kell meghatározni. A felügyelet hatóságok ettől eltérő gyakoriságot is előírhatnak.</w:t>
      </w:r>
    </w:p>
    <w:p w:rsidR="00D27263" w:rsidRPr="00E11544" w:rsidRDefault="00D138EC">
      <w:pPr>
        <w:pStyle w:val="ListParagraph"/>
        <w:numPr>
          <w:ilvl w:val="0"/>
          <w:numId w:val="5"/>
        </w:numPr>
        <w:spacing w:after="0" w:line="240" w:lineRule="auto"/>
        <w:jc w:val="both"/>
        <w:rPr>
          <w:rFonts w:ascii="Times New Roman" w:hAnsi="Times New Roman" w:cs="Times New Roman"/>
          <w:sz w:val="24"/>
          <w:szCs w:val="24"/>
        </w:rPr>
      </w:pPr>
      <w:r w:rsidRPr="00E11544">
        <w:rPr>
          <w:rFonts w:ascii="Times New Roman" w:hAnsi="Times New Roman"/>
          <w:sz w:val="24"/>
        </w:rPr>
        <w:t>Az 1. és 3. pontban említett vizsgálatokat az anyagoknak vagy termékeknek a létesítményből történő elszállítása előtt kell elvégezni.</w:t>
      </w:r>
    </w:p>
    <w:p w:rsidR="00D27263" w:rsidRPr="00E11544" w:rsidRDefault="00D27263">
      <w:pPr>
        <w:pStyle w:val="ListParagraph"/>
        <w:numPr>
          <w:ilvl w:val="0"/>
          <w:numId w:val="5"/>
        </w:numPr>
        <w:spacing w:after="0" w:line="240" w:lineRule="auto"/>
        <w:jc w:val="both"/>
        <w:rPr>
          <w:rFonts w:ascii="Times New Roman" w:hAnsi="Times New Roman" w:cs="Times New Roman"/>
          <w:sz w:val="24"/>
          <w:szCs w:val="24"/>
        </w:rPr>
      </w:pPr>
      <w:r w:rsidRPr="00E11544">
        <w:rPr>
          <w:rFonts w:ascii="Times New Roman" w:hAnsi="Times New Roman"/>
          <w:sz w:val="24"/>
        </w:rPr>
        <w:t>Azon gazdálkodó egységek, amelyek ipari vagy kereskedelmi célból fémhulladékok vagy egyéb fém melléktermékek és félkész fémtermékek behozatalára irányuló tevékenységet végeznek, az e rendelet 7. cikkében foglalt rendelkezések sérelme nélkül, kötelesek radiometrikus felügyeletet végrehajtani az érkezési létesítmény bejáratánál, valamint a fémhulladékok és termékek kirakodásakor az egyes rakományok és kirakodott anyagok környezetében kimutatható, levegőben elnyelt dózis mértékének vizsgálatával.</w:t>
      </w:r>
    </w:p>
    <w:p w:rsidR="00BF09C2" w:rsidRPr="00E11544" w:rsidRDefault="00BF09C2" w:rsidP="00223553">
      <w:pPr>
        <w:widowControl w:val="0"/>
        <w:autoSpaceDE w:val="0"/>
        <w:autoSpaceDN w:val="0"/>
        <w:adjustRightInd w:val="0"/>
        <w:spacing w:after="0" w:line="240" w:lineRule="auto"/>
        <w:rPr>
          <w:rFonts w:ascii="Times New Roman" w:hAnsi="Times New Roman" w:cs="Times New Roman"/>
          <w:sz w:val="24"/>
          <w:szCs w:val="24"/>
        </w:rPr>
      </w:pPr>
    </w:p>
    <w:p w:rsidR="008E72DD" w:rsidRPr="00E11544" w:rsidRDefault="008E72DD" w:rsidP="008E72DD">
      <w:pPr>
        <w:spacing w:after="0" w:line="240" w:lineRule="auto"/>
        <w:ind w:left="360"/>
        <w:jc w:val="center"/>
        <w:rPr>
          <w:rFonts w:ascii="Times New Roman" w:hAnsi="Times New Roman" w:cs="Times New Roman"/>
          <w:sz w:val="24"/>
          <w:szCs w:val="24"/>
        </w:rPr>
      </w:pPr>
      <w:r w:rsidRPr="00E11544">
        <w:rPr>
          <w:rFonts w:ascii="Times New Roman" w:hAnsi="Times New Roman"/>
          <w:sz w:val="24"/>
        </w:rPr>
        <w:t>4. cikk</w:t>
      </w:r>
    </w:p>
    <w:p w:rsidR="008E72DD" w:rsidRPr="00E11544" w:rsidRDefault="008E72DD" w:rsidP="008E72DD">
      <w:pPr>
        <w:spacing w:after="0" w:line="240" w:lineRule="auto"/>
        <w:ind w:left="360"/>
        <w:jc w:val="center"/>
        <w:rPr>
          <w:rFonts w:ascii="Times New Roman" w:hAnsi="Times New Roman" w:cs="Times New Roman"/>
          <w:i/>
          <w:sz w:val="24"/>
          <w:szCs w:val="24"/>
        </w:rPr>
      </w:pPr>
      <w:r w:rsidRPr="00E11544">
        <w:rPr>
          <w:rFonts w:ascii="Times New Roman" w:hAnsi="Times New Roman"/>
          <w:i/>
          <w:sz w:val="24"/>
        </w:rPr>
        <w:t>Radiometrikus felügyeleti tanúsítvány</w:t>
      </w:r>
    </w:p>
    <w:p w:rsidR="00502D9D" w:rsidRPr="00E11544" w:rsidRDefault="00502D9D" w:rsidP="008E72DD">
      <w:pPr>
        <w:spacing w:after="0" w:line="240" w:lineRule="auto"/>
        <w:jc w:val="both"/>
        <w:rPr>
          <w:rFonts w:ascii="Times New Roman" w:hAnsi="Times New Roman" w:cs="Times New Roman"/>
          <w:sz w:val="24"/>
          <w:szCs w:val="24"/>
        </w:rPr>
      </w:pPr>
    </w:p>
    <w:p w:rsidR="00BD4BEC" w:rsidRPr="00E11544" w:rsidRDefault="008E72DD" w:rsidP="00C0795E">
      <w:pPr>
        <w:pStyle w:val="ListParagraph"/>
        <w:numPr>
          <w:ilvl w:val="0"/>
          <w:numId w:val="12"/>
        </w:numPr>
        <w:spacing w:after="0" w:line="240" w:lineRule="auto"/>
        <w:jc w:val="both"/>
        <w:rPr>
          <w:rFonts w:ascii="Times New Roman" w:hAnsi="Times New Roman" w:cs="Times New Roman"/>
          <w:sz w:val="24"/>
          <w:szCs w:val="24"/>
        </w:rPr>
      </w:pPr>
      <w:r w:rsidRPr="00E11544">
        <w:rPr>
          <w:rFonts w:ascii="Times New Roman" w:hAnsi="Times New Roman"/>
          <w:sz w:val="24"/>
        </w:rPr>
        <w:t>Az 1995. március 17-i 230. sz. törvényerejű rendelet 157. cikkének (2) bekezdésében említett, képzett szakértők által kibocsátott radiometrikus felügyeleti tanúsítványnak legalább a következő információkat kell tartalmaznia:</w:t>
      </w:r>
    </w:p>
    <w:p w:rsidR="00C0795E" w:rsidRPr="00E11544"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E11544">
        <w:rPr>
          <w:rFonts w:ascii="Times New Roman" w:hAnsi="Times New Roman"/>
          <w:sz w:val="24"/>
        </w:rPr>
        <w:t>a rakomány adatai;</w:t>
      </w:r>
    </w:p>
    <w:p w:rsidR="00085F28" w:rsidRPr="00E1154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E11544">
        <w:rPr>
          <w:rFonts w:ascii="Times New Roman" w:hAnsi="Times New Roman"/>
          <w:sz w:val="24"/>
        </w:rPr>
        <w:t>a fémes anyag típusa;</w:t>
      </w:r>
    </w:p>
    <w:p w:rsidR="00C0795E" w:rsidRPr="00E11544"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E11544">
        <w:rPr>
          <w:rFonts w:ascii="Times New Roman" w:hAnsi="Times New Roman"/>
          <w:sz w:val="24"/>
        </w:rPr>
        <w:t>származás;</w:t>
      </w:r>
    </w:p>
    <w:p w:rsidR="00C0795E" w:rsidRPr="00E11544" w:rsidRDefault="00C0795E" w:rsidP="00C0795E">
      <w:pPr>
        <w:pStyle w:val="ListParagraph"/>
        <w:numPr>
          <w:ilvl w:val="0"/>
          <w:numId w:val="13"/>
        </w:numPr>
        <w:spacing w:after="0" w:line="240" w:lineRule="auto"/>
        <w:ind w:left="1276"/>
        <w:jc w:val="both"/>
        <w:rPr>
          <w:rFonts w:ascii="Times New Roman" w:hAnsi="Times New Roman" w:cs="Times New Roman"/>
          <w:sz w:val="24"/>
          <w:szCs w:val="24"/>
        </w:rPr>
      </w:pPr>
      <w:r w:rsidRPr="00E11544">
        <w:rPr>
          <w:rFonts w:ascii="Times New Roman" w:hAnsi="Times New Roman"/>
          <w:sz w:val="24"/>
        </w:rPr>
        <w:t>a radiometrikus felügyelet időpontja;</w:t>
      </w:r>
    </w:p>
    <w:p w:rsidR="00085F28" w:rsidRPr="00E1154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E11544">
        <w:rPr>
          <w:rFonts w:ascii="Times New Roman" w:hAnsi="Times New Roman"/>
          <w:sz w:val="24"/>
        </w:rPr>
        <w:lastRenderedPageBreak/>
        <w:t>helyi környezeti háttérérték, amelyet a radiometrikus felügyelet előtt kell megállapítani;</w:t>
      </w:r>
    </w:p>
    <w:p w:rsidR="00C0795E" w:rsidRPr="00E11544" w:rsidRDefault="00F516F1" w:rsidP="00C0795E">
      <w:pPr>
        <w:pStyle w:val="ListParagraph"/>
        <w:numPr>
          <w:ilvl w:val="0"/>
          <w:numId w:val="13"/>
        </w:numPr>
        <w:spacing w:after="0" w:line="240" w:lineRule="auto"/>
        <w:ind w:left="1276"/>
        <w:jc w:val="both"/>
        <w:rPr>
          <w:rFonts w:ascii="Times New Roman" w:hAnsi="Times New Roman" w:cs="Times New Roman"/>
          <w:sz w:val="24"/>
          <w:szCs w:val="24"/>
        </w:rPr>
      </w:pPr>
      <w:r w:rsidRPr="00E11544">
        <w:rPr>
          <w:rFonts w:ascii="Times New Roman" w:hAnsi="Times New Roman"/>
          <w:sz w:val="24"/>
        </w:rPr>
        <w:t>az elvégzett radiometrikus mérések típusa és a használt eszközök;</w:t>
      </w:r>
    </w:p>
    <w:p w:rsidR="00085F28" w:rsidRPr="00E1154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E11544">
        <w:rPr>
          <w:rFonts w:ascii="Times New Roman" w:hAnsi="Times New Roman"/>
          <w:sz w:val="24"/>
        </w:rPr>
        <w:t>az alkalmazott mérési rendszer megfelelő működésének utolsó ellenőrzése;</w:t>
      </w:r>
    </w:p>
    <w:p w:rsidR="00085F28" w:rsidRPr="00E1154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E11544">
        <w:rPr>
          <w:rFonts w:ascii="Times New Roman" w:hAnsi="Times New Roman"/>
          <w:sz w:val="24"/>
        </w:rPr>
        <w:t>a radiometrikus mérések elvégzéséért felelős munkavállaló neve;</w:t>
      </w:r>
    </w:p>
    <w:p w:rsidR="00C0795E" w:rsidRPr="00E11544" w:rsidRDefault="00085F28" w:rsidP="00C0795E">
      <w:pPr>
        <w:pStyle w:val="ListParagraph"/>
        <w:numPr>
          <w:ilvl w:val="0"/>
          <w:numId w:val="13"/>
        </w:numPr>
        <w:spacing w:after="0" w:line="240" w:lineRule="auto"/>
        <w:ind w:left="1276"/>
        <w:jc w:val="both"/>
        <w:rPr>
          <w:rFonts w:ascii="Times New Roman" w:hAnsi="Times New Roman" w:cs="Times New Roman"/>
          <w:sz w:val="24"/>
          <w:szCs w:val="24"/>
        </w:rPr>
      </w:pPr>
      <w:r w:rsidRPr="00E11544">
        <w:rPr>
          <w:rFonts w:ascii="Times New Roman" w:hAnsi="Times New Roman"/>
          <w:sz w:val="24"/>
        </w:rPr>
        <w:t>az elvégzett mérések eredményei;</w:t>
      </w:r>
    </w:p>
    <w:p w:rsidR="00C0795E" w:rsidRPr="00E11544" w:rsidRDefault="00E87B3C" w:rsidP="00C0795E">
      <w:pPr>
        <w:pStyle w:val="ListParagraph"/>
        <w:numPr>
          <w:ilvl w:val="0"/>
          <w:numId w:val="13"/>
        </w:numPr>
        <w:spacing w:after="0" w:line="240" w:lineRule="auto"/>
        <w:ind w:left="1276"/>
        <w:jc w:val="both"/>
        <w:rPr>
          <w:rFonts w:ascii="Times New Roman" w:hAnsi="Times New Roman" w:cs="Times New Roman"/>
          <w:sz w:val="24"/>
          <w:szCs w:val="24"/>
        </w:rPr>
      </w:pPr>
      <w:r w:rsidRPr="00E11544">
        <w:rPr>
          <w:rFonts w:ascii="Times New Roman" w:hAnsi="Times New Roman"/>
          <w:sz w:val="24"/>
        </w:rPr>
        <w:t>a rakomány/anyagok elfogadásával/elutasításával kapcsolatos következtetések.</w:t>
      </w:r>
    </w:p>
    <w:p w:rsidR="00577A7D" w:rsidRPr="00E11544" w:rsidRDefault="00577A7D" w:rsidP="00577A7D">
      <w:pPr>
        <w:spacing w:after="0" w:line="240" w:lineRule="auto"/>
        <w:ind w:left="709"/>
        <w:jc w:val="both"/>
        <w:rPr>
          <w:rFonts w:ascii="Times New Roman" w:hAnsi="Times New Roman" w:cs="Times New Roman"/>
          <w:sz w:val="24"/>
          <w:szCs w:val="24"/>
        </w:rPr>
      </w:pPr>
      <w:r w:rsidRPr="00E11544">
        <w:rPr>
          <w:rFonts w:ascii="Times New Roman" w:hAnsi="Times New Roman"/>
          <w:sz w:val="24"/>
        </w:rPr>
        <w:t>Azokban az esetekben, amikor a létesítmény fémhulladékok vagy egyéb fém melléktermékek beolvasztására irányuló műveleteket végez, a tanúsítványnak tartalmaznia kell a radiometrikus felügyelettel, valamint a terméken és a kemencesalakon, valamint a létesítmény füstelvezető rendszeréből származó poron végzett, a tömegegységre vetített aktivitáskoncentrációra vonatkozó mérések eredményeivel kapcsolatos lényeges információkat is.</w:t>
      </w:r>
    </w:p>
    <w:p w:rsidR="00C0795E" w:rsidRPr="00E11544" w:rsidRDefault="00C0795E" w:rsidP="00C0795E">
      <w:pPr>
        <w:pStyle w:val="ListParagraph"/>
        <w:numPr>
          <w:ilvl w:val="0"/>
          <w:numId w:val="12"/>
        </w:numPr>
        <w:spacing w:after="0" w:line="240" w:lineRule="auto"/>
        <w:jc w:val="both"/>
        <w:rPr>
          <w:rFonts w:ascii="Times New Roman" w:hAnsi="Times New Roman" w:cs="Times New Roman"/>
          <w:sz w:val="24"/>
          <w:szCs w:val="24"/>
        </w:rPr>
      </w:pPr>
      <w:r w:rsidRPr="00E11544">
        <w:rPr>
          <w:rFonts w:ascii="Times New Roman" w:hAnsi="Times New Roman"/>
          <w:sz w:val="24"/>
        </w:rPr>
        <w:t>Az 1. pontban említett tanúsítványt fel kell venni az 1995. március 17-i 230. sz. törvényerejű rendelet 157. cikkének (1) bekezdésében említett gazdálkodó egység megbízásából kijelölt képzett szakértő által létrehozott nyilvántartásba; az említett nyilvántartásnak hozzáférhetőnek kell lennie a felügyeleti hatóságok számára, és legalább öt évig meg kell őrizni a munkavégzés helyén, illetve ha a jobb megőrzés biztosítása érdekében szükséges, akkor a 157. cikk (1) bekezdésében említett gazdálkodó egység székhelyén.</w:t>
      </w:r>
    </w:p>
    <w:p w:rsidR="00C0795E" w:rsidRPr="00E11544" w:rsidRDefault="00C0795E" w:rsidP="00502D9D">
      <w:pPr>
        <w:spacing w:after="0" w:line="240" w:lineRule="auto"/>
        <w:jc w:val="both"/>
        <w:rPr>
          <w:rFonts w:ascii="Times New Roman" w:hAnsi="Times New Roman" w:cs="Times New Roman"/>
          <w:sz w:val="24"/>
          <w:szCs w:val="24"/>
        </w:rPr>
      </w:pPr>
    </w:p>
    <w:p w:rsidR="00C0795E" w:rsidRPr="00E11544" w:rsidRDefault="00C0795E" w:rsidP="00C0795E">
      <w:pPr>
        <w:spacing w:after="0" w:line="240" w:lineRule="auto"/>
        <w:ind w:left="360"/>
        <w:jc w:val="center"/>
        <w:rPr>
          <w:rFonts w:ascii="Times New Roman" w:hAnsi="Times New Roman" w:cs="Times New Roman"/>
          <w:sz w:val="24"/>
          <w:szCs w:val="24"/>
        </w:rPr>
      </w:pPr>
      <w:r w:rsidRPr="00E11544">
        <w:rPr>
          <w:rFonts w:ascii="Times New Roman" w:hAnsi="Times New Roman"/>
          <w:sz w:val="24"/>
        </w:rPr>
        <w:t>5. cikk</w:t>
      </w:r>
    </w:p>
    <w:p w:rsidR="00C0795E" w:rsidRPr="00E11544" w:rsidRDefault="00C0795E" w:rsidP="00C0795E">
      <w:pPr>
        <w:spacing w:after="0" w:line="240" w:lineRule="auto"/>
        <w:ind w:left="360"/>
        <w:jc w:val="center"/>
        <w:rPr>
          <w:rFonts w:ascii="Times New Roman" w:hAnsi="Times New Roman" w:cs="Times New Roman"/>
          <w:i/>
          <w:sz w:val="24"/>
          <w:szCs w:val="24"/>
        </w:rPr>
      </w:pPr>
      <w:r w:rsidRPr="00E11544">
        <w:rPr>
          <w:rFonts w:ascii="Times New Roman" w:hAnsi="Times New Roman"/>
          <w:i/>
          <w:sz w:val="24"/>
        </w:rPr>
        <w:t>A radiometrikus felügyelet végrehajtásáért felelős személyzet</w:t>
      </w:r>
    </w:p>
    <w:p w:rsidR="00C0795E" w:rsidRPr="00E11544" w:rsidRDefault="00C0795E" w:rsidP="00502D9D">
      <w:pPr>
        <w:spacing w:after="0" w:line="240" w:lineRule="auto"/>
        <w:jc w:val="both"/>
        <w:rPr>
          <w:rFonts w:ascii="Times New Roman" w:hAnsi="Times New Roman" w:cs="Times New Roman"/>
          <w:sz w:val="24"/>
          <w:szCs w:val="24"/>
        </w:rPr>
      </w:pPr>
    </w:p>
    <w:p w:rsidR="006D4BF0" w:rsidRPr="00E11544" w:rsidRDefault="00C87594" w:rsidP="006D4BF0">
      <w:pPr>
        <w:pStyle w:val="ListParagraph"/>
        <w:numPr>
          <w:ilvl w:val="0"/>
          <w:numId w:val="14"/>
        </w:numPr>
        <w:spacing w:after="0" w:line="240" w:lineRule="auto"/>
        <w:jc w:val="both"/>
        <w:rPr>
          <w:rFonts w:ascii="Times New Roman" w:hAnsi="Times New Roman" w:cs="Times New Roman"/>
          <w:sz w:val="24"/>
          <w:szCs w:val="24"/>
        </w:rPr>
      </w:pPr>
      <w:r w:rsidRPr="00E11544">
        <w:rPr>
          <w:rFonts w:ascii="Times New Roman" w:hAnsi="Times New Roman"/>
          <w:sz w:val="24"/>
        </w:rPr>
        <w:t>A radiometrikus felügyeletet végrehajthatják olyan munkavállalók, akik nem rendelkeznek képzett szakértői képesítéssel, feltéve, hogy:</w:t>
      </w:r>
    </w:p>
    <w:p w:rsidR="006D4BF0" w:rsidRPr="00E11544" w:rsidRDefault="006D4BF0" w:rsidP="00C87594">
      <w:pPr>
        <w:pStyle w:val="ListParagraph"/>
        <w:numPr>
          <w:ilvl w:val="0"/>
          <w:numId w:val="15"/>
        </w:numPr>
        <w:spacing w:after="0" w:line="240" w:lineRule="auto"/>
        <w:jc w:val="both"/>
        <w:rPr>
          <w:rFonts w:ascii="Times New Roman" w:hAnsi="Times New Roman" w:cs="Times New Roman"/>
          <w:sz w:val="24"/>
          <w:szCs w:val="24"/>
        </w:rPr>
      </w:pPr>
      <w:r w:rsidRPr="00E11544">
        <w:rPr>
          <w:rFonts w:ascii="Times New Roman" w:hAnsi="Times New Roman"/>
          <w:sz w:val="24"/>
        </w:rPr>
        <w:t>a munkavállalókat az 1995. március 17-i 230. sz. törvényerejű rendelet 157. cikkének (1) bekezdésében említett gazdálkodó egység közvetlenül alkalmazza;</w:t>
      </w:r>
    </w:p>
    <w:p w:rsidR="00C87594" w:rsidRPr="00E11544"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E11544">
        <w:rPr>
          <w:rFonts w:ascii="Times New Roman" w:hAnsi="Times New Roman"/>
          <w:sz w:val="24"/>
        </w:rPr>
        <w:t>a munkavállalókat a létesítmény munkáltatója választotta ki a kijelölt képzett szakértővel egyetértésben;</w:t>
      </w:r>
    </w:p>
    <w:p w:rsidR="00C87594" w:rsidRPr="00E11544"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E11544">
        <w:rPr>
          <w:rFonts w:ascii="Times New Roman" w:hAnsi="Times New Roman"/>
          <w:sz w:val="24"/>
        </w:rPr>
        <w:t>a munkavállalók korábban megfelelő képzési és tájékoztató programokon vettek részt;</w:t>
      </w:r>
    </w:p>
    <w:p w:rsidR="00C87594" w:rsidRPr="00E11544" w:rsidRDefault="00C87594" w:rsidP="00C87594">
      <w:pPr>
        <w:pStyle w:val="ListParagraph"/>
        <w:numPr>
          <w:ilvl w:val="0"/>
          <w:numId w:val="15"/>
        </w:numPr>
        <w:spacing w:after="0" w:line="240" w:lineRule="auto"/>
        <w:jc w:val="both"/>
        <w:rPr>
          <w:rFonts w:ascii="Times New Roman" w:hAnsi="Times New Roman" w:cs="Times New Roman"/>
          <w:sz w:val="24"/>
          <w:szCs w:val="24"/>
        </w:rPr>
      </w:pPr>
      <w:r w:rsidRPr="00E11544">
        <w:rPr>
          <w:rFonts w:ascii="Times New Roman" w:hAnsi="Times New Roman"/>
          <w:sz w:val="24"/>
        </w:rPr>
        <w:t>a munkavállalók a képzett szakértő irányítása és vezetése alatt, valamint felelősségvállalásával dolgoznak;</w:t>
      </w:r>
    </w:p>
    <w:p w:rsidR="00C87594" w:rsidRPr="00E11544" w:rsidRDefault="00C87594" w:rsidP="00F70DCA">
      <w:pPr>
        <w:pStyle w:val="ListParagraph"/>
        <w:numPr>
          <w:ilvl w:val="0"/>
          <w:numId w:val="15"/>
        </w:numPr>
        <w:spacing w:after="0" w:line="240" w:lineRule="auto"/>
        <w:jc w:val="both"/>
        <w:rPr>
          <w:rFonts w:ascii="Times New Roman" w:hAnsi="Times New Roman" w:cs="Times New Roman"/>
          <w:sz w:val="24"/>
          <w:szCs w:val="24"/>
        </w:rPr>
      </w:pPr>
      <w:r w:rsidRPr="00E11544">
        <w:rPr>
          <w:rFonts w:ascii="Times New Roman" w:hAnsi="Times New Roman"/>
          <w:sz w:val="24"/>
        </w:rPr>
        <w:t>a munkavállalók betartják a képzett szakértő által ismertetett eljárásokat, és gazdátlan sugárforrások vagy szennyezett anyagok jelenlétének gyanúja esetén a munkáltató által a képzett szakértővel egyetértésben kidolgozott belső szabályokat.</w:t>
      </w:r>
    </w:p>
    <w:p w:rsidR="00C0795E" w:rsidRPr="00E11544" w:rsidRDefault="00C87594" w:rsidP="00C87594">
      <w:pPr>
        <w:pStyle w:val="ListParagraph"/>
        <w:numPr>
          <w:ilvl w:val="0"/>
          <w:numId w:val="14"/>
        </w:numPr>
        <w:spacing w:after="0" w:line="240" w:lineRule="auto"/>
        <w:jc w:val="both"/>
        <w:rPr>
          <w:rFonts w:ascii="Times New Roman" w:hAnsi="Times New Roman" w:cs="Times New Roman"/>
          <w:sz w:val="24"/>
          <w:szCs w:val="24"/>
        </w:rPr>
      </w:pPr>
      <w:r w:rsidRPr="00E11544">
        <w:rPr>
          <w:rFonts w:ascii="Times New Roman" w:hAnsi="Times New Roman"/>
          <w:sz w:val="24"/>
        </w:rPr>
        <w:t>Az 1995. március 17-i 230. sz. törvényerejű rendelet 157. cikkének (1) bekezdésében említett gazdálkodó egység által kijelölt képzett szakértőnek kell biztosítania az említett gazdálkodó egység számára azokat a sugárvédelmi adatokat, amelyek a radiometrikus felügyelet végrehajtásával, valamint a gazdátlan sugárforrások és szennyezett fémes anyagok felfedezése esetén alkalmazandó biztonsági és védelmi intézkedésekkel kapcsolatos eljárások kidolgozáshoz, illetve a törvényerejű rendelet 157. cikkének (4) bekezdése szerinti kötelezettségek teljesítése céljából szükségesek.</w:t>
      </w:r>
    </w:p>
    <w:p w:rsidR="00C0795E" w:rsidRPr="00E11544" w:rsidRDefault="00C0795E" w:rsidP="00502D9D">
      <w:pPr>
        <w:spacing w:after="0" w:line="240" w:lineRule="auto"/>
        <w:jc w:val="both"/>
        <w:rPr>
          <w:rFonts w:ascii="Times New Roman" w:hAnsi="Times New Roman" w:cs="Times New Roman"/>
          <w:sz w:val="24"/>
          <w:szCs w:val="24"/>
        </w:rPr>
      </w:pPr>
    </w:p>
    <w:p w:rsidR="008E72DD" w:rsidRPr="00E11544" w:rsidRDefault="00C0795E" w:rsidP="008E72DD">
      <w:pPr>
        <w:spacing w:after="0" w:line="240" w:lineRule="auto"/>
        <w:ind w:left="360"/>
        <w:jc w:val="center"/>
        <w:rPr>
          <w:rFonts w:ascii="Times New Roman" w:hAnsi="Times New Roman" w:cs="Times New Roman"/>
          <w:sz w:val="24"/>
          <w:szCs w:val="24"/>
        </w:rPr>
      </w:pPr>
      <w:r w:rsidRPr="00E11544">
        <w:rPr>
          <w:rFonts w:ascii="Times New Roman" w:hAnsi="Times New Roman"/>
          <w:sz w:val="24"/>
        </w:rPr>
        <w:t>6. cikk</w:t>
      </w:r>
    </w:p>
    <w:p w:rsidR="008E72DD" w:rsidRPr="00E11544" w:rsidRDefault="008E72DD" w:rsidP="006270DA">
      <w:pPr>
        <w:spacing w:after="0" w:line="240" w:lineRule="auto"/>
        <w:ind w:left="426"/>
        <w:jc w:val="center"/>
        <w:rPr>
          <w:rFonts w:ascii="Times New Roman" w:hAnsi="Times New Roman" w:cs="Times New Roman"/>
          <w:sz w:val="24"/>
          <w:szCs w:val="24"/>
        </w:rPr>
      </w:pPr>
      <w:r w:rsidRPr="00E11544">
        <w:rPr>
          <w:rFonts w:ascii="Times New Roman" w:hAnsi="Times New Roman"/>
          <w:i/>
          <w:sz w:val="24"/>
        </w:rPr>
        <w:t>A személyzet képzése</w:t>
      </w:r>
    </w:p>
    <w:p w:rsidR="008E72DD" w:rsidRPr="00E11544" w:rsidRDefault="008E72DD" w:rsidP="00502D9D">
      <w:pPr>
        <w:spacing w:after="0" w:line="240" w:lineRule="auto"/>
        <w:jc w:val="both"/>
        <w:rPr>
          <w:rFonts w:ascii="Times New Roman" w:hAnsi="Times New Roman" w:cs="Times New Roman"/>
          <w:sz w:val="24"/>
          <w:szCs w:val="24"/>
        </w:rPr>
      </w:pPr>
    </w:p>
    <w:p w:rsidR="003D7DE6" w:rsidRPr="00E11544" w:rsidRDefault="00742F89" w:rsidP="003D7DE6">
      <w:pPr>
        <w:pStyle w:val="ListParagraph"/>
        <w:numPr>
          <w:ilvl w:val="0"/>
          <w:numId w:val="16"/>
        </w:numPr>
        <w:spacing w:after="0" w:line="240" w:lineRule="auto"/>
        <w:jc w:val="both"/>
        <w:rPr>
          <w:rFonts w:ascii="Times New Roman" w:hAnsi="Times New Roman" w:cs="Times New Roman"/>
          <w:sz w:val="24"/>
          <w:szCs w:val="24"/>
        </w:rPr>
      </w:pPr>
      <w:r w:rsidRPr="00E11544">
        <w:rPr>
          <w:rFonts w:ascii="Times New Roman" w:hAnsi="Times New Roman"/>
          <w:sz w:val="24"/>
        </w:rPr>
        <w:t xml:space="preserve">Az 1995. március 17-i 230. sz. törvényerejű rendelet 157. cikkének (1) bekezdésében említett gazdálkodó egységeknek képzést kell biztosítaniuk személyzetük számára annak érdekében, hogy munkavállalóik felismerjék a radioaktív sugárforrások leggyakoribb </w:t>
      </w:r>
      <w:r w:rsidRPr="00E11544">
        <w:rPr>
          <w:rFonts w:ascii="Times New Roman" w:hAnsi="Times New Roman"/>
          <w:sz w:val="24"/>
        </w:rPr>
        <w:lastRenderedPageBreak/>
        <w:t>típusait, valamint a kapcsolódó, radioaktivitás jelenlétére utaló jelekkel és jelzésekkel ellátott konténereket és berendezéseket.</w:t>
      </w:r>
    </w:p>
    <w:p w:rsidR="00742F89" w:rsidRPr="00E11544" w:rsidRDefault="003D7DE6" w:rsidP="003D7DE6">
      <w:pPr>
        <w:pStyle w:val="ListParagraph"/>
        <w:numPr>
          <w:ilvl w:val="0"/>
          <w:numId w:val="16"/>
        </w:numPr>
        <w:spacing w:after="0" w:line="240" w:lineRule="auto"/>
        <w:jc w:val="both"/>
        <w:rPr>
          <w:rFonts w:ascii="Times New Roman" w:hAnsi="Times New Roman" w:cs="Times New Roman"/>
          <w:sz w:val="24"/>
          <w:szCs w:val="24"/>
        </w:rPr>
      </w:pPr>
      <w:r w:rsidRPr="00E11544">
        <w:rPr>
          <w:rFonts w:ascii="Times New Roman" w:hAnsi="Times New Roman"/>
          <w:sz w:val="24"/>
        </w:rPr>
        <w:t>Az 1. pontban említett gazdálkodó egységeknek továbbá külön dokumentált képzést kell biztosítaniuk a radiometrikus felügyelet végrehajtásáért felelős személyzet számára annak érdekében, hogy munkavállalóik képesek legyenek megfelelően ellátni feladataikat, ideértve a szemrevételezéssel történő vizsgálatot is. Különösen a fémhulladékok vagy az egyéb fém melléktermékek és a félkész fémtermékek kirakodásáért, mozgatásáért és kezeléséért felelős személyzet számára kell tájékoztatást és képzést biztosítani azon biztonsági és védelmi eljárásokkal kapcsolatosan, amelyeket gazdátlan sugárforrások vagy szennyezett fémes anyagok felfedezése esetén kell alkalmazni.</w:t>
      </w:r>
    </w:p>
    <w:p w:rsidR="00F66476" w:rsidRPr="00E11544" w:rsidRDefault="00F66476">
      <w:pPr>
        <w:spacing w:after="0" w:line="240" w:lineRule="auto"/>
        <w:jc w:val="both"/>
        <w:rPr>
          <w:rFonts w:ascii="Times New Roman" w:hAnsi="Times New Roman" w:cs="Times New Roman"/>
          <w:sz w:val="24"/>
          <w:szCs w:val="24"/>
        </w:rPr>
      </w:pPr>
    </w:p>
    <w:p w:rsidR="00F66476" w:rsidRPr="00E11544" w:rsidRDefault="009E4D53" w:rsidP="00223553">
      <w:pPr>
        <w:keepNext/>
        <w:spacing w:after="0" w:line="240" w:lineRule="auto"/>
        <w:jc w:val="center"/>
        <w:rPr>
          <w:rFonts w:ascii="Times New Roman" w:hAnsi="Times New Roman" w:cs="Times New Roman"/>
          <w:sz w:val="24"/>
          <w:szCs w:val="24"/>
        </w:rPr>
      </w:pPr>
      <w:r w:rsidRPr="00E11544">
        <w:rPr>
          <w:rFonts w:ascii="Times New Roman" w:hAnsi="Times New Roman"/>
          <w:sz w:val="24"/>
        </w:rPr>
        <w:t>7. cikk</w:t>
      </w:r>
    </w:p>
    <w:p w:rsidR="00F66476" w:rsidRPr="00E11544" w:rsidRDefault="00A505F5" w:rsidP="00223553">
      <w:pPr>
        <w:keepNext/>
        <w:spacing w:after="0" w:line="240" w:lineRule="auto"/>
        <w:jc w:val="center"/>
        <w:rPr>
          <w:rFonts w:ascii="Times New Roman" w:hAnsi="Times New Roman" w:cs="Times New Roman"/>
          <w:i/>
          <w:sz w:val="24"/>
          <w:szCs w:val="24"/>
        </w:rPr>
      </w:pPr>
      <w:r w:rsidRPr="00E11544">
        <w:rPr>
          <w:rFonts w:ascii="Times New Roman" w:hAnsi="Times New Roman"/>
          <w:i/>
          <w:sz w:val="24"/>
        </w:rPr>
        <w:t>A harmadik országokból származó fémhulladékokon vagy egyéb fém melléktermékeken és félkész fémtermékeken végrehajtott radiometrikus vizsgálatok tanúsítványainak kölcsönös elismerése</w:t>
      </w:r>
    </w:p>
    <w:p w:rsidR="000D519B" w:rsidRPr="00E11544" w:rsidRDefault="000D519B" w:rsidP="00223553">
      <w:pPr>
        <w:keepNext/>
        <w:spacing w:after="0" w:line="240" w:lineRule="auto"/>
        <w:jc w:val="center"/>
        <w:rPr>
          <w:rFonts w:ascii="Times New Roman" w:hAnsi="Times New Roman" w:cs="Times New Roman"/>
          <w:sz w:val="24"/>
          <w:szCs w:val="24"/>
        </w:rPr>
      </w:pPr>
    </w:p>
    <w:p w:rsidR="000D519B" w:rsidRPr="00E11544" w:rsidRDefault="002A1841"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E11544">
        <w:rPr>
          <w:rFonts w:ascii="Times New Roman" w:hAnsi="Times New Roman"/>
          <w:sz w:val="24"/>
        </w:rPr>
        <w:t>A vámeljárások lefolytatása céljából a harmadik országokból származó azon fémhulladékok vagy egyéb fém melléktermékek és félkész fémtermékek esetében, amelyek tekintetében azonos szintű védelem biztosított, amit az e rendelet I. mellékletében szereplő mintának megfelelő tanúsítványok használatával ismernek el, a vámkezeléskor végzett radiometrikus vizsgálatok alapján történő tanúsítás helyszínén, viszonossági alapon elfogadhatók azok a nyilatkozatok, amelyeket a származási helyen az ilyen anyagok származási országának illetékes hatósága által meghatározott rendelkezések alapján korábban engedélyezett gazdálkodó egységek bocsátanak ki.</w:t>
      </w:r>
    </w:p>
    <w:p w:rsidR="000D519B" w:rsidRPr="00E11544" w:rsidRDefault="000B093A" w:rsidP="001C7D7C">
      <w:pPr>
        <w:pStyle w:val="ListParagraph"/>
        <w:numPr>
          <w:ilvl w:val="0"/>
          <w:numId w:val="9"/>
        </w:numPr>
        <w:spacing w:line="240" w:lineRule="auto"/>
        <w:ind w:left="709" w:hanging="357"/>
        <w:jc w:val="both"/>
        <w:rPr>
          <w:rFonts w:ascii="Times New Roman" w:hAnsi="Times New Roman" w:cs="Times New Roman"/>
          <w:sz w:val="24"/>
          <w:szCs w:val="24"/>
        </w:rPr>
      </w:pPr>
      <w:r w:rsidRPr="00E11544">
        <w:rPr>
          <w:rFonts w:ascii="Times New Roman" w:hAnsi="Times New Roman"/>
          <w:sz w:val="24"/>
        </w:rPr>
        <w:t>A Gazdaságfejlesztési Minisztérium teszi közzé és frissíti rendszeresen azon országok listáját, amelyek tekintetében kölcsönös elismerési megállapodás van érvényben.</w:t>
      </w:r>
    </w:p>
    <w:p w:rsidR="002028A7" w:rsidRPr="00E11544" w:rsidRDefault="002028A7" w:rsidP="00160CDF">
      <w:pPr>
        <w:spacing w:after="0" w:line="240" w:lineRule="auto"/>
        <w:ind w:left="360"/>
        <w:jc w:val="center"/>
        <w:rPr>
          <w:rFonts w:ascii="Times New Roman" w:hAnsi="Times New Roman" w:cs="Times New Roman"/>
          <w:sz w:val="24"/>
          <w:szCs w:val="24"/>
        </w:rPr>
      </w:pPr>
      <w:r w:rsidRPr="00E11544">
        <w:rPr>
          <w:rFonts w:ascii="Times New Roman" w:hAnsi="Times New Roman"/>
          <w:sz w:val="24"/>
        </w:rPr>
        <w:t>8. cikk</w:t>
      </w:r>
    </w:p>
    <w:p w:rsidR="00B310BB" w:rsidRPr="00E11544" w:rsidRDefault="003D7DE6" w:rsidP="00160CDF">
      <w:pPr>
        <w:spacing w:after="0" w:line="240" w:lineRule="auto"/>
        <w:jc w:val="center"/>
        <w:rPr>
          <w:rFonts w:ascii="Times New Roman" w:hAnsi="Times New Roman" w:cs="Times New Roman"/>
          <w:i/>
          <w:sz w:val="24"/>
          <w:szCs w:val="24"/>
        </w:rPr>
      </w:pPr>
      <w:r w:rsidRPr="00E11544">
        <w:rPr>
          <w:rFonts w:ascii="Times New Roman" w:hAnsi="Times New Roman"/>
          <w:i/>
          <w:sz w:val="24"/>
        </w:rPr>
        <w:t>Radiometrikus felügyeletnek alávetett félkész fémtermékek</w:t>
      </w:r>
    </w:p>
    <w:p w:rsidR="003D7DE6" w:rsidRPr="00E11544" w:rsidRDefault="003D7DE6" w:rsidP="00160CDF">
      <w:pPr>
        <w:spacing w:after="0" w:line="240" w:lineRule="auto"/>
        <w:jc w:val="center"/>
        <w:rPr>
          <w:rFonts w:ascii="Times New Roman" w:hAnsi="Times New Roman" w:cs="Times New Roman"/>
          <w:i/>
          <w:sz w:val="24"/>
          <w:szCs w:val="24"/>
        </w:rPr>
      </w:pPr>
    </w:p>
    <w:p w:rsidR="003D7DE6" w:rsidRPr="00E11544" w:rsidRDefault="003D7DE6" w:rsidP="001C7D7C">
      <w:pPr>
        <w:spacing w:line="240" w:lineRule="auto"/>
        <w:ind w:left="709" w:hanging="357"/>
        <w:jc w:val="both"/>
        <w:rPr>
          <w:rFonts w:ascii="Times New Roman" w:hAnsi="Times New Roman" w:cs="Times New Roman"/>
          <w:sz w:val="24"/>
          <w:szCs w:val="24"/>
        </w:rPr>
      </w:pPr>
      <w:r w:rsidRPr="00E11544">
        <w:rPr>
          <w:rFonts w:ascii="Times New Roman" w:hAnsi="Times New Roman"/>
          <w:sz w:val="24"/>
        </w:rPr>
        <w:t>1.</w:t>
      </w:r>
      <w:r w:rsidRPr="00E11544">
        <w:tab/>
      </w:r>
      <w:r w:rsidRPr="00E11544">
        <w:rPr>
          <w:rFonts w:ascii="Times New Roman" w:hAnsi="Times New Roman"/>
          <w:sz w:val="24"/>
        </w:rPr>
        <w:t>A radiometrikus felügyeletnek alávetett félkész fémtermékek listáját e rendelet II. melléklete tartalmazza.</w:t>
      </w:r>
    </w:p>
    <w:p w:rsidR="00C75963" w:rsidRPr="00E11544" w:rsidRDefault="00C75963" w:rsidP="001C7D7C">
      <w:pPr>
        <w:spacing w:line="240" w:lineRule="auto"/>
        <w:ind w:left="709" w:hanging="357"/>
        <w:jc w:val="both"/>
        <w:rPr>
          <w:rFonts w:ascii="Times New Roman" w:hAnsi="Times New Roman" w:cs="Times New Roman"/>
          <w:sz w:val="24"/>
          <w:szCs w:val="24"/>
        </w:rPr>
      </w:pPr>
      <w:r w:rsidRPr="00E11544">
        <w:rPr>
          <w:rFonts w:ascii="Times New Roman" w:hAnsi="Times New Roman"/>
          <w:sz w:val="24"/>
        </w:rPr>
        <w:t>2.</w:t>
      </w:r>
      <w:r w:rsidRPr="00E11544">
        <w:tab/>
      </w:r>
      <w:r w:rsidRPr="00E11544">
        <w:rPr>
          <w:rFonts w:ascii="Times New Roman" w:hAnsi="Times New Roman"/>
          <w:sz w:val="24"/>
        </w:rPr>
        <w:t>E rendelet II. mellékletét a Kombinált Nómenklatúrának az ilyen termékekre vonatkozó uniós rendeletek és az olasz Vám‑ és Monopóliumügyi Hivatal javaslata alapján hozott gazdaságfejlesztési minisztériumi rendelet által előírt módosításai alapján kell frissíteni.</w:t>
      </w:r>
    </w:p>
    <w:p w:rsidR="00F66476" w:rsidRPr="00E11544" w:rsidRDefault="009E4D53">
      <w:pPr>
        <w:spacing w:after="0" w:line="240" w:lineRule="auto"/>
        <w:jc w:val="center"/>
        <w:rPr>
          <w:rFonts w:ascii="Times New Roman" w:hAnsi="Times New Roman" w:cs="Times New Roman"/>
          <w:sz w:val="24"/>
          <w:szCs w:val="24"/>
        </w:rPr>
      </w:pPr>
      <w:r w:rsidRPr="00E11544">
        <w:rPr>
          <w:rFonts w:ascii="Times New Roman" w:hAnsi="Times New Roman"/>
          <w:sz w:val="24"/>
        </w:rPr>
        <w:t>9. cikk</w:t>
      </w:r>
    </w:p>
    <w:p w:rsidR="00C01A69" w:rsidRPr="00E11544" w:rsidRDefault="00ED32D2" w:rsidP="00C01A69">
      <w:pPr>
        <w:spacing w:after="0" w:line="240" w:lineRule="auto"/>
        <w:jc w:val="center"/>
        <w:rPr>
          <w:rFonts w:ascii="Times New Roman" w:hAnsi="Times New Roman" w:cs="Times New Roman"/>
          <w:i/>
          <w:sz w:val="24"/>
          <w:szCs w:val="24"/>
        </w:rPr>
      </w:pPr>
      <w:r w:rsidRPr="00E11544">
        <w:rPr>
          <w:rFonts w:ascii="Times New Roman" w:hAnsi="Times New Roman"/>
          <w:i/>
          <w:sz w:val="24"/>
        </w:rPr>
        <w:t xml:space="preserve">A díjak változatlansága </w:t>
      </w:r>
    </w:p>
    <w:p w:rsidR="00D00006" w:rsidRPr="00E11544" w:rsidRDefault="00D00006">
      <w:pPr>
        <w:spacing w:after="0" w:line="240" w:lineRule="auto"/>
        <w:jc w:val="center"/>
        <w:rPr>
          <w:rFonts w:ascii="Times New Roman" w:hAnsi="Times New Roman" w:cs="Times New Roman"/>
          <w:i/>
          <w:sz w:val="24"/>
          <w:szCs w:val="24"/>
        </w:rPr>
      </w:pPr>
    </w:p>
    <w:p w:rsidR="00DD1C06" w:rsidRPr="00E11544" w:rsidRDefault="009E4D53" w:rsidP="00175273">
      <w:pPr>
        <w:spacing w:line="240" w:lineRule="auto"/>
        <w:ind w:left="709" w:hanging="357"/>
        <w:jc w:val="both"/>
        <w:rPr>
          <w:rFonts w:ascii="Times New Roman" w:hAnsi="Times New Roman" w:cs="Times New Roman"/>
          <w:sz w:val="24"/>
          <w:szCs w:val="24"/>
        </w:rPr>
      </w:pPr>
      <w:r w:rsidRPr="00E11544">
        <w:rPr>
          <w:rFonts w:ascii="Times New Roman" w:hAnsi="Times New Roman"/>
          <w:sz w:val="24"/>
        </w:rPr>
        <w:t xml:space="preserve">1. </w:t>
      </w:r>
      <w:r w:rsidRPr="00E11544">
        <w:tab/>
      </w:r>
      <w:r w:rsidRPr="00E11544">
        <w:rPr>
          <w:rFonts w:ascii="Times New Roman" w:hAnsi="Times New Roman"/>
          <w:sz w:val="24"/>
        </w:rPr>
        <w:t xml:space="preserve">E rendelet rendelkezéseinek végrehajtása nem jelenthet új vagy megnövekedett terhet az államháztartás számára. </w:t>
      </w:r>
    </w:p>
    <w:p w:rsidR="00D00006" w:rsidRPr="00E11544" w:rsidRDefault="00ED32D2" w:rsidP="00175273">
      <w:pPr>
        <w:spacing w:line="240" w:lineRule="auto"/>
        <w:ind w:left="709" w:hanging="357"/>
        <w:jc w:val="both"/>
        <w:rPr>
          <w:rFonts w:ascii="Times New Roman" w:hAnsi="Times New Roman" w:cs="Times New Roman"/>
          <w:sz w:val="24"/>
          <w:szCs w:val="24"/>
        </w:rPr>
      </w:pPr>
      <w:r w:rsidRPr="00E11544">
        <w:rPr>
          <w:rFonts w:ascii="Times New Roman" w:hAnsi="Times New Roman"/>
          <w:sz w:val="24"/>
        </w:rPr>
        <w:t xml:space="preserve">2. </w:t>
      </w:r>
      <w:r w:rsidRPr="00E11544">
        <w:tab/>
      </w:r>
      <w:r w:rsidRPr="00E11544">
        <w:rPr>
          <w:rFonts w:ascii="Times New Roman" w:hAnsi="Times New Roman"/>
          <w:sz w:val="24"/>
        </w:rPr>
        <w:t xml:space="preserve">Az érintett állami szervek az e rendeletben említett tevékenységeket a hatályos jogszabályok szerint rendelkezésükre álló emberi erőforrások, eszközök és pénzügyi források felhasználásával végzik. </w:t>
      </w:r>
    </w:p>
    <w:p w:rsidR="00F66476" w:rsidRPr="00E11544" w:rsidRDefault="00ED32D2">
      <w:pPr>
        <w:spacing w:after="0" w:line="240" w:lineRule="auto"/>
        <w:jc w:val="center"/>
        <w:rPr>
          <w:rFonts w:ascii="Times New Roman" w:hAnsi="Times New Roman" w:cs="Times New Roman"/>
          <w:sz w:val="24"/>
          <w:szCs w:val="24"/>
        </w:rPr>
      </w:pPr>
      <w:r w:rsidRPr="00E11544">
        <w:rPr>
          <w:rFonts w:ascii="Times New Roman" w:hAnsi="Times New Roman"/>
          <w:sz w:val="24"/>
        </w:rPr>
        <w:t>10. cikk</w:t>
      </w:r>
    </w:p>
    <w:p w:rsidR="00F66476" w:rsidRPr="00E11544" w:rsidRDefault="00ED32D2">
      <w:pPr>
        <w:spacing w:after="0" w:line="240" w:lineRule="auto"/>
        <w:jc w:val="center"/>
        <w:rPr>
          <w:rFonts w:ascii="Times New Roman" w:hAnsi="Times New Roman" w:cs="Times New Roman"/>
          <w:i/>
          <w:sz w:val="24"/>
          <w:szCs w:val="24"/>
        </w:rPr>
      </w:pPr>
      <w:r w:rsidRPr="00E11544">
        <w:rPr>
          <w:rFonts w:ascii="Times New Roman" w:hAnsi="Times New Roman"/>
          <w:i/>
          <w:sz w:val="24"/>
        </w:rPr>
        <w:t>Hatálybalépés</w:t>
      </w:r>
    </w:p>
    <w:p w:rsidR="008311D0" w:rsidRPr="00E11544" w:rsidRDefault="008311D0">
      <w:pPr>
        <w:spacing w:after="0" w:line="240" w:lineRule="auto"/>
        <w:jc w:val="center"/>
        <w:rPr>
          <w:rFonts w:ascii="Times New Roman" w:hAnsi="Times New Roman" w:cs="Times New Roman"/>
          <w:i/>
          <w:sz w:val="24"/>
          <w:szCs w:val="24"/>
        </w:rPr>
      </w:pPr>
    </w:p>
    <w:p w:rsidR="00915B27" w:rsidRPr="00E11544" w:rsidRDefault="009E4D53" w:rsidP="00CF773E">
      <w:pPr>
        <w:spacing w:line="240" w:lineRule="auto"/>
        <w:ind w:left="708" w:hanging="356"/>
        <w:jc w:val="both"/>
        <w:rPr>
          <w:rFonts w:ascii="Times New Roman" w:hAnsi="Times New Roman" w:cs="Times New Roman"/>
          <w:sz w:val="24"/>
          <w:szCs w:val="24"/>
        </w:rPr>
      </w:pPr>
      <w:r w:rsidRPr="00E11544">
        <w:rPr>
          <w:rFonts w:ascii="Times New Roman" w:hAnsi="Times New Roman"/>
          <w:sz w:val="24"/>
        </w:rPr>
        <w:t xml:space="preserve">1. </w:t>
      </w:r>
      <w:r w:rsidRPr="00E11544">
        <w:tab/>
      </w:r>
      <w:r w:rsidRPr="00E11544">
        <w:rPr>
          <w:rFonts w:ascii="Times New Roman" w:hAnsi="Times New Roman"/>
          <w:sz w:val="24"/>
        </w:rPr>
        <w:t>Ez a rendelet az Olasz Köztársaság Hivatalos Közlönyében történő közzétételét követően 90 nappal lép hatályba.</w:t>
      </w:r>
    </w:p>
    <w:p w:rsidR="00F265F4" w:rsidRPr="00E11544" w:rsidRDefault="00F265F4" w:rsidP="00CF773E">
      <w:pPr>
        <w:spacing w:line="240" w:lineRule="auto"/>
        <w:ind w:left="708" w:hanging="356"/>
        <w:jc w:val="both"/>
        <w:rPr>
          <w:rFonts w:ascii="Times New Roman" w:hAnsi="Times New Roman" w:cs="Times New Roman"/>
          <w:sz w:val="24"/>
          <w:szCs w:val="24"/>
        </w:rPr>
        <w:sectPr w:rsidR="00F265F4" w:rsidRPr="00E11544" w:rsidSect="003A3BF5">
          <w:footerReference w:type="default" r:id="rId9"/>
          <w:pgSz w:w="11906" w:h="16838"/>
          <w:pgMar w:top="1417" w:right="1134" w:bottom="1134" w:left="1134" w:header="708" w:footer="708" w:gutter="0"/>
          <w:cols w:space="708"/>
          <w:docGrid w:linePitch="360"/>
        </w:sectPr>
      </w:pPr>
    </w:p>
    <w:p w:rsidR="00F265F4" w:rsidRPr="00E11544" w:rsidRDefault="00F265F4" w:rsidP="00F265F4">
      <w:pPr>
        <w:pStyle w:val="Style1"/>
        <w:widowControl/>
        <w:jc w:val="center"/>
        <w:rPr>
          <w:rStyle w:val="FontStyle18"/>
          <w:rFonts w:ascii="Arial" w:hAnsi="Arial" w:cs="Arial"/>
          <w:b/>
          <w:sz w:val="18"/>
          <w:szCs w:val="18"/>
        </w:rPr>
      </w:pPr>
      <w:r w:rsidRPr="00E11544">
        <w:rPr>
          <w:rStyle w:val="FontStyle18"/>
          <w:rFonts w:ascii="Arial" w:hAnsi="Arial"/>
          <w:b/>
          <w:sz w:val="18"/>
        </w:rPr>
        <w:lastRenderedPageBreak/>
        <w:t>IRME90 formanyomtatvány- AZ OLASZORSZÁGBA BEHOZOTT</w:t>
      </w:r>
    </w:p>
    <w:p w:rsidR="00F265F4" w:rsidRPr="00E11544" w:rsidRDefault="00F265F4" w:rsidP="00F265F4">
      <w:pPr>
        <w:pStyle w:val="Style1"/>
        <w:widowControl/>
        <w:jc w:val="center"/>
        <w:rPr>
          <w:rStyle w:val="FontStyle18"/>
          <w:rFonts w:ascii="Arial" w:hAnsi="Arial" w:cs="Arial"/>
          <w:b/>
          <w:sz w:val="18"/>
          <w:szCs w:val="18"/>
        </w:rPr>
      </w:pPr>
      <w:r w:rsidRPr="00E11544">
        <w:rPr>
          <w:rStyle w:val="FontStyle18"/>
          <w:rFonts w:ascii="Arial" w:hAnsi="Arial"/>
          <w:b/>
          <w:sz w:val="18"/>
        </w:rPr>
        <w:t>FÉMHULLADÉKOK VAGY EGYÉB FÉM MELLÉKTERMÉKEK ÉS FÉLKÉSZ FÉMTERMÉKEK KÍSÉRŐOKMÁNYA</w:t>
      </w:r>
    </w:p>
    <w:p w:rsidR="00F265F4" w:rsidRPr="00E11544" w:rsidRDefault="00E11544" w:rsidP="00F265F4">
      <w:pPr>
        <w:pStyle w:val="Style1"/>
        <w:widowControl/>
        <w:jc w:val="center"/>
        <w:rPr>
          <w:rStyle w:val="FontStyle18"/>
          <w:rFonts w:ascii="Arial" w:hAnsi="Arial" w:cs="Arial"/>
        </w:rPr>
      </w:pPr>
      <w:r w:rsidRPr="00E11544">
        <w:rPr>
          <w:rFonts w:ascii="Book Antiqua" w:hAnsi="Book Antiqua" w:cs="Book Antiqua"/>
          <w:b/>
          <w:bCs/>
          <w:color w:val="000000"/>
          <w:sz w:val="16"/>
          <w:szCs w:val="16"/>
        </w:rPr>
        <w:pict>
          <v:group id="_x0000_s1029" style="position:absolute;left:0;text-align:left;margin-left:-6.05pt;margin-top:6.4pt;width:540pt;height:760.85pt;z-index:-251657216" coordorigin="730,1109" coordsize="10800,15217">
            <v:group id="_x0000_s1030" style="position:absolute;left:730;top:1109;width:10800;height:15217" coordorigin="730,1109" coordsize="10800,15217">
              <v:rect id="_x0000_s1031" style="position:absolute;left:730;top:9168;width:10800;height:2194" strokeweight="1pt">
                <v:fill opacity="0"/>
              </v:rect>
              <v:rect id="_x0000_s1032" style="position:absolute;left:730;top:4211;width:10800;height:4957" strokeweight="1pt">
                <v:fill opacity="0"/>
              </v:rect>
              <v:rect id="_x0000_s1033" style="position:absolute;left:730;top:1109;width:10800;height:3102" strokeweight="1pt">
                <v:fill opacity="0"/>
              </v:rect>
              <v:rect id="_x0000_s1034" style="position:absolute;left:730;top:14828;width:10800;height:1498" strokeweight="1pt">
                <v:fill opacity="0"/>
              </v:rect>
            </v:group>
            <v:rect id="_x0000_s1035" style="position:absolute;left:730;top:11363;width:10800;height:3355" strokeweight="1pt">
              <v:fill opacity="0"/>
            </v:rect>
          </v:group>
        </w:pict>
      </w:r>
    </w:p>
    <w:p w:rsidR="00F265F4" w:rsidRPr="00E11544" w:rsidRDefault="00F265F4" w:rsidP="00F265F4">
      <w:pPr>
        <w:pStyle w:val="Style8"/>
        <w:widowControl/>
        <w:spacing w:line="360" w:lineRule="auto"/>
        <w:rPr>
          <w:rStyle w:val="FontStyle21"/>
        </w:rPr>
      </w:pPr>
      <w:r w:rsidRPr="00E11544">
        <w:rPr>
          <w:rStyle w:val="FontStyle21"/>
        </w:rPr>
        <w:t>1. szakasz</w:t>
      </w:r>
    </w:p>
    <w:p w:rsidR="00F265F4" w:rsidRPr="00E11544" w:rsidRDefault="00F265F4" w:rsidP="00F265F4">
      <w:pPr>
        <w:pStyle w:val="Style8"/>
        <w:widowControl/>
        <w:rPr>
          <w:rStyle w:val="FontStyle21"/>
        </w:rPr>
      </w:pPr>
      <w:r w:rsidRPr="00E11544">
        <w:rPr>
          <w:rStyle w:val="FontStyle21"/>
        </w:rPr>
        <w:t>Feladó (név, cím, ország) / Expéditeur (Nom, Adresse, Pays) / Absender (Name, Anschrift, Land):</w:t>
      </w:r>
    </w:p>
    <w:p w:rsidR="00F265F4" w:rsidRPr="00E11544" w:rsidRDefault="00F265F4" w:rsidP="00F265F4">
      <w:pPr>
        <w:pStyle w:val="Style8"/>
        <w:widowControl/>
        <w:rPr>
          <w:rStyle w:val="FontStyle21"/>
        </w:rPr>
      </w:pPr>
    </w:p>
    <w:p w:rsidR="00F265F4" w:rsidRPr="00E11544" w:rsidRDefault="00F265F4" w:rsidP="00F265F4">
      <w:pPr>
        <w:pStyle w:val="Style8"/>
        <w:widowControl/>
        <w:rPr>
          <w:rStyle w:val="FontStyle21"/>
        </w:rPr>
      </w:pPr>
      <w:r w:rsidRPr="00E11544">
        <w:rPr>
          <w:rStyle w:val="FontStyle21"/>
        </w:rPr>
        <w:t>....................................................................................................................................................................................................</w:t>
      </w:r>
    </w:p>
    <w:p w:rsidR="00F265F4" w:rsidRPr="00E11544" w:rsidRDefault="00F265F4" w:rsidP="00F265F4">
      <w:pPr>
        <w:pStyle w:val="Style8"/>
        <w:widowControl/>
        <w:rPr>
          <w:rStyle w:val="FontStyle21"/>
        </w:rPr>
      </w:pPr>
    </w:p>
    <w:p w:rsidR="00F265F4" w:rsidRPr="00E11544" w:rsidRDefault="00F265F4" w:rsidP="00F265F4">
      <w:pPr>
        <w:pStyle w:val="Style8"/>
        <w:widowControl/>
        <w:rPr>
          <w:rStyle w:val="FontStyle21"/>
        </w:rPr>
      </w:pPr>
      <w:r w:rsidRPr="00E11544">
        <w:rPr>
          <w:rStyle w:val="FontStyle21"/>
        </w:rPr>
        <w:t xml:space="preserve">Tel.: ..................................................................... </w:t>
      </w:r>
      <w:r w:rsidRPr="00E11544">
        <w:tab/>
      </w:r>
      <w:r w:rsidRPr="00E11544">
        <w:rPr>
          <w:rStyle w:val="FontStyle21"/>
        </w:rPr>
        <w:t>Fax: ...........................................................................</w:t>
      </w:r>
    </w:p>
    <w:p w:rsidR="00F265F4" w:rsidRPr="00E11544" w:rsidRDefault="00F265F4" w:rsidP="00F265F4">
      <w:pPr>
        <w:pStyle w:val="Style8"/>
        <w:widowControl/>
        <w:rPr>
          <w:rStyle w:val="FontStyle21"/>
          <w:sz w:val="8"/>
        </w:rPr>
      </w:pPr>
    </w:p>
    <w:p w:rsidR="00F265F4" w:rsidRPr="00E11544" w:rsidRDefault="00F265F4" w:rsidP="00F265F4">
      <w:pPr>
        <w:pStyle w:val="Style8"/>
        <w:widowControl/>
        <w:rPr>
          <w:rStyle w:val="FontStyle21"/>
        </w:rPr>
      </w:pPr>
      <w:r w:rsidRPr="00E11544">
        <w:rPr>
          <w:rStyle w:val="FontStyle21"/>
        </w:rPr>
        <w:t>Címzett (név, cím, ország) / Destinataire (Nom, Adresse, Pays) / Empfänger (Name, Anschrift, Land):</w:t>
      </w:r>
    </w:p>
    <w:p w:rsidR="00F265F4" w:rsidRPr="00E11544" w:rsidRDefault="00F265F4" w:rsidP="00F265F4">
      <w:pPr>
        <w:pStyle w:val="Style8"/>
        <w:widowControl/>
        <w:rPr>
          <w:rStyle w:val="FontStyle21"/>
        </w:rPr>
      </w:pPr>
    </w:p>
    <w:p w:rsidR="00F265F4" w:rsidRPr="00E11544" w:rsidRDefault="00F265F4" w:rsidP="00F265F4">
      <w:pPr>
        <w:pStyle w:val="Style8"/>
        <w:widowControl/>
        <w:rPr>
          <w:rStyle w:val="FontStyle21"/>
        </w:rPr>
      </w:pPr>
      <w:r w:rsidRPr="00E11544">
        <w:rPr>
          <w:rStyle w:val="FontStyle21"/>
        </w:rPr>
        <w:t>....................................................................................................................................................................................................</w:t>
      </w:r>
    </w:p>
    <w:p w:rsidR="00F265F4" w:rsidRPr="00E11544" w:rsidRDefault="00F265F4" w:rsidP="00F265F4">
      <w:pPr>
        <w:pStyle w:val="Style8"/>
        <w:widowControl/>
        <w:rPr>
          <w:rStyle w:val="FontStyle21"/>
        </w:rPr>
      </w:pPr>
    </w:p>
    <w:p w:rsidR="00F265F4" w:rsidRPr="00E11544" w:rsidRDefault="00F265F4" w:rsidP="00F265F4">
      <w:pPr>
        <w:pStyle w:val="Style8"/>
        <w:widowControl/>
        <w:rPr>
          <w:rStyle w:val="FontStyle21"/>
        </w:rPr>
      </w:pPr>
      <w:r w:rsidRPr="00E11544">
        <w:rPr>
          <w:rStyle w:val="FontStyle21"/>
        </w:rPr>
        <w:t xml:space="preserve">Tel.: ..................................................................... </w:t>
      </w:r>
      <w:r w:rsidRPr="00E11544">
        <w:tab/>
      </w:r>
      <w:r w:rsidRPr="00E11544">
        <w:rPr>
          <w:rStyle w:val="FontStyle21"/>
        </w:rPr>
        <w:t xml:space="preserve">Fax: ........................................................................... </w:t>
      </w:r>
    </w:p>
    <w:p w:rsidR="00F265F4" w:rsidRPr="00E11544" w:rsidRDefault="00F265F4" w:rsidP="00F265F4">
      <w:pPr>
        <w:pStyle w:val="Style8"/>
        <w:widowControl/>
        <w:rPr>
          <w:rStyle w:val="FontStyle21"/>
          <w:sz w:val="8"/>
        </w:rPr>
      </w:pPr>
    </w:p>
    <w:p w:rsidR="00F265F4" w:rsidRPr="00E11544" w:rsidRDefault="00F265F4" w:rsidP="00F265F4">
      <w:pPr>
        <w:pStyle w:val="Style8"/>
        <w:widowControl/>
        <w:rPr>
          <w:rStyle w:val="FontStyle21"/>
        </w:rPr>
      </w:pPr>
      <w:r w:rsidRPr="00E11544">
        <w:rPr>
          <w:rStyle w:val="FontStyle21"/>
        </w:rPr>
        <w:t>Az áruk természete / Nature de la marchandise / Warenbezeichnung:</w:t>
      </w:r>
    </w:p>
    <w:p w:rsidR="00F265F4" w:rsidRPr="00E11544" w:rsidRDefault="00F265F4" w:rsidP="00F265F4">
      <w:pPr>
        <w:pStyle w:val="Style8"/>
        <w:widowControl/>
        <w:rPr>
          <w:rStyle w:val="FontStyle21"/>
        </w:rPr>
      </w:pPr>
    </w:p>
    <w:p w:rsidR="00F265F4" w:rsidRPr="00E11544" w:rsidRDefault="00F265F4" w:rsidP="00F265F4">
      <w:pPr>
        <w:pStyle w:val="Style8"/>
        <w:widowControl/>
        <w:rPr>
          <w:rStyle w:val="FontStyle21"/>
          <w:sz w:val="10"/>
        </w:rPr>
      </w:pPr>
      <w:r w:rsidRPr="00E11544">
        <w:rPr>
          <w:rStyle w:val="FontStyle21"/>
        </w:rPr>
        <w:t>....................................................................................................................................................................................................</w:t>
      </w:r>
    </w:p>
    <w:p w:rsidR="00F265F4" w:rsidRPr="00E11544" w:rsidRDefault="00F265F4" w:rsidP="00F265F4">
      <w:pPr>
        <w:pStyle w:val="Style8"/>
        <w:widowControl/>
        <w:spacing w:line="360" w:lineRule="auto"/>
        <w:rPr>
          <w:rStyle w:val="FontStyle21"/>
          <w:sz w:val="10"/>
        </w:rPr>
      </w:pPr>
    </w:p>
    <w:p w:rsidR="00F265F4" w:rsidRPr="00E11544" w:rsidRDefault="00F265F4" w:rsidP="00F265F4">
      <w:pPr>
        <w:pStyle w:val="Style8"/>
        <w:widowControl/>
        <w:ind w:right="-752"/>
        <w:jc w:val="center"/>
        <w:rPr>
          <w:rStyle w:val="FontStyle21"/>
        </w:rPr>
      </w:pPr>
      <w:r w:rsidRPr="00E11544">
        <w:rPr>
          <w:rStyle w:val="FontStyle21"/>
        </w:rPr>
        <w:t>A SZÁLLÍTÁSRA VONATKOZÓ ADATOK / INFORMATIONS RELATIVES AU TRANSPORT / ANGABEN ZUM TRANSPORT</w:t>
      </w:r>
    </w:p>
    <w:p w:rsidR="00F265F4" w:rsidRPr="00E11544" w:rsidRDefault="00F265F4" w:rsidP="00F265F4">
      <w:pPr>
        <w:pStyle w:val="Style12"/>
        <w:widowControl/>
        <w:numPr>
          <w:ilvl w:val="0"/>
          <w:numId w:val="17"/>
        </w:numPr>
        <w:ind w:left="426" w:hanging="426"/>
        <w:rPr>
          <w:rStyle w:val="FontStyle21"/>
        </w:rPr>
      </w:pPr>
      <w:r w:rsidRPr="00E11544">
        <w:rPr>
          <w:rStyle w:val="FontStyle21"/>
        </w:rPr>
        <w:t xml:space="preserve">Tengeri szállítás / provenance par mer / Herkunft auf dem Seeweg </w:t>
      </w:r>
    </w:p>
    <w:p w:rsidR="00F265F4" w:rsidRPr="00E11544" w:rsidRDefault="00F265F4" w:rsidP="00F265F4">
      <w:pPr>
        <w:pStyle w:val="Style12"/>
        <w:widowControl/>
        <w:tabs>
          <w:tab w:val="left" w:pos="4962"/>
        </w:tabs>
        <w:spacing w:line="480" w:lineRule="auto"/>
        <w:ind w:left="426"/>
        <w:rPr>
          <w:rStyle w:val="FontStyle21"/>
        </w:rPr>
      </w:pPr>
      <w:r w:rsidRPr="00E11544">
        <w:rPr>
          <w:rStyle w:val="FontStyle21"/>
        </w:rPr>
        <w:t>Hajó neve / Nom du navire / Name des Schiffes:</w:t>
      </w:r>
      <w:r w:rsidRPr="00E11544">
        <w:tab/>
      </w:r>
      <w:r w:rsidRPr="00E11544">
        <w:rPr>
          <w:rStyle w:val="FontStyle21"/>
        </w:rPr>
        <w:t>Nemzetiség / Nationalité / Nationalität:</w:t>
      </w:r>
    </w:p>
    <w:p w:rsidR="00F265F4" w:rsidRPr="00E11544" w:rsidRDefault="00F265F4" w:rsidP="00F265F4">
      <w:pPr>
        <w:pStyle w:val="Style8"/>
        <w:widowControl/>
        <w:tabs>
          <w:tab w:val="left" w:pos="4962"/>
        </w:tabs>
        <w:spacing w:line="480" w:lineRule="auto"/>
        <w:ind w:firstLine="426"/>
        <w:rPr>
          <w:rStyle w:val="FontStyle21"/>
        </w:rPr>
      </w:pPr>
      <w:r w:rsidRPr="00E11544">
        <w:rPr>
          <w:rStyle w:val="FontStyle21"/>
        </w:rPr>
        <w:t xml:space="preserve">................................................................................................. </w:t>
      </w:r>
      <w:r w:rsidRPr="00E11544">
        <w:tab/>
      </w:r>
      <w:r w:rsidRPr="00E11544">
        <w:rPr>
          <w:rStyle w:val="FontStyle21"/>
        </w:rPr>
        <w:t>.................................................................................................</w:t>
      </w:r>
    </w:p>
    <w:p w:rsidR="00F265F4" w:rsidRPr="00E11544" w:rsidRDefault="00F265F4" w:rsidP="00F265F4">
      <w:pPr>
        <w:pStyle w:val="Style12"/>
        <w:widowControl/>
        <w:tabs>
          <w:tab w:val="left" w:pos="4962"/>
        </w:tabs>
        <w:spacing w:line="480" w:lineRule="auto"/>
        <w:ind w:left="426"/>
        <w:rPr>
          <w:rStyle w:val="FontStyle21"/>
        </w:rPr>
      </w:pPr>
      <w:r w:rsidRPr="00E11544">
        <w:rPr>
          <w:rStyle w:val="FontStyle21"/>
        </w:rPr>
        <w:t>Indulási kikötő / Port de départ / Abfahrtshafen:</w:t>
      </w:r>
      <w:r w:rsidRPr="00E11544">
        <w:tab/>
      </w:r>
      <w:r w:rsidRPr="00E11544">
        <w:rPr>
          <w:rStyle w:val="FontStyle21"/>
        </w:rPr>
        <w:t>Érkezési kikötő / Port d’arrivée / Ankunftshafen:</w:t>
      </w:r>
    </w:p>
    <w:p w:rsidR="00F265F4" w:rsidRPr="00E11544" w:rsidRDefault="00F265F4" w:rsidP="00F265F4">
      <w:pPr>
        <w:pStyle w:val="Style8"/>
        <w:widowControl/>
        <w:tabs>
          <w:tab w:val="left" w:pos="4962"/>
        </w:tabs>
        <w:spacing w:line="480" w:lineRule="auto"/>
        <w:ind w:firstLine="426"/>
        <w:rPr>
          <w:rStyle w:val="FontStyle21"/>
        </w:rPr>
      </w:pPr>
      <w:r w:rsidRPr="00E11544">
        <w:rPr>
          <w:rStyle w:val="FontStyle21"/>
        </w:rPr>
        <w:t xml:space="preserve">................................................................................................. </w:t>
      </w:r>
      <w:r w:rsidRPr="00E11544">
        <w:tab/>
      </w:r>
      <w:r w:rsidRPr="00E11544">
        <w:rPr>
          <w:rStyle w:val="FontStyle21"/>
        </w:rPr>
        <w:t>.................................................................................................</w:t>
      </w:r>
    </w:p>
    <w:p w:rsidR="00F265F4" w:rsidRPr="00E11544" w:rsidRDefault="00F265F4" w:rsidP="00F265F4">
      <w:pPr>
        <w:pStyle w:val="Style12"/>
        <w:widowControl/>
        <w:numPr>
          <w:ilvl w:val="0"/>
          <w:numId w:val="17"/>
        </w:numPr>
        <w:tabs>
          <w:tab w:val="left" w:pos="426"/>
          <w:tab w:val="left" w:pos="2977"/>
          <w:tab w:val="left" w:pos="4962"/>
        </w:tabs>
        <w:spacing w:line="360" w:lineRule="auto"/>
        <w:ind w:left="426" w:hanging="426"/>
        <w:rPr>
          <w:rStyle w:val="FontStyle21"/>
        </w:rPr>
      </w:pPr>
      <w:r w:rsidRPr="00E11544">
        <w:rPr>
          <w:rStyle w:val="FontStyle21"/>
        </w:rPr>
        <w:t xml:space="preserve">Szárazföldi szállítás </w:t>
      </w:r>
      <w:r w:rsidRPr="00E11544">
        <w:tab/>
      </w:r>
      <w:r w:rsidRPr="00E11544">
        <w:rPr>
          <w:rStyle w:val="FontStyle21"/>
        </w:rPr>
        <w:t>vagy</w:t>
      </w:r>
      <w:r w:rsidRPr="00E11544">
        <w:tab/>
      </w:r>
      <w:r w:rsidRPr="00E11544">
        <w:rPr>
          <w:rStyle w:val="FontStyle21"/>
          <w:sz w:val="40"/>
        </w:rPr>
        <w:t xml:space="preserve">□ </w:t>
      </w:r>
      <w:r w:rsidRPr="00E11544">
        <w:rPr>
          <w:rStyle w:val="FontStyle21"/>
        </w:rPr>
        <w:t xml:space="preserve">Hajóról történő kirakodás </w:t>
      </w:r>
    </w:p>
    <w:p w:rsidR="00F265F4" w:rsidRPr="00E11544" w:rsidRDefault="00F265F4" w:rsidP="00F265F4">
      <w:pPr>
        <w:pStyle w:val="Style12"/>
        <w:widowControl/>
        <w:tabs>
          <w:tab w:val="left" w:pos="426"/>
          <w:tab w:val="left" w:pos="2835"/>
          <w:tab w:val="left" w:pos="4962"/>
        </w:tabs>
        <w:rPr>
          <w:rStyle w:val="FontStyle21"/>
        </w:rPr>
      </w:pPr>
      <w:r w:rsidRPr="00E11544">
        <w:rPr>
          <w:rStyle w:val="FontStyle21"/>
        </w:rPr>
        <w:t>A szárazföldi szállítás módja:</w:t>
      </w:r>
    </w:p>
    <w:p w:rsidR="00F265F4" w:rsidRPr="00E11544" w:rsidRDefault="00F265F4" w:rsidP="00F265F4">
      <w:pPr>
        <w:pStyle w:val="Style12"/>
        <w:widowControl/>
        <w:numPr>
          <w:ilvl w:val="0"/>
          <w:numId w:val="17"/>
        </w:numPr>
        <w:tabs>
          <w:tab w:val="left" w:pos="426"/>
          <w:tab w:val="left" w:pos="3119"/>
        </w:tabs>
        <w:ind w:left="426" w:hanging="426"/>
        <w:rPr>
          <w:rStyle w:val="FontStyle21"/>
        </w:rPr>
      </w:pPr>
      <w:r w:rsidRPr="00E11544">
        <w:rPr>
          <w:rStyle w:val="FontStyle21"/>
        </w:rPr>
        <w:t xml:space="preserve"> / par / durch konténerben</w:t>
      </w:r>
      <w:r w:rsidRPr="00E11544">
        <w:tab/>
      </w:r>
      <w:r w:rsidRPr="00E11544">
        <w:rPr>
          <w:rStyle w:val="FontStyle21"/>
          <w:sz w:val="40"/>
        </w:rPr>
        <w:t>□</w:t>
      </w:r>
      <w:r w:rsidRPr="00E11544">
        <w:rPr>
          <w:rStyle w:val="FontStyle21"/>
        </w:rPr>
        <w:t xml:space="preserve"> ömlesztve / en vrac / in loser Schüttung</w:t>
      </w:r>
    </w:p>
    <w:p w:rsidR="00F265F4" w:rsidRPr="00E11544" w:rsidRDefault="00F265F4" w:rsidP="00E1152D">
      <w:pPr>
        <w:pStyle w:val="Style3"/>
        <w:widowControl/>
        <w:tabs>
          <w:tab w:val="left" w:pos="3119"/>
          <w:tab w:val="left" w:pos="6663"/>
        </w:tabs>
        <w:ind w:left="426"/>
        <w:rPr>
          <w:rStyle w:val="FontStyle21"/>
        </w:rPr>
      </w:pPr>
      <w:r w:rsidRPr="00E11544">
        <w:rPr>
          <w:rStyle w:val="FontStyle21"/>
        </w:rPr>
        <w:t>Nyilvántartás / Matricule / Matrikel</w:t>
      </w:r>
      <w:r w:rsidRPr="00E11544">
        <w:tab/>
      </w:r>
      <w:r w:rsidRPr="00E11544">
        <w:rPr>
          <w:rStyle w:val="FontStyle21"/>
          <w:sz w:val="40"/>
        </w:rPr>
        <w:t>□</w:t>
      </w:r>
      <w:r w:rsidRPr="00E11544">
        <w:rPr>
          <w:rStyle w:val="FontStyle21"/>
        </w:rPr>
        <w:t xml:space="preserve"> Vasút / Chemin de fer / Eisenach</w:t>
      </w:r>
      <w:r w:rsidRPr="00E11544">
        <w:tab/>
      </w:r>
      <w:r w:rsidRPr="00E11544">
        <w:rPr>
          <w:rStyle w:val="FontStyle21"/>
          <w:sz w:val="40"/>
        </w:rPr>
        <w:t>□</w:t>
      </w:r>
      <w:r w:rsidRPr="00E11544">
        <w:rPr>
          <w:rStyle w:val="FontStyle21"/>
        </w:rPr>
        <w:t xml:space="preserve"> Közút / Par route / Auf der Strasse</w:t>
      </w:r>
    </w:p>
    <w:p w:rsidR="00F265F4" w:rsidRPr="00E11544" w:rsidRDefault="00F265F4" w:rsidP="00E1152D">
      <w:pPr>
        <w:pStyle w:val="Style3"/>
        <w:widowControl/>
        <w:tabs>
          <w:tab w:val="left" w:pos="3402"/>
          <w:tab w:val="left" w:pos="6946"/>
        </w:tabs>
        <w:rPr>
          <w:rStyle w:val="FontStyle21"/>
        </w:rPr>
      </w:pPr>
      <w:r w:rsidRPr="00E11544">
        <w:tab/>
      </w:r>
      <w:r w:rsidRPr="00E11544">
        <w:rPr>
          <w:rStyle w:val="FontStyle21"/>
        </w:rPr>
        <w:t xml:space="preserve">Vagonszám / Wagon : </w:t>
      </w:r>
      <w:r w:rsidRPr="00E11544">
        <w:tab/>
      </w:r>
      <w:r w:rsidRPr="00E11544">
        <w:rPr>
          <w:rStyle w:val="FontStyle21"/>
        </w:rPr>
        <w:t>Rendszám / Transporteur / Beförderer:</w:t>
      </w:r>
    </w:p>
    <w:p w:rsidR="00F265F4" w:rsidRPr="00E11544" w:rsidRDefault="00F265F4" w:rsidP="00F265F4">
      <w:pPr>
        <w:pStyle w:val="Style3"/>
        <w:widowControl/>
        <w:tabs>
          <w:tab w:val="left" w:pos="3119"/>
          <w:tab w:val="left" w:pos="6663"/>
        </w:tabs>
        <w:spacing w:line="360" w:lineRule="auto"/>
        <w:rPr>
          <w:rStyle w:val="FontStyle21"/>
          <w:sz w:val="12"/>
        </w:rPr>
      </w:pPr>
    </w:p>
    <w:p w:rsidR="00F265F4" w:rsidRPr="00E11544" w:rsidRDefault="00F265F4" w:rsidP="00F265F4">
      <w:pPr>
        <w:pStyle w:val="Style8"/>
        <w:widowControl/>
        <w:tabs>
          <w:tab w:val="left" w:pos="3119"/>
          <w:tab w:val="left" w:pos="4962"/>
          <w:tab w:val="left" w:pos="6804"/>
        </w:tabs>
        <w:spacing w:line="360" w:lineRule="auto"/>
        <w:rPr>
          <w:rStyle w:val="FontStyle21"/>
          <w:sz w:val="8"/>
        </w:rPr>
      </w:pPr>
      <w:r w:rsidRPr="00E11544">
        <w:rPr>
          <w:rStyle w:val="FontStyle21"/>
        </w:rPr>
        <w:t xml:space="preserve">................................................... </w:t>
      </w:r>
      <w:r w:rsidRPr="00E11544">
        <w:tab/>
      </w:r>
      <w:r w:rsidRPr="00E11544">
        <w:rPr>
          <w:rStyle w:val="FontStyle21"/>
        </w:rPr>
        <w:t>...................................................</w:t>
      </w:r>
      <w:r w:rsidRPr="00E11544">
        <w:tab/>
      </w:r>
      <w:r w:rsidRPr="00E11544">
        <w:rPr>
          <w:rStyle w:val="FontStyle21"/>
        </w:rPr>
        <w:t>...................................................</w:t>
      </w:r>
    </w:p>
    <w:p w:rsidR="00F265F4" w:rsidRPr="00E11544" w:rsidRDefault="00F265F4" w:rsidP="00F265F4">
      <w:pPr>
        <w:pStyle w:val="Style13"/>
        <w:widowControl/>
        <w:spacing w:line="360" w:lineRule="auto"/>
        <w:rPr>
          <w:rStyle w:val="FontStyle21"/>
          <w:sz w:val="8"/>
        </w:rPr>
      </w:pPr>
    </w:p>
    <w:p w:rsidR="00F265F4" w:rsidRPr="00E11544" w:rsidRDefault="00F265F4" w:rsidP="00F265F4">
      <w:pPr>
        <w:pStyle w:val="Style13"/>
        <w:widowControl/>
        <w:jc w:val="center"/>
        <w:rPr>
          <w:rStyle w:val="FontStyle21"/>
          <w:sz w:val="12"/>
        </w:rPr>
      </w:pPr>
      <w:r w:rsidRPr="00E11544">
        <w:rPr>
          <w:rStyle w:val="FontStyle21"/>
        </w:rPr>
        <w:t>VIZSGÁLATI EREDMÉNYEK / RESULTATS DES CONTRÔLES / ERGEBNISSE DER KONTROLLE</w:t>
      </w:r>
    </w:p>
    <w:p w:rsidR="00F265F4" w:rsidRPr="00E11544" w:rsidRDefault="00F265F4" w:rsidP="00F265F4">
      <w:pPr>
        <w:pStyle w:val="Style13"/>
        <w:widowControl/>
        <w:spacing w:line="360" w:lineRule="auto"/>
        <w:jc w:val="center"/>
        <w:rPr>
          <w:rStyle w:val="FontStyle21"/>
          <w:sz w:val="12"/>
        </w:rPr>
      </w:pPr>
    </w:p>
    <w:p w:rsidR="00F265F4" w:rsidRPr="00E11544" w:rsidRDefault="00F265F4" w:rsidP="00F265F4">
      <w:pPr>
        <w:pStyle w:val="Style8"/>
        <w:widowControl/>
        <w:spacing w:line="360" w:lineRule="auto"/>
        <w:rPr>
          <w:rStyle w:val="FontStyle21"/>
        </w:rPr>
      </w:pPr>
      <w:r w:rsidRPr="00E11544">
        <w:rPr>
          <w:rStyle w:val="FontStyle21"/>
        </w:rPr>
        <w:t xml:space="preserve">Helyi természetes átlagos háttérérték a vizsgálat időpontjában    </w:t>
      </w:r>
      <w:r w:rsidRPr="00E11544">
        <w:rPr>
          <w:noProof/>
          <w:lang w:val="en-US" w:eastAsia="en-US" w:bidi="ar-SA"/>
        </w:rPr>
        <w:drawing>
          <wp:inline distT="0" distB="0" distL="0" distR="0" wp14:anchorId="4A64B09A" wp14:editId="2583A05F">
            <wp:extent cx="171429" cy="1904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429" cy="190476"/>
                    </a:xfrm>
                    <a:prstGeom prst="rect">
                      <a:avLst/>
                    </a:prstGeom>
                  </pic:spPr>
                </pic:pic>
              </a:graphicData>
            </a:graphic>
          </wp:inline>
        </w:drawing>
      </w:r>
      <w:r w:rsidRPr="00E11544">
        <w:rPr>
          <w:rStyle w:val="FontStyle21"/>
        </w:rPr>
        <w:t xml:space="preserve"> = ....................................................... µGy/h</w:t>
      </w:r>
    </w:p>
    <w:p w:rsidR="00F265F4" w:rsidRPr="00E11544" w:rsidRDefault="00F265F4" w:rsidP="00F265F4">
      <w:pPr>
        <w:pStyle w:val="Style8"/>
        <w:widowControl/>
        <w:spacing w:line="360" w:lineRule="auto"/>
        <w:rPr>
          <w:rStyle w:val="FontStyle21"/>
          <w:sz w:val="12"/>
        </w:rPr>
      </w:pPr>
      <w:r w:rsidRPr="00E11544">
        <w:rPr>
          <w:rStyle w:val="FontStyle21"/>
        </w:rPr>
        <w:t>(Fond naturel local moyen au moment du contrôle / Mittelwert der natürlichen lokalen Strahlung im Moment der Kontrolle)</w:t>
      </w:r>
    </w:p>
    <w:p w:rsidR="00F265F4" w:rsidRPr="00E11544" w:rsidRDefault="00F265F4" w:rsidP="00F265F4">
      <w:pPr>
        <w:pStyle w:val="Style8"/>
        <w:widowControl/>
        <w:spacing w:line="360" w:lineRule="auto"/>
        <w:rPr>
          <w:rStyle w:val="FontStyle21"/>
          <w:sz w:val="12"/>
        </w:rPr>
      </w:pPr>
    </w:p>
    <w:p w:rsidR="00F265F4" w:rsidRPr="00E11544" w:rsidRDefault="00F265F4" w:rsidP="00F265F4">
      <w:pPr>
        <w:pStyle w:val="Style8"/>
        <w:widowControl/>
        <w:spacing w:line="360" w:lineRule="auto"/>
        <w:rPr>
          <w:rStyle w:val="FontStyle21"/>
        </w:rPr>
      </w:pPr>
      <w:r w:rsidRPr="00E11544">
        <w:rPr>
          <w:rStyle w:val="FontStyle21"/>
        </w:rPr>
        <w:t>A levegőben kimutatott maximális érték a rakomány falaitól számított 20 cm-en belül: ................................................ µGy/h</w:t>
      </w:r>
    </w:p>
    <w:p w:rsidR="00F265F4" w:rsidRPr="00E11544" w:rsidRDefault="00F265F4" w:rsidP="00F265F4">
      <w:pPr>
        <w:pStyle w:val="Style6"/>
        <w:widowControl/>
        <w:rPr>
          <w:rStyle w:val="FontStyle21"/>
        </w:rPr>
      </w:pPr>
      <w:r w:rsidRPr="00E11544">
        <w:rPr>
          <w:rStyle w:val="FontStyle21"/>
        </w:rPr>
        <w:t>Valeur maximale relevée en air dans 20 cm des parois du chargement / Grösster Wert gemessen in der Luft binnen 20 cm von den Wänden der Ladung)</w:t>
      </w:r>
    </w:p>
    <w:p w:rsidR="00F265F4" w:rsidRPr="00E11544" w:rsidRDefault="00F265F4" w:rsidP="00B76C36">
      <w:pPr>
        <w:pStyle w:val="Style5"/>
        <w:widowControl/>
        <w:spacing w:before="120" w:line="360" w:lineRule="auto"/>
        <w:jc w:val="center"/>
        <w:rPr>
          <w:rStyle w:val="FontStyle21"/>
        </w:rPr>
      </w:pPr>
      <w:r w:rsidRPr="00E11544">
        <w:rPr>
          <w:rStyle w:val="FontStyle21"/>
        </w:rPr>
        <w:t xml:space="preserve">NYILATKOZAT / DECLARATION / ERKLARUNG </w:t>
      </w:r>
    </w:p>
    <w:p w:rsidR="00F265F4" w:rsidRPr="00E11544" w:rsidRDefault="00F265F4" w:rsidP="00F265F4">
      <w:pPr>
        <w:pStyle w:val="Style5"/>
        <w:widowControl/>
        <w:spacing w:line="360" w:lineRule="auto"/>
        <w:rPr>
          <w:rStyle w:val="FontStyle21"/>
        </w:rPr>
      </w:pPr>
      <w:r w:rsidRPr="00E11544">
        <w:rPr>
          <w:rStyle w:val="FontStyle21"/>
        </w:rPr>
        <w:t>Alulírott / Le soussigné / Der Unterzeichner:</w:t>
      </w:r>
    </w:p>
    <w:p w:rsidR="00F265F4" w:rsidRPr="00E11544" w:rsidRDefault="00F265F4" w:rsidP="00F265F4">
      <w:pPr>
        <w:pStyle w:val="Style4"/>
        <w:widowControl/>
        <w:spacing w:line="360" w:lineRule="auto"/>
        <w:rPr>
          <w:rStyle w:val="FontStyle21"/>
        </w:rPr>
      </w:pPr>
      <w:r w:rsidRPr="00E11544">
        <w:rPr>
          <w:rStyle w:val="FontStyle21"/>
        </w:rPr>
        <w:t xml:space="preserve">Lakhely (cím, ország) / Résident (Adresse, Pays) / Wohnhaft (Anschrift, Land): </w:t>
      </w:r>
    </w:p>
    <w:p w:rsidR="00F265F4" w:rsidRPr="00E11544" w:rsidRDefault="00F265F4" w:rsidP="00F265F4">
      <w:pPr>
        <w:pStyle w:val="Style4"/>
        <w:widowControl/>
        <w:tabs>
          <w:tab w:val="left" w:pos="5387"/>
        </w:tabs>
        <w:spacing w:line="360" w:lineRule="auto"/>
        <w:rPr>
          <w:rStyle w:val="FontStyle21"/>
        </w:rPr>
      </w:pPr>
      <w:r w:rsidRPr="00E11544">
        <w:rPr>
          <w:rStyle w:val="FontStyle21"/>
        </w:rPr>
        <w:t xml:space="preserve">Gazdálkodó egység: </w:t>
      </w:r>
      <w:r w:rsidRPr="00E11544">
        <w:tab/>
      </w:r>
      <w:r w:rsidRPr="00E11544">
        <w:rPr>
          <w:rStyle w:val="FontStyle21"/>
        </w:rPr>
        <w:t xml:space="preserve">Beosztás: </w:t>
      </w:r>
    </w:p>
    <w:p w:rsidR="00F265F4" w:rsidRPr="00E11544" w:rsidRDefault="00F265F4" w:rsidP="00F265F4">
      <w:pPr>
        <w:pStyle w:val="Style4"/>
        <w:widowControl/>
        <w:tabs>
          <w:tab w:val="left" w:pos="5387"/>
        </w:tabs>
        <w:spacing w:line="360" w:lineRule="auto"/>
        <w:rPr>
          <w:rStyle w:val="FontStyle21"/>
        </w:rPr>
      </w:pPr>
      <w:r w:rsidRPr="00E11544">
        <w:rPr>
          <w:rStyle w:val="FontStyle21"/>
        </w:rPr>
        <w:t xml:space="preserve">Tel.: </w:t>
      </w:r>
      <w:r w:rsidRPr="00E11544">
        <w:tab/>
      </w:r>
      <w:r w:rsidRPr="00E11544">
        <w:rPr>
          <w:rStyle w:val="FontStyle21"/>
        </w:rPr>
        <w:t>Fax:</w:t>
      </w:r>
    </w:p>
    <w:p w:rsidR="00F265F4" w:rsidRPr="00E11544" w:rsidRDefault="00F265F4" w:rsidP="00F265F4">
      <w:pPr>
        <w:pStyle w:val="Style6"/>
        <w:widowControl/>
        <w:rPr>
          <w:rStyle w:val="FontStyle21"/>
        </w:rPr>
      </w:pPr>
      <w:r w:rsidRPr="00E11544">
        <w:rPr>
          <w:rStyle w:val="FontStyle21"/>
        </w:rPr>
        <w:t>A radiometrikus mérések szakértője kijelenti, hogy a formanyomtatványban szereplő rakományon elvégzett mérések nem mutattak a helyi természetes sugárzási háttérérték átlagos ingadozását meghaladó értékeket. Ennek bizonyságául a nyilatkozatot aláírja.</w:t>
      </w:r>
    </w:p>
    <w:p w:rsidR="00F265F4" w:rsidRPr="00E11544" w:rsidRDefault="00F265F4" w:rsidP="00F265F4">
      <w:pPr>
        <w:pStyle w:val="Style6"/>
        <w:widowControl/>
        <w:rPr>
          <w:rStyle w:val="FontStyle21"/>
        </w:rPr>
      </w:pPr>
      <w:r w:rsidRPr="00E11544">
        <w:rPr>
          <w:rStyle w:val="FontStyle21"/>
        </w:rPr>
        <w:t>Expert en mesures radiométriques, déclare que les mesures exécutées sur le chargement, dont au présent formulaire, n'ont pas relevé des valeurs supérieures à la fluctuation moyenne du fond naturel local de rayonnement. Fait de bonne foi.</w:t>
      </w:r>
    </w:p>
    <w:p w:rsidR="00F265F4" w:rsidRPr="00E11544" w:rsidRDefault="00F265F4" w:rsidP="00F265F4">
      <w:pPr>
        <w:pStyle w:val="Style6"/>
        <w:widowControl/>
        <w:rPr>
          <w:rStyle w:val="FontStyle21"/>
        </w:rPr>
      </w:pPr>
      <w:r w:rsidRPr="00E11544">
        <w:rPr>
          <w:rStyle w:val="FontStyle21"/>
        </w:rPr>
        <w:t>Experte für die Messung nuklearer Strahlung erklärt, dass die an der Ladung ausgeführten Messungen bezüglich dieses Formulars keine Werte angezeigt haben, die höher sind als die mittlere Schwankung der natürlichen lokalen Strahlung. In gutem Glauben.</w:t>
      </w:r>
    </w:p>
    <w:p w:rsidR="00F265F4" w:rsidRPr="00E11544" w:rsidRDefault="00F265F4" w:rsidP="00F265F4">
      <w:pPr>
        <w:pStyle w:val="Style6"/>
        <w:widowControl/>
        <w:spacing w:line="360" w:lineRule="auto"/>
        <w:rPr>
          <w:rStyle w:val="FontStyle21"/>
        </w:rPr>
      </w:pPr>
    </w:p>
    <w:p w:rsidR="00F265F4" w:rsidRPr="00E11544" w:rsidRDefault="00F265F4" w:rsidP="00F265F4">
      <w:pPr>
        <w:pStyle w:val="Style8"/>
        <w:widowControl/>
        <w:tabs>
          <w:tab w:val="left" w:pos="5387"/>
        </w:tabs>
        <w:spacing w:line="360" w:lineRule="auto"/>
        <w:rPr>
          <w:rStyle w:val="FontStyle21"/>
        </w:rPr>
      </w:pPr>
      <w:r w:rsidRPr="00E11544">
        <w:rPr>
          <w:rStyle w:val="FontStyle21"/>
        </w:rPr>
        <w:t xml:space="preserve">Kelt / Date / Datum: ............................................... </w:t>
      </w:r>
      <w:r w:rsidRPr="00E11544">
        <w:tab/>
      </w:r>
      <w:r w:rsidRPr="00E11544">
        <w:rPr>
          <w:rStyle w:val="FontStyle21"/>
        </w:rPr>
        <w:t>Aláírás / Signature / Unterschrift: ..........................................................</w:t>
      </w:r>
    </w:p>
    <w:p w:rsidR="00F265F4" w:rsidRPr="00E11544" w:rsidRDefault="00F265F4" w:rsidP="00F265F4">
      <w:pPr>
        <w:pStyle w:val="Style8"/>
        <w:widowControl/>
        <w:spacing w:line="360" w:lineRule="auto"/>
        <w:rPr>
          <w:rStyle w:val="FontStyle21"/>
        </w:rPr>
      </w:pPr>
    </w:p>
    <w:p w:rsidR="00F265F4" w:rsidRPr="00E11544" w:rsidRDefault="00F265F4" w:rsidP="00E11544">
      <w:pPr>
        <w:pStyle w:val="Style8"/>
        <w:widowControl/>
        <w:spacing w:line="360" w:lineRule="auto"/>
        <w:rPr>
          <w:rFonts w:ascii="Times New Roman" w:hAnsi="Times New Roman"/>
        </w:rPr>
      </w:pPr>
      <w:r w:rsidRPr="00E11544">
        <w:rPr>
          <w:rStyle w:val="FontStyle21"/>
        </w:rPr>
        <w:t>2. szakasz Az illetékes hatóság jóváhagyása</w:t>
      </w:r>
    </w:p>
    <w:p w:rsidR="00F265F4" w:rsidRPr="00E11544" w:rsidRDefault="00F265F4" w:rsidP="00CF773E">
      <w:pPr>
        <w:spacing w:line="240" w:lineRule="auto"/>
        <w:ind w:left="708" w:hanging="356"/>
        <w:jc w:val="both"/>
        <w:rPr>
          <w:rFonts w:ascii="Times New Roman" w:hAnsi="Times New Roman" w:cs="Times New Roman"/>
          <w:sz w:val="24"/>
          <w:szCs w:val="24"/>
        </w:rPr>
        <w:sectPr w:rsidR="00F265F4" w:rsidRPr="00E11544" w:rsidSect="00F265F4">
          <w:headerReference w:type="default" r:id="rId11"/>
          <w:pgSz w:w="11909" w:h="16834" w:code="9"/>
          <w:pgMar w:top="567" w:right="851" w:bottom="284" w:left="851" w:header="720" w:footer="720" w:gutter="0"/>
          <w:cols w:space="720"/>
          <w:noEndnote/>
        </w:sectPr>
      </w:pPr>
    </w:p>
    <w:tbl>
      <w:tblPr>
        <w:tblW w:w="7120" w:type="dxa"/>
        <w:tblInd w:w="113" w:type="dxa"/>
        <w:tblLook w:val="04A0" w:firstRow="1" w:lastRow="0" w:firstColumn="1" w:lastColumn="0" w:noHBand="0" w:noVBand="1"/>
      </w:tblPr>
      <w:tblGrid>
        <w:gridCol w:w="5320"/>
        <w:gridCol w:w="2300"/>
      </w:tblGrid>
      <w:tr w:rsidR="00F265F4" w:rsidRPr="00E11544" w:rsidTr="00223553">
        <w:trPr>
          <w:trHeight w:val="269"/>
        </w:trPr>
        <w:tc>
          <w:tcPr>
            <w:tcW w:w="5320" w:type="dxa"/>
            <w:vMerge w:val="restart"/>
            <w:tcBorders>
              <w:top w:val="single" w:sz="4" w:space="0" w:color="auto"/>
              <w:left w:val="single" w:sz="4" w:space="0" w:color="auto"/>
              <w:bottom w:val="single" w:sz="4" w:space="0" w:color="auto"/>
              <w:right w:val="single" w:sz="4" w:space="0" w:color="auto"/>
            </w:tcBorders>
            <w:shd w:val="clear" w:color="000000" w:fill="9ED3A4"/>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lastRenderedPageBreak/>
              <w:t xml:space="preserve">LEÍRÁS </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9ED3A4"/>
            <w:noWrap/>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KN-kód</w:t>
            </w:r>
          </w:p>
        </w:tc>
      </w:tr>
      <w:tr w:rsidR="00F265F4" w:rsidRPr="00E11544" w:rsidTr="00223553">
        <w:trPr>
          <w:trHeight w:val="269"/>
        </w:trPr>
        <w:tc>
          <w:tcPr>
            <w:tcW w:w="5320" w:type="dxa"/>
            <w:vMerge/>
            <w:tcBorders>
              <w:top w:val="single" w:sz="4" w:space="0" w:color="auto"/>
              <w:left w:val="single" w:sz="4" w:space="0" w:color="auto"/>
              <w:bottom w:val="single" w:sz="4" w:space="0" w:color="auto"/>
              <w:right w:val="single" w:sz="4" w:space="0" w:color="auto"/>
            </w:tcBorders>
            <w:vAlign w:val="center"/>
            <w:hideMark/>
          </w:tcPr>
          <w:p w:rsidR="00F265F4" w:rsidRPr="00E11544" w:rsidRDefault="00F265F4" w:rsidP="00F265F4">
            <w:pPr>
              <w:spacing w:after="0" w:line="240" w:lineRule="auto"/>
              <w:rPr>
                <w:rFonts w:ascii="Calibri" w:eastAsia="Times New Roman" w:hAnsi="Calibri" w:cs="Calibri"/>
                <w:b/>
                <w:bCs/>
                <w:color w:val="00000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265F4" w:rsidRPr="00E11544" w:rsidRDefault="00F265F4" w:rsidP="00F265F4">
            <w:pPr>
              <w:spacing w:after="0" w:line="240" w:lineRule="auto"/>
              <w:rPr>
                <w:rFonts w:ascii="Calibri" w:eastAsia="Times New Roman" w:hAnsi="Calibri" w:cs="Calibri"/>
                <w:b/>
                <w:bCs/>
                <w:color w:val="000000"/>
              </w:rPr>
            </w:pPr>
          </w:p>
        </w:tc>
      </w:tr>
      <w:tr w:rsidR="00F265F4" w:rsidRPr="00E11544" w:rsidTr="00223553">
        <w:trPr>
          <w:trHeight w:val="269"/>
        </w:trPr>
        <w:tc>
          <w:tcPr>
            <w:tcW w:w="5320" w:type="dxa"/>
            <w:vMerge w:val="restart"/>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rPr>
                <w:rFonts w:ascii="Calibri" w:eastAsia="Times New Roman" w:hAnsi="Calibri" w:cs="Calibri"/>
                <w:b/>
                <w:bCs/>
                <w:color w:val="000000"/>
              </w:rPr>
            </w:pPr>
            <w:r w:rsidRPr="00E11544">
              <w:rPr>
                <w:rFonts w:ascii="Calibri" w:hAnsi="Calibri"/>
                <w:b/>
                <w:color w:val="000000"/>
              </w:rPr>
              <w:t>ÖNTÖDEI MUNKÁK</w:t>
            </w:r>
          </w:p>
        </w:tc>
        <w:tc>
          <w:tcPr>
            <w:tcW w:w="1800" w:type="dxa"/>
            <w:vMerge w:val="restart"/>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p>
        </w:tc>
      </w:tr>
      <w:tr w:rsidR="00F265F4" w:rsidRPr="00E11544" w:rsidTr="00223553">
        <w:trPr>
          <w:trHeight w:val="269"/>
        </w:trPr>
        <w:tc>
          <w:tcPr>
            <w:tcW w:w="5320" w:type="dxa"/>
            <w:vMerge/>
            <w:tcBorders>
              <w:top w:val="nil"/>
              <w:left w:val="single" w:sz="4" w:space="0" w:color="auto"/>
              <w:bottom w:val="nil"/>
              <w:right w:val="single" w:sz="4" w:space="0" w:color="auto"/>
            </w:tcBorders>
            <w:vAlign w:val="center"/>
            <w:hideMark/>
          </w:tcPr>
          <w:p w:rsidR="00F265F4" w:rsidRPr="00E11544" w:rsidRDefault="00F265F4" w:rsidP="00F265F4">
            <w:pPr>
              <w:spacing w:after="0" w:line="240" w:lineRule="auto"/>
              <w:rPr>
                <w:rFonts w:ascii="Calibri" w:eastAsia="Times New Roman" w:hAnsi="Calibri" w:cs="Calibri"/>
                <w:b/>
                <w:bCs/>
                <w:color w:val="000000"/>
              </w:rPr>
            </w:pPr>
          </w:p>
        </w:tc>
        <w:tc>
          <w:tcPr>
            <w:tcW w:w="1800" w:type="dxa"/>
            <w:vMerge/>
            <w:tcBorders>
              <w:top w:val="nil"/>
              <w:left w:val="single" w:sz="4" w:space="0" w:color="auto"/>
              <w:bottom w:val="nil"/>
              <w:right w:val="single" w:sz="4" w:space="0" w:color="auto"/>
            </w:tcBorders>
            <w:vAlign w:val="center"/>
            <w:hideMark/>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single" w:sz="4" w:space="0" w:color="auto"/>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rPr>
              <w:t xml:space="preserve">Váltósínek, sínkeresztezés, váltóállító rudak és más kereszteződési darabok vasúti vagy villamosvasúti pályához vasból vagy acélból </w:t>
            </w:r>
          </w:p>
        </w:tc>
        <w:tc>
          <w:tcPr>
            <w:tcW w:w="1800" w:type="dxa"/>
            <w:tcBorders>
              <w:top w:val="nil"/>
              <w:left w:val="single" w:sz="4" w:space="0" w:color="auto"/>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73023000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alkatrész öntöttvasból, vasból vagy acélból az 7321 vámtarifaszám alá tartozó, háztartásban használt, nem elektromos melegítő készülékhez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73219000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Fűtőtest és részei vasból központi fűtéshez, nem elektromos fűtéssel (kivéve a másutt említett részeket és a központi fűtési kazánokat)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73221100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2D091D">
            <w:pPr>
              <w:spacing w:after="0" w:line="240" w:lineRule="auto"/>
              <w:rPr>
                <w:rFonts w:ascii="Calibri" w:eastAsia="Times New Roman" w:hAnsi="Calibri" w:cs="Calibri"/>
                <w:color w:val="000000"/>
              </w:rPr>
            </w:pPr>
            <w:r w:rsidRPr="00E11544">
              <w:rPr>
                <w:rFonts w:ascii="Calibri" w:hAnsi="Calibri"/>
                <w:color w:val="000000"/>
              </w:rPr>
              <w:t>Asztali, konyhai és más háztartási áru, valamint ezek részei öntöttvasból, nem zománcozva</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73239100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2D091D">
            <w:pPr>
              <w:spacing w:after="0" w:line="240" w:lineRule="auto"/>
              <w:rPr>
                <w:rFonts w:ascii="Calibri" w:eastAsia="Times New Roman" w:hAnsi="Calibri" w:cs="Calibri"/>
                <w:color w:val="000000"/>
              </w:rPr>
            </w:pPr>
            <w:r w:rsidRPr="00E11544">
              <w:rPr>
                <w:rFonts w:ascii="Calibri" w:hAnsi="Calibri"/>
                <w:color w:val="000000"/>
              </w:rPr>
              <w:t xml:space="preserve">M.n.s. készáru öntöttvasból vagy acélból (kivéve a kovácsolásra nem alkalmas vagy kovácsolásra alkalmas öntöttvasból készült készárukat, valamint az őrlőgolyókat és hasonló őrlő cikkeket)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73259990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M.n.s. áru öntött alumíniumból</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76169910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magnézium készáru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81049000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alkatrész vasból központi fűtés céljára szolgáló kazánhoz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84039010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alkatrész vízturbinához és vízikerékhez és a vízturbina szabályozója öntöttvasból, vasból vagy acélból </w:t>
            </w:r>
          </w:p>
        </w:tc>
        <w:tc>
          <w:tcPr>
            <w:tcW w:w="1800" w:type="dxa"/>
            <w:tcBorders>
              <w:top w:val="nil"/>
              <w:left w:val="nil"/>
              <w:bottom w:val="single" w:sz="4" w:space="0" w:color="auto"/>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rPr>
            </w:pPr>
            <w:r w:rsidRPr="00E11544">
              <w:rPr>
                <w:rFonts w:ascii="Calibri" w:hAnsi="Calibri"/>
              </w:rPr>
              <w:t>84109000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alkatrész öntöttvasból, vasból vagy acélból a 8426, 8429 vagy 8430 vámtarifaszám alá tartozó géphez, berendezéshez és eszközhöz </w:t>
            </w:r>
          </w:p>
        </w:tc>
        <w:tc>
          <w:tcPr>
            <w:tcW w:w="1800" w:type="dxa"/>
            <w:tcBorders>
              <w:top w:val="nil"/>
              <w:left w:val="nil"/>
              <w:bottom w:val="single" w:sz="4" w:space="0" w:color="auto"/>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84314920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alkatrész öntöttvasból, vasból vagy acélból papíripari rostanyag készítésére szolgáló géphez </w:t>
            </w:r>
          </w:p>
        </w:tc>
        <w:tc>
          <w:tcPr>
            <w:tcW w:w="1800" w:type="dxa"/>
            <w:tcBorders>
              <w:top w:val="nil"/>
              <w:left w:val="nil"/>
              <w:bottom w:val="single" w:sz="4" w:space="0" w:color="auto"/>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rPr>
            </w:pPr>
            <w:r w:rsidRPr="00E11544">
              <w:rPr>
                <w:rFonts w:ascii="Calibri" w:hAnsi="Calibri"/>
              </w:rPr>
              <w:t>84399100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Alkatrész öntöttvasból, vasból vagy acélból papír vagy karton előállítására vagy kikészítésére szolgáló géphez </w:t>
            </w:r>
          </w:p>
        </w:tc>
        <w:tc>
          <w:tcPr>
            <w:tcW w:w="1800" w:type="dxa"/>
            <w:tcBorders>
              <w:top w:val="nil"/>
              <w:left w:val="nil"/>
              <w:bottom w:val="single" w:sz="4" w:space="0" w:color="auto"/>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rPr>
            </w:pPr>
            <w:r w:rsidRPr="00E11544">
              <w:rPr>
                <w:rFonts w:ascii="Calibri" w:hAnsi="Calibri"/>
              </w:rPr>
              <w:t>84399900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M.n.s. alkatrész háztartásban vagy mosodában használatos mosógéphez</w:t>
            </w:r>
          </w:p>
        </w:tc>
        <w:tc>
          <w:tcPr>
            <w:tcW w:w="1800" w:type="dxa"/>
            <w:tcBorders>
              <w:top w:val="nil"/>
              <w:left w:val="nil"/>
              <w:bottom w:val="single" w:sz="4" w:space="0" w:color="auto"/>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84509000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alkatrész varrógéphez </w:t>
            </w:r>
          </w:p>
        </w:tc>
        <w:tc>
          <w:tcPr>
            <w:tcW w:w="1800" w:type="dxa"/>
            <w:tcBorders>
              <w:top w:val="nil"/>
              <w:left w:val="nil"/>
              <w:bottom w:val="single" w:sz="4" w:space="0" w:color="auto"/>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84529000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Nem a 8466 vámtarifaszám alá tartozó alkatrész és tartozék öntöttvasból, vasból vagy acélból a 8464 vámtarifaszám alá tartozó géphez </w:t>
            </w:r>
          </w:p>
        </w:tc>
        <w:tc>
          <w:tcPr>
            <w:tcW w:w="1800" w:type="dxa"/>
            <w:tcBorders>
              <w:top w:val="nil"/>
              <w:left w:val="nil"/>
              <w:bottom w:val="single" w:sz="4" w:space="0" w:color="auto"/>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84669120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Nem a 8466 vámtarifaszám alá tartozó alkatrész és tartozék öntöttvasból, vasból vagy acélból a 8465 vámtarifaszám alá tartozó géphez </w:t>
            </w:r>
          </w:p>
        </w:tc>
        <w:tc>
          <w:tcPr>
            <w:tcW w:w="1800" w:type="dxa"/>
            <w:tcBorders>
              <w:top w:val="nil"/>
              <w:left w:val="nil"/>
              <w:bottom w:val="single" w:sz="4" w:space="0" w:color="auto"/>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84669220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alkatrész öntöttvasból, vasból vagy acélból a 8474 vámtarifaszám alá tartozó, ásványi anyagok feldolgozásához használt géphez és berendezéshez </w:t>
            </w:r>
          </w:p>
        </w:tc>
        <w:tc>
          <w:tcPr>
            <w:tcW w:w="1800" w:type="dxa"/>
            <w:tcBorders>
              <w:top w:val="nil"/>
              <w:left w:val="nil"/>
              <w:bottom w:val="single" w:sz="4" w:space="0" w:color="auto"/>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84749010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Pénzváltó gép alkatrésze</w:t>
            </w:r>
          </w:p>
        </w:tc>
        <w:tc>
          <w:tcPr>
            <w:tcW w:w="1800" w:type="dxa"/>
            <w:tcBorders>
              <w:top w:val="nil"/>
              <w:left w:val="nil"/>
              <w:bottom w:val="single" w:sz="4" w:space="0" w:color="auto"/>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84769010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000000" w:fill="CCE8CF"/>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Gépek egyéb alkatrésze</w:t>
            </w:r>
          </w:p>
        </w:tc>
        <w:tc>
          <w:tcPr>
            <w:tcW w:w="1800" w:type="dxa"/>
            <w:tcBorders>
              <w:top w:val="nil"/>
              <w:left w:val="nil"/>
              <w:bottom w:val="single" w:sz="4" w:space="0" w:color="auto"/>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84769090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Alkatrész öntöttvasból, vasból vagy acélból gumi vagy műanyag feldolgozásához használt géphez és berendezéshez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84779010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M.n.s. alkatrész öntöttvasból vagy acélból egyedi funkciójú mechanikus géphez és berendezéshez</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84799020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Lendkerék, szíjtárcsa, beleértve a szíjhajtás gépegységét is, öntöttvasból, vasból vagy acélból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84835020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Tengelykapcsoló, tengelykötés, beleértve a </w:t>
            </w:r>
            <w:r w:rsidRPr="00E11544">
              <w:rPr>
                <w:rFonts w:ascii="Calibri" w:hAnsi="Calibri"/>
                <w:color w:val="000000"/>
              </w:rPr>
              <w:lastRenderedPageBreak/>
              <w:t xml:space="preserve">kardántengelyt is, géphez öntöttvasból, vasból vagy acélból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lastRenderedPageBreak/>
              <w:t>84836020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egyéb alkatrész öntöttvasból, vasból vagy acélból a 8483 vámtarifaszám alá tartozó erőátviteli tengelyhez, sebességváltóhoz, tengelykapcsolóhoz és egyéb kapcsolószerkezethez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84839081</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alkatrész vasból a 84. pontban említett, elektromos jellemzőkkel nem rendelkező géphez vagy berendezéshez </w:t>
            </w:r>
          </w:p>
        </w:tc>
        <w:tc>
          <w:tcPr>
            <w:tcW w:w="1800" w:type="dxa"/>
            <w:tcBorders>
              <w:top w:val="nil"/>
              <w:left w:val="nil"/>
              <w:bottom w:val="single" w:sz="4" w:space="0" w:color="auto"/>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84879040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alkatrész öntött acélból a 84. pontban említett, elektromos jellemzőkkel nem rendelkező géphez vagy berendezéshez </w:t>
            </w:r>
          </w:p>
        </w:tc>
        <w:tc>
          <w:tcPr>
            <w:tcW w:w="1800" w:type="dxa"/>
            <w:tcBorders>
              <w:top w:val="nil"/>
              <w:left w:val="nil"/>
              <w:bottom w:val="single" w:sz="4" w:space="0" w:color="auto"/>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84879051</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alkatrész öntöttvasból, vasból vagy acélból kizárólag vagy elsősorban elektromotorral és elektromos generátorral, elektromos áramfejlesztő egységgel vagy forgó áramátalakítóval történő használathoz </w:t>
            </w:r>
          </w:p>
        </w:tc>
        <w:tc>
          <w:tcPr>
            <w:tcW w:w="1800" w:type="dxa"/>
            <w:tcBorders>
              <w:top w:val="nil"/>
              <w:left w:val="nil"/>
              <w:bottom w:val="single" w:sz="4" w:space="0" w:color="auto"/>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85030091</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Tengely, szerelve is; kerekek és azok részei öntöttvasból, vasból vagy acélból </w:t>
            </w:r>
          </w:p>
        </w:tc>
        <w:tc>
          <w:tcPr>
            <w:tcW w:w="1800" w:type="dxa"/>
            <w:tcBorders>
              <w:top w:val="nil"/>
              <w:left w:val="nil"/>
              <w:bottom w:val="single" w:sz="4" w:space="0" w:color="auto"/>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rPr>
            </w:pPr>
            <w:r w:rsidRPr="00E11544">
              <w:rPr>
                <w:rFonts w:ascii="Calibri" w:hAnsi="Calibri"/>
              </w:rPr>
              <w:t>86071910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alkatrész traktorhoz és tíz vagy több utas szállítására szolgáló gépjárműhöz, kifejezetten személyszállításra tervezett gépkocsihoz és más gépjárműhöz, áruszállításra szolgáló különleges járműhöz használt tárcsafékhez (kivéve a 8708.30.10 vámtarifaszám alá tartozó gépjármű összeszereléséhez használt alkatrészt)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87083091</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fék, szervofék és ezek alkatrészei traktorhoz és tíz vagy több utas szállítására szolgáló gépjárműhöz, kifejezetten személyszállításra tervezett gépkocsihoz és más gépjárműhöz, áruszállításra szolgáló különleges járműhöz (kivéve azt, amelyet a 8708.30.10 vámtarifaszám alá tartozó gépjármű összeszereléséhez és tárcsafékekhez használnak)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87083099</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M.n.s. meghajtótengely differenciálművel, más erőátviteli részekkel szerelve is, nem meghajtó tengely és alkatrésze ipari összeszerelésre a 8703, 8704 vámtarifaszám alá tartozó, kompressziós gyújtású, dugattyús, belső égésű, legfeljebb 2 500 cm</w:t>
            </w:r>
            <w:r w:rsidRPr="00E11544">
              <w:rPr>
                <w:rFonts w:ascii="Calibri" w:hAnsi="Calibri"/>
                <w:color w:val="000000"/>
                <w:vertAlign w:val="superscript"/>
              </w:rPr>
              <w:t>3</w:t>
            </w:r>
            <w:r w:rsidRPr="00E11544">
              <w:rPr>
                <w:rFonts w:ascii="Calibri" w:hAnsi="Calibri"/>
                <w:color w:val="000000"/>
              </w:rPr>
              <w:t xml:space="preserve"> hengerűrtartalmú (dízel- vagy féldízel) motorral vagy szikragyújtású, dugattyús, belső égésű, legfeljebb 2 800 cm</w:t>
            </w:r>
            <w:r w:rsidRPr="00E11544">
              <w:rPr>
                <w:rFonts w:ascii="Calibri" w:hAnsi="Calibri"/>
                <w:color w:val="000000"/>
                <w:vertAlign w:val="superscript"/>
              </w:rPr>
              <w:t>3</w:t>
            </w:r>
            <w:r w:rsidRPr="00E11544">
              <w:rPr>
                <w:rFonts w:ascii="Calibri" w:hAnsi="Calibri"/>
                <w:color w:val="000000"/>
              </w:rPr>
              <w:t xml:space="preserve"> hengerűrtartalmú motorral rendelkező járműhöz és a 8705 vámtarifaszám alá tartozó különleges gépjárműhöz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87085020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meghajtótengely differenciálművel, más erőátviteli részekkel szerelve is, nem meghajtó tengely és alkatrésze traktorhoz, tíz vagy több utas szállítására szolgáló gépjárműhöz, kifejezetten személyszállításra tervezett gépkocsihoz és más gépjárműhöz, áruszállításra szolgáló különleges járműhöz (kivéve azt, amelyet a 8708.50.20 vámtarifaszám alá tartozó gépjármű összeszereléséhez használnak)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87085035</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alkatrész traktorhoz, tíz vagy több utas szállítására szolgáló gépjárműhöz, kifejezetten személyszállításra tervezett gépkocsihoz és más gépjárműhöz, áruszállításra szolgáló különleges járműhöz használt nem </w:t>
            </w:r>
            <w:r w:rsidRPr="00E11544">
              <w:rPr>
                <w:rFonts w:ascii="Calibri" w:hAnsi="Calibri"/>
                <w:color w:val="000000"/>
              </w:rPr>
              <w:lastRenderedPageBreak/>
              <w:t>meghajtó tengelyhez (kivéve a 8708.50.20 vámtarifaszám alá tartozó j</w:t>
            </w:r>
            <w:bookmarkStart w:id="0" w:name="_GoBack"/>
            <w:bookmarkEnd w:id="0"/>
            <w:r w:rsidRPr="00E11544">
              <w:rPr>
                <w:rFonts w:ascii="Calibri" w:hAnsi="Calibri"/>
                <w:color w:val="000000"/>
              </w:rPr>
              <w:t xml:space="preserve">árművek összeszereléséhez használt és préselt acélból készült alkatrészt)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lastRenderedPageBreak/>
              <w:t>87085091</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M.n.s. alkatrész traktorhoz, tíz vagy több utas szállítására szolgáló gépjárműhöz, kifejezetten személyszállításra tervezett gépkocsihoz és más gépjárműhöz, áruszállításra szolgáló különleges járműhöz használt, differenciálművel ellátott, akár más erőátviteli részekkel szerelt meghajtótengelyhez (kivéve a 8708.50.20 vámtarifaszám alá tartozó gépjármű összeszereléséhez használt és préselt acélból készült alkatrészt)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87085099</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Kerék, ennek alkatrésze és tartozéka ipari összeszerelésre: a 8701.10 vámtarifaszám alá tartozó egytengelyes kerti traktorhoz, a 8703 vámtarifaszám alá tartozó, áruszállításra szolgáló, kompressziós gyújtású, dugattyús, belső égésű, legfeljebb 2 500 cm</w:t>
            </w:r>
            <w:r w:rsidRPr="00E11544">
              <w:rPr>
                <w:rFonts w:ascii="Calibri" w:hAnsi="Calibri"/>
                <w:color w:val="000000"/>
                <w:vertAlign w:val="superscript"/>
              </w:rPr>
              <w:t>3</w:t>
            </w:r>
            <w:r w:rsidRPr="00E11544">
              <w:rPr>
                <w:rFonts w:ascii="Calibri" w:hAnsi="Calibri"/>
                <w:color w:val="000000"/>
              </w:rPr>
              <w:t xml:space="preserve"> hengerűrtartalmú (dízel- vagy féldízel) motorral vagy szikragyújtású, dugattyús, belső égésű, legfeljebb 2 800 cm</w:t>
            </w:r>
            <w:r w:rsidRPr="00E11544">
              <w:rPr>
                <w:rFonts w:ascii="Calibri" w:hAnsi="Calibri"/>
                <w:color w:val="000000"/>
                <w:vertAlign w:val="superscript"/>
              </w:rPr>
              <w:t>3</w:t>
            </w:r>
            <w:r w:rsidRPr="00E11544">
              <w:rPr>
                <w:rFonts w:ascii="Calibri" w:hAnsi="Calibri"/>
                <w:color w:val="000000"/>
              </w:rPr>
              <w:t xml:space="preserve"> hengerűrtartalmú motorral rendelkező gépjárműhöz és a 8705 vámtarifaszám alá tartozó különleges gépjárműhöz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87087010</w:t>
            </w:r>
          </w:p>
        </w:tc>
      </w:tr>
      <w:tr w:rsidR="00F265F4" w:rsidRPr="00E11544" w:rsidTr="00223553">
        <w:tc>
          <w:tcPr>
            <w:tcW w:w="5320" w:type="dxa"/>
            <w:tcBorders>
              <w:top w:val="nil"/>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Kerék, ennek alkatrésze és tartozék 10 vagy több utas szállítására szolgáló gépjárműhöz stb. </w:t>
            </w:r>
          </w:p>
        </w:tc>
        <w:tc>
          <w:tcPr>
            <w:tcW w:w="1800" w:type="dxa"/>
            <w:tcBorders>
              <w:top w:val="nil"/>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87087050</w:t>
            </w:r>
          </w:p>
        </w:tc>
      </w:tr>
      <w:tr w:rsidR="00F265F4" w:rsidRPr="00E11544" w:rsidTr="00223553">
        <w:tc>
          <w:tcPr>
            <w:tcW w:w="5320" w:type="dxa"/>
            <w:tcBorders>
              <w:top w:val="nil"/>
              <w:left w:val="single" w:sz="4" w:space="0" w:color="auto"/>
              <w:bottom w:val="nil"/>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Csillag alakú kerékrész stb. </w:t>
            </w:r>
          </w:p>
        </w:tc>
        <w:tc>
          <w:tcPr>
            <w:tcW w:w="1800" w:type="dxa"/>
            <w:tcBorders>
              <w:top w:val="nil"/>
              <w:left w:val="nil"/>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87087091</w:t>
            </w:r>
          </w:p>
        </w:tc>
      </w:tr>
      <w:tr w:rsidR="00F265F4" w:rsidRPr="00E11544" w:rsidTr="00223553">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Pótkocsi és félpótkocsi egyéb alkatrésze </w:t>
            </w:r>
          </w:p>
        </w:tc>
        <w:tc>
          <w:tcPr>
            <w:tcW w:w="1800" w:type="dxa"/>
            <w:tcBorders>
              <w:top w:val="single" w:sz="4" w:space="0" w:color="auto"/>
              <w:left w:val="nil"/>
              <w:bottom w:val="single" w:sz="4" w:space="0" w:color="auto"/>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87169090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b/>
                <w:bCs/>
                <w:color w:val="000000"/>
              </w:rPr>
            </w:pPr>
            <w:r w:rsidRPr="00E11544">
              <w:rPr>
                <w:rFonts w:ascii="Calibri" w:hAnsi="Calibri"/>
                <w:b/>
                <w:color w:val="000000"/>
              </w:rPr>
              <w:t xml:space="preserve">NEMVASFÉM FÉLGYÁRTMÁNYOK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RÉZ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b/>
                <w:bCs/>
                <w:color w:val="000000"/>
              </w:rPr>
            </w:pPr>
            <w:r w:rsidRPr="00E11544">
              <w:rPr>
                <w:rFonts w:ascii="Calibri" w:hAnsi="Calibri"/>
                <w:b/>
                <w:color w:val="000000"/>
              </w:rPr>
              <w:t xml:space="preserve">RÉZ </w:t>
            </w: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Rézrúd és -profil finomított rézből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7407 10 00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réz-cink alapötvözetből (sárgaréz)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7407 21 10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Profil réz-cink alapötvözetből (sárgaréz)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7407 21 90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és profil réz-nikkel (kupronikkel) vagy réz-nikkel-cink (nikkel-ezüst) alapötvözetből </w:t>
            </w:r>
          </w:p>
        </w:tc>
        <w:tc>
          <w:tcPr>
            <w:tcW w:w="1800" w:type="dxa"/>
            <w:tcBorders>
              <w:top w:val="nil"/>
              <w:left w:val="single" w:sz="4" w:space="0" w:color="auto"/>
              <w:bottom w:val="nil"/>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rPr>
            </w:pPr>
            <w:r w:rsidRPr="00E11544">
              <w:rPr>
                <w:rFonts w:ascii="Calibri" w:hAnsi="Calibri"/>
              </w:rPr>
              <w:t>7407 29 00</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és profil más réz alapötvözetből </w:t>
            </w:r>
          </w:p>
        </w:tc>
        <w:tc>
          <w:tcPr>
            <w:tcW w:w="1800" w:type="dxa"/>
            <w:tcBorders>
              <w:top w:val="nil"/>
              <w:left w:val="single" w:sz="4" w:space="0" w:color="auto"/>
              <w:bottom w:val="nil"/>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7407 29 00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Huzal finomított rézből, ha a legnagyobb keresztmetszete meghaladja a 6 mm-t</w:t>
            </w:r>
          </w:p>
        </w:tc>
        <w:tc>
          <w:tcPr>
            <w:tcW w:w="1800" w:type="dxa"/>
            <w:tcBorders>
              <w:top w:val="nil"/>
              <w:left w:val="single" w:sz="4" w:space="0" w:color="auto"/>
              <w:bottom w:val="nil"/>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7408 11 00</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Huzal finomított rézből, ha a legnagyobb keresztmetszete meghaladja a 0,5 mm-t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7408 19 10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Huzal finomított rézből, ha a legnagyobb keresztmetszete nem haladja meg a 0,5 mm-t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7408 19 90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Huzal réz-cink alapötvözetből (sárgaréz)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7408 21 00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Huzal réz-nikkel (kupronikkel) vagy réz-nikkel-cink alapötvözetből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7408 22 00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Huzal más rézötvözetből</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 7408 29 00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Rézlap, -lemez és -szalag, ha vastagsága meghaladja a 0,15 mm-t, tekercsben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7409 11 00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Rézlap, -lemez és -szalag, ha vastagsága meghaladja a 0,15 mm-t, nem tekercsben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7409 19 00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Lap, lemez és szalag réz-cink alapötvözetből (sárgaréz), ha vastagsága meghaladja a 0,15 mm-t, tekercsben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7409 21 00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Lap, lemez és szalag réz-cink alapötvözetből (sárgaréz), ha vastagsága meghaladja a 0,15 mm-t, nem tekercsben</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7409 29 00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Rézlap, -lemez és -szalag réz-ón alapötvözetből (bronz), ha vastagsága meghaladja a 0,15 mm-t, tekercsben</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7409 31 00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Rézlap, -lemez és -szalag réz-ón alapötvözetből (bronz), </w:t>
            </w:r>
            <w:r w:rsidRPr="00E11544">
              <w:rPr>
                <w:rFonts w:ascii="Calibri" w:hAnsi="Calibri"/>
                <w:color w:val="000000"/>
              </w:rPr>
              <w:lastRenderedPageBreak/>
              <w:t>ha vastagsága meghaladja a 0,15 mm-t, nem tekercsben</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lastRenderedPageBreak/>
              <w:t xml:space="preserve">7409 39 00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Rézlap, -lemez és -szalag réz-nikkel (kupronikkel) vagy réz-nikkel-cink (nikkel-ezüst) alapötvözetből, ha vastagsága meghaladja a 0,15 mm-t </w:t>
            </w:r>
          </w:p>
        </w:tc>
        <w:tc>
          <w:tcPr>
            <w:tcW w:w="1800" w:type="dxa"/>
            <w:tcBorders>
              <w:top w:val="nil"/>
              <w:left w:val="single" w:sz="4" w:space="0" w:color="auto"/>
              <w:bottom w:val="nil"/>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rPr>
            </w:pPr>
            <w:r w:rsidRPr="00E11544">
              <w:rPr>
                <w:rFonts w:ascii="Calibri" w:hAnsi="Calibri"/>
              </w:rPr>
              <w:t>7409 40 00</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Lap, lemez és szalag más rézötvözetből, ha vastagsága meghaladja a 0,15 mm-t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7409 90 00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Fólia finomított rézből, ha vastagsága legfeljebb 0,15 mm, alátét nélkül</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7410 11 00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Fólia rézötvözetből, ha vastagsága legfeljebb 0,15 mm, alátét nélkül</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7410 12 00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Fólia finomított rézből, ha vastagsága legfeljebb 0,15 mm, alátéttel</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7410 21 00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Fólia rézötvözetből, ha vastagsága legfeljebb 0,15 mm, alátéttel</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7410 22 00 </w:t>
            </w:r>
          </w:p>
        </w:tc>
      </w:tr>
      <w:tr w:rsidR="00F265F4" w:rsidRPr="00E11544" w:rsidTr="00223553">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b/>
                <w:bCs/>
                <w:color w:val="000000"/>
              </w:rPr>
            </w:pPr>
            <w:r w:rsidRPr="00E11544">
              <w:rPr>
                <w:rFonts w:ascii="Calibri" w:hAnsi="Calibri"/>
                <w:b/>
                <w:color w:val="000000"/>
              </w:rPr>
              <w:t xml:space="preserve">NIKKEL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NIKKEL</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és profil ötvözetlen nikkelből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7505 11 00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Rúd és profil nikkelötvözetből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7505 12 00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Huzal ötvözetlen nikkelből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7505 21 00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Huzal nikkelötvözetből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7505 22 00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Lap, lemez, szalag és fólia ötvözetlen nikkelből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7506 10 00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Lap, lemez, szalag és fólia nikkelötvözetből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7506 20 00 </w:t>
            </w:r>
          </w:p>
        </w:tc>
      </w:tr>
      <w:tr w:rsidR="00F265F4" w:rsidRPr="00E11544" w:rsidTr="00223553">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b/>
                <w:bCs/>
                <w:color w:val="000000"/>
              </w:rPr>
            </w:pPr>
            <w:r w:rsidRPr="00E11544">
              <w:rPr>
                <w:rFonts w:ascii="Calibri" w:hAnsi="Calibri"/>
                <w:b/>
                <w:color w:val="000000"/>
              </w:rPr>
              <w:t xml:space="preserve">ALUMÍNIUM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ALUMÍNIUM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ötvözetlen alumíniumból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7604 10 10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Profil ötvözetlen alumíniumból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7604 10 90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Üreges profil alumíniumötvözetből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7604 21 00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alumíniumötvözetből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7604 29 10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Profil alumíniumötvözetből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7604 29 90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Huzal ötvözetlen alumíniumból, ha a legnagyobb keresztmetszete meghaladja a 7 mm-t.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7605 11 00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Huzal ötvözetlen alumíniumból, más</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 7605 19 00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Huzal alumíniumötvözetből, ha a legnagyobb keresztmetszete meghaladja a 7 mm-t.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 7605 21 00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Huzal alumíniumötvözetből, más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7605 29 00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Négyzetes vagy téglalap alakú ötvözetlen alumíniumlap, -lemez és -szalag festve, lakkozva, illetve műanyaggal bevonva</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7606 11 10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Négyzetes vagy téglalap alakú ötvözetlen alumíniumlap, -lemez és -szalag, ha vastagsága legfeljebb 3 mm, bevonat nélkül</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7606 11 91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Négyzetes vagy téglalap alakú ötvözetlen alumíniumlap, -lemez és -szalag, ha vastagsága legalább 3 mm, de legfeljebb 6 mm, bevonat nélkül</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7606 11 93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Négyzetes vagy téglalap alakú ötvözetlen alumíniumlap, -lemez és -szalag, ha vastagsága meghaladja a 6 mm-t, bevonat nélkül</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7606 11 99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Négyzetes vagy téglalap alakú ötvözött alumíniumszalag festve, lakkozva, illetve műanyaggal bevonva</w:t>
            </w:r>
          </w:p>
        </w:tc>
        <w:tc>
          <w:tcPr>
            <w:tcW w:w="1800" w:type="dxa"/>
            <w:tcBorders>
              <w:top w:val="nil"/>
              <w:left w:val="single" w:sz="4" w:space="0" w:color="auto"/>
              <w:bottom w:val="nil"/>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rPr>
            </w:pPr>
            <w:r w:rsidRPr="00E11544">
              <w:rPr>
                <w:rFonts w:ascii="Calibri" w:hAnsi="Calibri"/>
              </w:rPr>
              <w:t>7606 12 20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Négyzetes vagy téglalap alakú ötvözött alumíniumlap, -lemez és -szalag, ha vastagsága legfeljebb 3 mm, bevonat nélkül</w:t>
            </w:r>
          </w:p>
        </w:tc>
        <w:tc>
          <w:tcPr>
            <w:tcW w:w="1800" w:type="dxa"/>
            <w:tcBorders>
              <w:top w:val="nil"/>
              <w:left w:val="single" w:sz="4" w:space="0" w:color="auto"/>
              <w:bottom w:val="nil"/>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rPr>
            </w:pPr>
            <w:r w:rsidRPr="00E11544">
              <w:rPr>
                <w:rFonts w:ascii="Calibri" w:hAnsi="Calibri"/>
              </w:rPr>
              <w:t>7606 12 92</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Négyzetes vagy téglalap alakú ötvözött alumíniumlap, -lemez és -szalag, ha vastagsága legalább 3 mm, de legfeljebb 6 mm, bevonat nélkül</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7606 12 93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lastRenderedPageBreak/>
              <w:t>Négyzetes vagy téglalap alakú ötvözött alumíniumlap, -lemez és -szalag, ha vastagsága legalább 6 mm, bevonat nélkül</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7606 12 99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Nem négyzetes vagy téglalap alakú ötvözetlen alumíniumlap, -lemez és -szalag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7606 91 00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Nem négyzetes vagy téglalap alakú ötvözött alumíniumlap, -lemez és -szalag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7606 92 00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Alumíniumfólia alátét nélkül, hengerelve, de tovább nem megmunkálva, ha vastagsága legfeljebb 0,021 mm, legfeljebb 10 kg súlyú tekercsekben</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7607 11 11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Alumíniumfólia alátét nélkül, hengerelve, de tovább nem megmunkálva, ha vastagsága legfeljebb 0,021 mm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7607 11 19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Alumíniumfólia alátét nélkül, hengerelve, de tovább nem megmunkálva, ha vastagsága legalább 0,021 mm és legfeljebb 0,2 mm</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7607 11 90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Alumíniumfólia alátét nélkül, hengerelésen túl megmunkálva, ha vastagsága legfeljebb 0,021 mm</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7607 19 10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Alumíniumfólia alátét nélkül, hengerelésen túl megmunkálva, ha vastagsága legalább 0,021 mm és legfeljebb 0,2 mm</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7607 19 90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Alumíniumfólia alátéten, ha vastagsága (az alátétet nem számítva) legfeljebb 0,021 mm</w:t>
            </w:r>
          </w:p>
        </w:tc>
        <w:tc>
          <w:tcPr>
            <w:tcW w:w="1800" w:type="dxa"/>
            <w:tcBorders>
              <w:top w:val="nil"/>
              <w:left w:val="single" w:sz="4" w:space="0" w:color="auto"/>
              <w:bottom w:val="nil"/>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 7607 20 10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Alumíniumfólia alátéten, ha vastagsága (az alátétet nem számítva) legalább 0,021 mm és legfeljebb 0,2 mm</w:t>
            </w:r>
          </w:p>
        </w:tc>
        <w:tc>
          <w:tcPr>
            <w:tcW w:w="1800" w:type="dxa"/>
            <w:tcBorders>
              <w:top w:val="nil"/>
              <w:left w:val="single" w:sz="4" w:space="0" w:color="auto"/>
              <w:bottom w:val="nil"/>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7607 20 90</w:t>
            </w:r>
          </w:p>
        </w:tc>
      </w:tr>
      <w:tr w:rsidR="00F265F4" w:rsidRPr="00E11544" w:rsidTr="00223553">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b/>
                <w:bCs/>
                <w:color w:val="000000"/>
              </w:rPr>
            </w:pPr>
            <w:r w:rsidRPr="00E11544">
              <w:rPr>
                <w:rFonts w:ascii="Calibri" w:hAnsi="Calibri"/>
                <w:b/>
                <w:color w:val="000000"/>
              </w:rPr>
              <w:t xml:space="preserve">ÓLOM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ÓLOM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Ólomlemez és -szalag, ha vastagsága legfeljebb 0,2 mm (az alátétet nem számítva)</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7804 11 00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Ólomlemez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7804 19 00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Ólompor és -pehely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7804 20 00 </w:t>
            </w:r>
          </w:p>
        </w:tc>
      </w:tr>
      <w:tr w:rsidR="00F265F4" w:rsidRPr="00E11544" w:rsidTr="00223553">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b/>
                <w:bCs/>
                <w:color w:val="000000"/>
              </w:rPr>
            </w:pPr>
            <w:r w:rsidRPr="00E11544">
              <w:rPr>
                <w:rFonts w:ascii="Calibri" w:hAnsi="Calibri"/>
                <w:b/>
                <w:color w:val="000000"/>
              </w:rPr>
              <w:t>CINK</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CINK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Cinkrúd, -profil és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7904 00 00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Cinklap, -lemez és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7905 00 00 </w:t>
            </w:r>
          </w:p>
        </w:tc>
      </w:tr>
      <w:tr w:rsidR="00F265F4" w:rsidRPr="00E11544" w:rsidTr="00223553">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b/>
                <w:bCs/>
                <w:color w:val="000000"/>
              </w:rPr>
            </w:pPr>
            <w:r w:rsidRPr="00E11544">
              <w:rPr>
                <w:rFonts w:ascii="Calibri" w:hAnsi="Calibri"/>
                <w:b/>
                <w:color w:val="000000"/>
              </w:rPr>
              <w:t xml:space="preserve">ÓN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ÓN</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Ónrúd, -profil és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8003 00 00 </w:t>
            </w:r>
          </w:p>
        </w:tc>
      </w:tr>
      <w:tr w:rsidR="00F265F4" w:rsidRPr="00E11544" w:rsidTr="00223553">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b/>
                <w:bCs/>
                <w:color w:val="000000"/>
              </w:rPr>
            </w:pPr>
            <w:r w:rsidRPr="00E11544">
              <w:rPr>
                <w:rFonts w:ascii="Calibri" w:hAnsi="Calibri"/>
                <w:b/>
                <w:color w:val="000000"/>
              </w:rPr>
              <w:t xml:space="preserve">EGYÉB GYAKORI FÉMEK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EGYÉB FÉMEK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Huzal volfrámból (wolfram)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8101 96 00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kivéve a zsugorított rudat, profil, lap, lemez és szalag volfrámból (wolfram)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8101 99 10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kivéve a zsugorított rudat, profil, lap, lemez és szalag molibdénből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8102 95 00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Huzal molibdénből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8102 96 00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Tantálrúd, kivéve a zsugorított rudat, -profil, -lap, -lemez és -szalag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8103 90 10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profil, huzal, lap magnéziumból)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ex 81049000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profil, huzal, lap kobaltból)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ex 81059000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profil, huzal, lap bizmutból)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ex 81060090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profil, huzal, lap kadmiumból)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ex 81079000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Titánrúd, -profil és -huzal</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8108 90 30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Titánlap, -lemez, -szalag és -fólia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8108 90 50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profil, huzal, lap és lemez cirkóniumból)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ex 8109 90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lastRenderedPageBreak/>
              <w:t xml:space="preserve">(rúd, profil, huzal, lap és lemez antimonból)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ex 8110 90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profil, huzal, lap és lemez mangánból)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ex 8111 00 90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profil, huzal, lap és lemez berilliumból)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ex 8112 19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profil, huzal, lap és lemez krómból)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ex 8112 29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profil, huzal, lap és lemez talliumból)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ex 8112 59 00 </w:t>
            </w:r>
          </w:p>
        </w:tc>
      </w:tr>
      <w:tr w:rsidR="00F265F4" w:rsidRPr="00E11544" w:rsidTr="00223553">
        <w:tc>
          <w:tcPr>
            <w:tcW w:w="5320" w:type="dxa"/>
            <w:tcBorders>
              <w:top w:val="nil"/>
              <w:left w:val="single" w:sz="4" w:space="0" w:color="auto"/>
              <w:bottom w:val="nil"/>
              <w:right w:val="nil"/>
            </w:tcBorders>
            <w:shd w:val="clear" w:color="auto" w:fill="auto"/>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profil, huzal, lap és lemez hafniumból (celtium) és germániumból)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ex 8112 99 20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profil, huzal, lap és lemez nióbiumból (kolumbium) és réniumból)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ex 8112 99 30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profil, huzal, lap és lemez galliumból, indiumból és vanádiumból)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ex 8112 99 70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(rúd, profil, huzal, lap és lemez cermetből)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ex 8113 00 90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Réz-cink alapötvözet (sárgaréz)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7403 21 00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Réz-ón alapötvözet (bronz)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7403 22 00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Egyéb rézötvözet (kivéve a 7405 vámtarifaszámú mesterötvözetet)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7403 29 00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Nikkelötvözet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7502 20 00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Alumíniumötvözet lemeztuskó és hengertuskó formában</w:t>
            </w:r>
          </w:p>
        </w:tc>
        <w:tc>
          <w:tcPr>
            <w:tcW w:w="1800" w:type="dxa"/>
            <w:tcBorders>
              <w:top w:val="nil"/>
              <w:left w:val="single" w:sz="4" w:space="0" w:color="auto"/>
              <w:bottom w:val="nil"/>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7601 20 20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Alumíniumötvözet, kivéve lemeztuskó és hengertuskó </w:t>
            </w:r>
          </w:p>
        </w:tc>
        <w:tc>
          <w:tcPr>
            <w:tcW w:w="1800" w:type="dxa"/>
            <w:tcBorders>
              <w:top w:val="nil"/>
              <w:left w:val="single" w:sz="4" w:space="0" w:color="auto"/>
              <w:bottom w:val="nil"/>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rPr>
            </w:pPr>
            <w:r w:rsidRPr="00E11544">
              <w:rPr>
                <w:rFonts w:ascii="Calibri" w:hAnsi="Calibri"/>
              </w:rPr>
              <w:t>7601 20 80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Megmunkálatlan ólom, kivéve az antimontartalmút </w:t>
            </w:r>
          </w:p>
        </w:tc>
        <w:tc>
          <w:tcPr>
            <w:tcW w:w="1800" w:type="dxa"/>
            <w:tcBorders>
              <w:top w:val="nil"/>
              <w:left w:val="single" w:sz="4" w:space="0" w:color="auto"/>
              <w:bottom w:val="nil"/>
              <w:right w:val="single" w:sz="4" w:space="0" w:color="auto"/>
            </w:tcBorders>
            <w:shd w:val="clear" w:color="000000" w:fill="CCE8CF"/>
            <w:noWrap/>
            <w:hideMark/>
          </w:tcPr>
          <w:p w:rsidR="00F265F4" w:rsidRPr="00E11544" w:rsidRDefault="00F265F4" w:rsidP="00F265F4">
            <w:pPr>
              <w:spacing w:after="0" w:line="240" w:lineRule="auto"/>
              <w:jc w:val="center"/>
              <w:rPr>
                <w:rFonts w:ascii="Calibri" w:eastAsia="Times New Roman" w:hAnsi="Calibri" w:cs="Calibri"/>
              </w:rPr>
            </w:pPr>
            <w:r w:rsidRPr="00E11544">
              <w:rPr>
                <w:rFonts w:ascii="Calibri" w:hAnsi="Calibri"/>
              </w:rPr>
              <w:t xml:space="preserve"> 7801 99 90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Cinkötvözet</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 7901 20 00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Ólomötvözet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8001 20 00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Megmunkálatlan magnézium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ex 8104 19 00 </w:t>
            </w:r>
          </w:p>
        </w:tc>
      </w:tr>
      <w:tr w:rsidR="00F265F4" w:rsidRPr="00E11544" w:rsidTr="00223553">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b/>
                <w:bCs/>
                <w:color w:val="000000"/>
              </w:rPr>
            </w:pPr>
            <w:r w:rsidRPr="00E11544">
              <w:rPr>
                <w:rFonts w:ascii="Calibri" w:hAnsi="Calibri"/>
                <w:b/>
                <w:color w:val="000000"/>
              </w:rPr>
              <w:t xml:space="preserve">C – KÓDOK és KEVÉSBÉ GYAKORI FÉMEKBŐL KÉSZÜLT TERMÉKEK LISTÁJA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C – LISTA </w:t>
            </w:r>
          </w:p>
        </w:tc>
      </w:tr>
      <w:tr w:rsidR="00F265F4" w:rsidRPr="00E11544" w:rsidTr="00223553">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Megmunkálatlan volfrám, beleértve a zsugorított rudat is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8101 94 00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Megmunkálatlan molibdén, beleértve a zsugorított rudat is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8102 94 00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Megmunkálatlan tantál, beleértve a zsugorított rudat is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8103 20 00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Kobaltszulfid-fémkeverék és a kobalt-előállítás más közbeeső terméke; megmunkálatlan kobalt; por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8105 20 00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Megmunkálatlan bizmut; hulladék és törmelék; por</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 8106 00 10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Megmunkálatlan kadmium; por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8107 20 00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Megmunkálatlan titánium; por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8108 20 00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Megmunkálatlan cirkónium; por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8109 20 00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Megmunkálatlan antimon; por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8110 10 00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Megmunkálatlan mangán; por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8111 00 11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Megmunkálatlan berillium; por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8112 12 00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Megmunkálatlan krómötvözet, por legalább 10 tömegszázalék nikkeltartalommal</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8112 2110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Megmunkálatlan króm, por, más</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81122190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Megmunkálatlan tallium; por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8112 51 00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Megmunkálatlan hafnium (celtium); hulladék és törmelék; por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8112 92 10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Megmunkálatlan nióbium (kolumbium), rénium; hulladék és törmelék; por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8112 92 31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Megmunkálatlan indium; hulladék és törmelék; por</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 8112 92 81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Megmunkálatlan gallium; hulladék és törmelék; por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8112 92 89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Megmunkálatlan vanádium; hulladék és törmelék; por</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 8112 92 91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Megmunkálatlan germánium; hulladék és törmelék; por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 xml:space="preserve">8112 92 95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lastRenderedPageBreak/>
              <w:t xml:space="preserve">Megmunkálatlan cermet </w:t>
            </w:r>
          </w:p>
        </w:tc>
        <w:tc>
          <w:tcPr>
            <w:tcW w:w="1800" w:type="dxa"/>
            <w:tcBorders>
              <w:top w:val="nil"/>
              <w:left w:val="single" w:sz="4" w:space="0" w:color="auto"/>
              <w:bottom w:val="nil"/>
              <w:right w:val="single" w:sz="4" w:space="0" w:color="auto"/>
            </w:tcBorders>
            <w:shd w:val="clear" w:color="auto" w:fill="auto"/>
            <w:noWrap/>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8113 00 20</w:t>
            </w:r>
          </w:p>
        </w:tc>
      </w:tr>
      <w:tr w:rsidR="00F265F4" w:rsidRPr="00E11544" w:rsidTr="00223553">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b/>
                <w:bCs/>
                <w:color w:val="000000"/>
              </w:rPr>
            </w:pPr>
            <w:r w:rsidRPr="00E11544">
              <w:rPr>
                <w:rFonts w:ascii="Calibri" w:hAnsi="Calibri"/>
                <w:b/>
                <w:color w:val="000000"/>
              </w:rPr>
              <w:t xml:space="preserve">ACÉL FÉLGYÁRTMÁNYOK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FF0000"/>
              </w:rPr>
            </w:pPr>
            <w:r w:rsidRPr="00E11544">
              <w:rPr>
                <w:rFonts w:ascii="Calibri" w:hAnsi="Calibri"/>
                <w:b/>
                <w:color w:val="FF0000"/>
              </w:rPr>
              <w:t xml:space="preserve">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sz w:val="20"/>
                <w:szCs w:val="20"/>
              </w:rPr>
            </w:pPr>
            <w:r w:rsidRPr="00E11544">
              <w:rPr>
                <w:rFonts w:ascii="Calibri" w:hAnsi="Calibri"/>
                <w:color w:val="000000"/>
                <w:sz w:val="20"/>
              </w:rPr>
              <w:t xml:space="preserve">VAS ÉS NEM ÖTVÖZÖTT ACÉL INGOT FORMÁBAN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72061000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VAS ÉS NEM ÖTVÖZÖTT ACÉL MÁS ELSŐDLEGES FORMÁBAN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72069000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ROZSDMENTES ACÉL INGOT VAGY MÁS ELSŐDLEGES FORMÁBAN</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72181000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ÖTVÖZÖTT ACÉL INGOT VAGY MÁS ELSŐDLEGES FORMÁBAN, SZERSZÁMACÉLBÓL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72241010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MÁS ÖTVÖZÖTT ACÉL INGOT VAGY MÁS ELSŐDLEGES FORMÁBAN, KIVÉVE SZERSZÁMACÉLBÓL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72241090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DA7421" w:rsidP="00F265F4">
            <w:pPr>
              <w:spacing w:after="0" w:line="240" w:lineRule="auto"/>
              <w:jc w:val="center"/>
              <w:rPr>
                <w:rFonts w:ascii="Calibri" w:eastAsia="Times New Roman" w:hAnsi="Calibri" w:cs="Calibri"/>
                <w:b/>
                <w:bCs/>
                <w:color w:val="000000"/>
              </w:rPr>
            </w:pPr>
            <w:r w:rsidRPr="00E11544">
              <w:rPr>
                <w:rFonts w:ascii="Calibri" w:hAnsi="Calibri"/>
                <w:b/>
                <w:color w:val="000000"/>
              </w:rPr>
              <w:t>LAPOSBUGA</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FF0000"/>
              </w:rPr>
            </w:pPr>
            <w:r w:rsidRPr="00E11544">
              <w:rPr>
                <w:rFonts w:ascii="Calibri" w:hAnsi="Calibri"/>
              </w:rPr>
              <w:t>LAPOSBUGA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72071210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FF0000"/>
              </w:rPr>
            </w:pPr>
            <w:r w:rsidRPr="00E11544">
              <w:rPr>
                <w:rFonts w:ascii="Calibri" w:hAnsi="Calibri"/>
              </w:rPr>
              <w:t>LAPOSBUGA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72072032</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DA7421" w:rsidP="00F265F4">
            <w:pPr>
              <w:spacing w:after="0" w:line="240" w:lineRule="auto"/>
              <w:rPr>
                <w:rFonts w:ascii="Calibri" w:eastAsia="Times New Roman" w:hAnsi="Calibri" w:cs="Calibri"/>
                <w:color w:val="000000"/>
              </w:rPr>
            </w:pPr>
            <w:r w:rsidRPr="00E11544">
              <w:rPr>
                <w:rFonts w:ascii="Calibri" w:hAnsi="Calibri"/>
                <w:color w:val="000000"/>
              </w:rPr>
              <w:t>LAPOSBUGA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72189110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DA7421" w:rsidP="00F265F4">
            <w:pPr>
              <w:spacing w:after="0" w:line="240" w:lineRule="auto"/>
              <w:rPr>
                <w:rFonts w:ascii="Calibri" w:eastAsia="Times New Roman" w:hAnsi="Calibri" w:cs="Calibri"/>
                <w:color w:val="000000"/>
              </w:rPr>
            </w:pPr>
            <w:r w:rsidRPr="00E11544">
              <w:rPr>
                <w:rFonts w:ascii="Calibri" w:hAnsi="Calibri"/>
                <w:color w:val="000000"/>
              </w:rPr>
              <w:t>LAPOSBUGA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72189180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FF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DA7421" w:rsidP="00F265F4">
            <w:pPr>
              <w:spacing w:after="0" w:line="240" w:lineRule="auto"/>
              <w:jc w:val="center"/>
              <w:rPr>
                <w:rFonts w:ascii="Calibri" w:eastAsia="Times New Roman" w:hAnsi="Calibri" w:cs="Calibri"/>
                <w:b/>
                <w:bCs/>
                <w:color w:val="000000"/>
              </w:rPr>
            </w:pPr>
            <w:r w:rsidRPr="00E11544">
              <w:rPr>
                <w:rFonts w:ascii="Calibri" w:hAnsi="Calibri"/>
                <w:b/>
                <w:color w:val="000000"/>
              </w:rPr>
              <w:t>BLOKKBUGA,</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DA7421" w:rsidP="00F265F4">
            <w:pPr>
              <w:spacing w:after="0" w:line="240" w:lineRule="auto"/>
              <w:jc w:val="center"/>
              <w:rPr>
                <w:rFonts w:ascii="Calibri" w:eastAsia="Times New Roman" w:hAnsi="Calibri" w:cs="Calibri"/>
                <w:b/>
                <w:bCs/>
                <w:color w:val="000000"/>
              </w:rPr>
            </w:pPr>
            <w:r w:rsidRPr="00E11544">
              <w:rPr>
                <w:rFonts w:ascii="Calibri" w:hAnsi="Calibri"/>
                <w:b/>
                <w:color w:val="000000"/>
              </w:rPr>
              <w:t>BUGA</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72071111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72071114</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72071116</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72071912</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72071980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72072011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72072015</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BLOKKBUGA, BUGA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72072017</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72072052</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72072080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72189911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72189920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72249002</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72249003</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72249005</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72249007</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72249014</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BLOKKBUGA, BUGA</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72249031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BLOKKBUGA, BUGA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72249038</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DA7421" w:rsidP="00F265F4">
            <w:pPr>
              <w:spacing w:after="0" w:line="240" w:lineRule="auto"/>
              <w:jc w:val="center"/>
              <w:rPr>
                <w:rFonts w:ascii="Calibri" w:eastAsia="Times New Roman" w:hAnsi="Calibri" w:cs="Calibri"/>
                <w:b/>
                <w:bCs/>
                <w:color w:val="000000"/>
              </w:rPr>
            </w:pPr>
            <w:r w:rsidRPr="00E11544">
              <w:rPr>
                <w:rFonts w:ascii="Calibri" w:hAnsi="Calibri"/>
                <w:b/>
                <w:color w:val="000000"/>
              </w:rPr>
              <w:t>TEKERCS</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TEKERCS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72081000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TEKERCS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72082500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TEKERCS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72082600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TEKERCS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72082700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TEKERCS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72083600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TEKERCS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72083700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TEKERCS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72083800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TEKERCS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72083900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TEKERCS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72191100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lastRenderedPageBreak/>
              <w:t xml:space="preserve">TEKERCS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72191210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TEKERCS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72191290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TEKERCS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72191310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TEKERCS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72191390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TEKERCS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72191410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TEKERCS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72191490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TEKERCS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72251910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TEKERCS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72253010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TEKERCS</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72253030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TEKERCS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72253090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center"/>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SÍN ÉS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FEGYVEREK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SÍN ÉS FEGYVEREK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E11544" w:rsidRDefault="00F265F4" w:rsidP="00F265F4">
            <w:pPr>
              <w:spacing w:after="0" w:line="240" w:lineRule="auto"/>
              <w:jc w:val="center"/>
              <w:rPr>
                <w:rFonts w:ascii="Calibri" w:eastAsia="Times New Roman" w:hAnsi="Calibri" w:cs="Calibri"/>
              </w:rPr>
            </w:pPr>
            <w:r w:rsidRPr="00E11544">
              <w:rPr>
                <w:rFonts w:ascii="Calibri" w:hAnsi="Calibri"/>
              </w:rPr>
              <w:t>73021022</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SÍN ÉS FEGYVEREK</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E11544" w:rsidRDefault="00F265F4" w:rsidP="00F265F4">
            <w:pPr>
              <w:spacing w:after="0" w:line="240" w:lineRule="auto"/>
              <w:jc w:val="center"/>
              <w:rPr>
                <w:rFonts w:ascii="Calibri" w:eastAsia="Times New Roman" w:hAnsi="Calibri" w:cs="Calibri"/>
              </w:rPr>
            </w:pPr>
            <w:r w:rsidRPr="00E11544">
              <w:rPr>
                <w:rFonts w:ascii="Calibri" w:hAnsi="Calibri"/>
              </w:rPr>
              <w:t>73021028</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SÍN ÉS FEGYVEREK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73021040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SÍN ÉS FEGYVEREK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73021050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SÍN ÉS FEGYVEREK </w:t>
            </w:r>
          </w:p>
        </w:tc>
        <w:tc>
          <w:tcPr>
            <w:tcW w:w="1800" w:type="dxa"/>
            <w:tcBorders>
              <w:top w:val="nil"/>
              <w:left w:val="single" w:sz="4" w:space="0" w:color="auto"/>
              <w:bottom w:val="nil"/>
              <w:right w:val="single" w:sz="4" w:space="0" w:color="auto"/>
            </w:tcBorders>
            <w:shd w:val="clear" w:color="000000" w:fill="CCE8CF"/>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73024000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E11544" w:rsidRDefault="00F265F4" w:rsidP="00F265F4">
            <w:pPr>
              <w:spacing w:after="0" w:line="240" w:lineRule="auto"/>
              <w:rPr>
                <w:rFonts w:ascii="Calibri" w:eastAsia="Times New Roman" w:hAnsi="Calibri" w:cs="Calibri"/>
                <w:color w:val="00B05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000000" w:fill="CCE8CF"/>
            <w:noWrap/>
            <w:vAlign w:val="bottom"/>
          </w:tcPr>
          <w:p w:rsidR="00F265F4" w:rsidRPr="00E11544" w:rsidRDefault="00F265F4" w:rsidP="00F265F4">
            <w:pPr>
              <w:spacing w:after="0" w:line="240" w:lineRule="auto"/>
              <w:rPr>
                <w:rFonts w:ascii="Calibri" w:eastAsia="Times New Roman" w:hAnsi="Calibri" w:cs="Calibri"/>
                <w:color w:val="00B05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SZÁDPALLÓ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b/>
                <w:bCs/>
                <w:color w:val="000000"/>
              </w:rPr>
            </w:pPr>
            <w:r w:rsidRPr="00E11544">
              <w:rPr>
                <w:rFonts w:ascii="Calibri" w:hAnsi="Calibri"/>
                <w:b/>
                <w:color w:val="000000"/>
              </w:rPr>
              <w:t xml:space="preserve">SZÁDPALLÓ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73011000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beton megerősítéséhez használt BETONVAS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RÚD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beton megerősítéséhez használt BETONVAS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72142000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beton megerősítéséhez használt BETONVAS RÚD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72149910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HENGERHUZAL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HENGERHUZAL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72131000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HENGERHUZAL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72132000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HENGERHUZAL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72139110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HENGERHUZAL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72139120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HENGERHUZAL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72139141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HENGERHUZAL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72139149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HENGERHUZAL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72139170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HENGERHUZAL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72139190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HENGERHUZAL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72139910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HENGERHUZAL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72139990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HENGERHUZAL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72210010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HENGERHUZAL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72210090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HENGERHUZAL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72271000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HENGERHUZAL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72272000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HENGERHUZAL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72279010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HENGERHUZAL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72279050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HENGERHUZAL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72279095</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b/>
                <w:bCs/>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MELEGEN HENGERELT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SZOKVÁNYOS RÚD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MELEGEN HENGERELT SZOKVÁNYOS RÚD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72143000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72149931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lastRenderedPageBreak/>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72149939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72149950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72149971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72149979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72149995</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72221111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72221119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72221181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MELEGEN HENGERELT SZOKVÁNYOS RÚD</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72221189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72221910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72221990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72281020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72282091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72283020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72283041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72283049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72283061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72283069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72283089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SZOKVÁNYOS RÚD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72288000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SZOKVÁNYOS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LAP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SZOKVÁNYOS LAP</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72149110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SZOKVÁNYOS LAP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72149190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SZOKVÁNYOS LAP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72282010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SZOKVÁNYOS LAP</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72283070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MELEGEN HENGERELT SZALAG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&lt; 600 mm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SZALAG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72111400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SZALAG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72111900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SZALAG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72126000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SZALAG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72201100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SZALAG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72201200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SZALAG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72261910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SZALAG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72269120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SZALAG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72269191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SZALAG &lt; 600 mm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72269199</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MELEGEN HENGERELT LEMEZ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ÉS SZÉLES SZALAG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72084000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72085120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72085191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72085198</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72085210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72085291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72085299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72085310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72085390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lastRenderedPageBreak/>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72085400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MELEGEN HENGERELT LEMEZ ÉS SZÉLES SZALAG</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72089020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72089080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72109030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72111300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72192110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72192190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72192210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72192290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72192300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72192400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72254012</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72254015</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72254040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72254060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MELEGEN HENGERELT LEMEZ ÉS SZÉLES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72254090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HIDEGEN HENGERELT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LEMEZ &gt;600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&gt;600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72091500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&gt;601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72091690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&gt;602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72091790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&gt;603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72091891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&gt;604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72092500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&gt;605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72092690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&gt;606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72092790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HIDEGEN HENGERELT LEMEZ &gt;607</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72092890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&gt;608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72099020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&gt;609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72099080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&gt;610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72193100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HIDEGEN HENGERELT LEMEZ &gt;611</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72193210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&gt;612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72193290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&gt;613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72193310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&gt;614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72193390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&gt;615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72193410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HIDEGEN HENGERELT LEMEZ &gt;616</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72193490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&gt;617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72193510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&gt;618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72193590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&gt;619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72199020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&gt;620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72199080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&gt;621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72255020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LEMEZ &gt;622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72255080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FEKETESZALAG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FEKETESZALAG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72091899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FEKETESZALAG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72112380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MÁGNESES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LEMEZ ÉS LAP/SZALAG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MÁGNESES LEMEZ ÉS LAP/SZALAG</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72091610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MÁGNESES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72091710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MÁGNESES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72091810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lastRenderedPageBreak/>
              <w:t xml:space="preserve">MÁGNESES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72092610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MÁGNESES LEMEZ ÉS LAP/SZALAG</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72092710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MÁGNESES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72092810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MÁGNESES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72112320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MÁGNESES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72251100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MÁGNESES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72251990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MÁGNESES LEMEZ ÉS LAP/SZALAG</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72261100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MÁGNESES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72261980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ÓNOZOTT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LEMEZ ÉS LAP/SZALAG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ÓNOZOTT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72101100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ÓNOZOTT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72101220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ÓNOZOTT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72101280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ÓNOZOTT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72107010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ÓNOZOTT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72109040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ÓNOZOTT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72121010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ÓNOZOTT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72121090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ÓNOZOTT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72124020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LEMEZ ÉS LAP ÓNMENTES ACÉLBÓL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LEMEZ ÉS LAP ÓNMENTES ACÉLBÓL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72105000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LEMEZ ÉS LAP ÓNMENTES ACÉLBÓL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72125020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GALVANIZÁLT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LEMEZ ÉS LAP/SZALAG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GALVANIZÁLT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72104100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GALVANIZÁLT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72104900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GALVANIZÁLT LEMEZ ÉS LAP/SZALAG</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72123000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GALVANIZÁLT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72259200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GALVANIZÁLT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72269930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ELEKTROGALVANIZÁLT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LEMEZ ÉS LAP/SZALAG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ELEKTROGALVANIZÁLT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72103000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ELEKTROGALVANIZÁLT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72122000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ELEKTROGALVANIZÁLT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72259100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ELEKTROGALVANIZÁLT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72269910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SZERVES BEVONATÚ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LEMEZ ÉS LAP/SZALAG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SZERVES BEVONATÚ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72107080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SZERVES BEVONATÚ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72124080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SZERVES BEVONATÚ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72259900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SZERVES BEVONATÚ LEMEZ ÉS LAP/SZALAG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72269970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LEMEZ ÉS LAP/SZALAG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MÁS FÉMBEVONATTAL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LEMEZ ÉS LAP/SZALAG MÁS FÉMBEVONATTAL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72102000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LEMEZ ÉS LAP/SZALAG MÁS FÉMBEVONATTAL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72106100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LEMEZ ÉS LAP/SZALAG MÁS FÉMBEVONATTAL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72106900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lastRenderedPageBreak/>
              <w:t xml:space="preserve">LEMEZ ÉS LAP/SZALAG MÁS FÉMBEVONATTAL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72109080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LEMEZ ÉS LAP/SZALAG MÁS FÉMBEVONATTAL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72125030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LEMEZ ÉS LAP/SZALAG MÁS FÉMBEVONATTAL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72125040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LEMEZ ÉS LAP/SZALAG MÁS FÉMBEVONATTAL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72125061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LEMEZ ÉS LAP/SZALAG MÁS FÉMBEVONATTAL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72125069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LEMEZ ÉS LAP/SZALAG MÁS FÉMBEVONATTAL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72125090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VARRAT NÉLKÜLI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CSŐ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73041100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73041910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VARRAT NÉLKÜLI CSŐ</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73041930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73041990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73042200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73042300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73042400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73042910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73042930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73042990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73043120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73043180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73043910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73043952</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73043958</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73043992</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73043993</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73043998</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73044100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73044910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73044993</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VARRAT NÉLKÜLI CSŐ</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73044995</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73044999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73045112</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73045118</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73045181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73045189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73045910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73045932</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73045938</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73045992</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73045993</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73045999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VARRAT NÉLKÜLI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73049000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HEGESZTETT CSŐ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73051100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73051200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73051900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HEGESZTETT CSŐ</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73052000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HEGESZTETT CSŐ</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73053100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HEGESZTETT CSŐ</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73053900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73059000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HEGESZTETT CSŐ</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73061110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73061190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73061910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lastRenderedPageBreak/>
              <w:t>HEGESZTETT CSŐ</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73061990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73062100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73062900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73063011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73063019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73063041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73063049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73063072</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73063077</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73063080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73064020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73064080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73065020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73065080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73066110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73066192</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73066199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73066910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73066990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HEGESZTETT CSŐ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73069000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KOVÁCSOLT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TERMÉK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KOVÁCSOLT TERMÉK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72141000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KOVÁCSOLT TERMÉK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72223051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KOVÁCSOLT TERMÉK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72223091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KOVÁCSOLT TERMÉK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72281050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KOVÁCSOLT TERMÉK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72284010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KOVÁCSOLT TERMÉK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72284090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HIDEGEN HÚZOTT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RÚD/PROFIL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72151000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72155011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72155019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72155080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72159000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72166110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72166190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72166900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72169110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72169180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72222011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72222019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72222021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72222029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72222031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72222039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72222081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72222089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72223097</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72224050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72224090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72281090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72282099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lastRenderedPageBreak/>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72285020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72285040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72285061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72285069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72285080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72286020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72286080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HÚZOTT RÚD/PROFIL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72287090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HÚZOTT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HUZAL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72171010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HÚZOTT HUZAL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72171031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72171039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HÚZOTT HUZAL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72171050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72171090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72172010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HÚZOTT HUZAL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72172030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72172050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72172090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72173041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72173049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72173050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72173090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72179020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HÚZOTT HUZAL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72179050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72179090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72230011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72230019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72230091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72230099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72292000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HÚZOTT HUZAL</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72299020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72299050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HÚZOTT HUZAL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72299090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HIDEGEN HENGERELT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SZALAG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72112330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72112900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72119020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72119080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72202021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72202029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HIDEGEN HENGERELT SZALAG</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72202041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72202049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72202081</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72202089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HIDEGEN HENGERELT SZALAG</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72209020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72209080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HIDEGEN HENGERELT SZALAG</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72262000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HIDEGEN HENGERELT SZALAG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72269200</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rPr>
                <w:rFonts w:ascii="Calibri" w:eastAsia="Times New Roman" w:hAnsi="Calibri" w:cs="Calibri"/>
                <w:color w:val="000000"/>
              </w:rPr>
            </w:pP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KOVÁCSOLT </w:t>
            </w:r>
          </w:p>
        </w:tc>
      </w:tr>
      <w:tr w:rsidR="00F265F4" w:rsidRPr="00E11544" w:rsidTr="00E06F9A">
        <w:tc>
          <w:tcPr>
            <w:tcW w:w="5320" w:type="dxa"/>
            <w:tcBorders>
              <w:top w:val="nil"/>
              <w:left w:val="single" w:sz="4" w:space="0" w:color="auto"/>
              <w:bottom w:val="nil"/>
              <w:right w:val="nil"/>
            </w:tcBorders>
            <w:shd w:val="clear" w:color="auto" w:fill="auto"/>
            <w:vAlign w:val="bottom"/>
          </w:tcPr>
          <w:p w:rsidR="00F265F4" w:rsidRPr="00E11544" w:rsidRDefault="00F265F4" w:rsidP="00F265F4">
            <w:pPr>
              <w:spacing w:after="0" w:line="240" w:lineRule="auto"/>
              <w:rPr>
                <w:rFonts w:ascii="Calibri" w:eastAsia="Times New Roman" w:hAnsi="Calibri" w:cs="Calibri"/>
                <w:color w:val="000000"/>
              </w:rPr>
            </w:pP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b/>
                <w:bCs/>
                <w:color w:val="000000"/>
              </w:rPr>
            </w:pPr>
            <w:r w:rsidRPr="00E11544">
              <w:rPr>
                <w:rFonts w:ascii="Calibri" w:hAnsi="Calibri"/>
                <w:b/>
                <w:color w:val="000000"/>
              </w:rPr>
              <w:t xml:space="preserve">FÉLGYÁRTMÁNY </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lastRenderedPageBreak/>
              <w:t xml:space="preserve">KOVÁCSOLT FÉLGYÁRTMÁNY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72071190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KOVÁCSOLT FÉLGYÁRTMÁNY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72071290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KOVÁCSOLT FÉLGYÁRTMÁNY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72071919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KOVÁCSOLT FÉLGYÁRTMÁNY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72072019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KOVÁCSOLT FÉLGYÁRTMÁNY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72072039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KOVÁCSOLT FÉLGYÁRTMÁNY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72072059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KOVÁCSOLT FÉLGYÁRTMÁNY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72189919</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KOVÁCSOLT FÉLGYÁRTMÁNY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72189980</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KOVÁCSOLT FÉLGYÁRTMÁNY </w:t>
            </w:r>
          </w:p>
        </w:tc>
        <w:tc>
          <w:tcPr>
            <w:tcW w:w="1800" w:type="dxa"/>
            <w:tcBorders>
              <w:top w:val="nil"/>
              <w:left w:val="single" w:sz="4" w:space="0" w:color="auto"/>
              <w:bottom w:val="nil"/>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72249018</w:t>
            </w:r>
          </w:p>
        </w:tc>
      </w:tr>
      <w:tr w:rsidR="00F265F4" w:rsidRPr="00E11544" w:rsidTr="00223553">
        <w:tc>
          <w:tcPr>
            <w:tcW w:w="5320" w:type="dxa"/>
            <w:tcBorders>
              <w:top w:val="nil"/>
              <w:left w:val="single" w:sz="4" w:space="0" w:color="auto"/>
              <w:bottom w:val="nil"/>
              <w:right w:val="nil"/>
            </w:tcBorders>
            <w:shd w:val="clear" w:color="auto" w:fill="auto"/>
            <w:vAlign w:val="bottom"/>
            <w:hideMark/>
          </w:tcPr>
          <w:p w:rsidR="00F265F4" w:rsidRPr="00E11544" w:rsidRDefault="00F265F4" w:rsidP="00F265F4">
            <w:pPr>
              <w:spacing w:after="0" w:line="240" w:lineRule="auto"/>
              <w:rPr>
                <w:rFonts w:ascii="Calibri" w:eastAsia="Times New Roman" w:hAnsi="Calibri" w:cs="Calibri"/>
                <w:color w:val="000000"/>
              </w:rPr>
            </w:pPr>
            <w:r w:rsidRPr="00E11544">
              <w:rPr>
                <w:rFonts w:ascii="Calibri" w:hAnsi="Calibri"/>
                <w:color w:val="000000"/>
              </w:rPr>
              <w:t xml:space="preserve">KOVÁCSOLT FÉLGYÁRTMÁNY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265F4" w:rsidRPr="00E11544" w:rsidRDefault="00F265F4" w:rsidP="00F265F4">
            <w:pPr>
              <w:spacing w:after="0" w:line="240" w:lineRule="auto"/>
              <w:jc w:val="center"/>
              <w:rPr>
                <w:rFonts w:ascii="Calibri" w:eastAsia="Times New Roman" w:hAnsi="Calibri" w:cs="Calibri"/>
                <w:color w:val="000000"/>
              </w:rPr>
            </w:pPr>
            <w:r w:rsidRPr="00E11544">
              <w:rPr>
                <w:rFonts w:ascii="Calibri" w:hAnsi="Calibri"/>
                <w:color w:val="000000"/>
              </w:rPr>
              <w:t>72249090</w:t>
            </w:r>
          </w:p>
        </w:tc>
      </w:tr>
    </w:tbl>
    <w:p w:rsidR="00F265F4" w:rsidRPr="00E11544" w:rsidRDefault="00F265F4" w:rsidP="00CF773E">
      <w:pPr>
        <w:spacing w:line="240" w:lineRule="auto"/>
        <w:ind w:left="708" w:hanging="356"/>
        <w:jc w:val="both"/>
        <w:rPr>
          <w:rFonts w:ascii="Times New Roman" w:hAnsi="Times New Roman" w:cs="Times New Roman"/>
          <w:sz w:val="24"/>
          <w:szCs w:val="24"/>
        </w:rPr>
      </w:pPr>
    </w:p>
    <w:sectPr w:rsidR="00F265F4" w:rsidRPr="00E11544" w:rsidSect="00F265F4">
      <w:pgSz w:w="11909" w:h="16834"/>
      <w:pgMar w:top="567" w:right="852"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F2" w:rsidRDefault="00223FF2" w:rsidP="00146EE7">
      <w:pPr>
        <w:spacing w:after="0" w:line="240" w:lineRule="auto"/>
      </w:pPr>
      <w:r>
        <w:separator/>
      </w:r>
    </w:p>
  </w:endnote>
  <w:endnote w:type="continuationSeparator" w:id="0">
    <w:p w:rsidR="00223FF2" w:rsidRDefault="00223FF2" w:rsidP="0014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691"/>
      <w:docPartObj>
        <w:docPartGallery w:val="Page Numbers (Bottom of Page)"/>
        <w:docPartUnique/>
      </w:docPartObj>
    </w:sdtPr>
    <w:sdtEndPr/>
    <w:sdtContent>
      <w:p w:rsidR="005406FC" w:rsidRDefault="00DD1C06">
        <w:pPr>
          <w:pStyle w:val="Footer"/>
          <w:jc w:val="right"/>
        </w:pPr>
        <w:r>
          <w:fldChar w:fldCharType="begin"/>
        </w:r>
        <w:r w:rsidR="00474F4E">
          <w:instrText xml:space="preserve"> PAGE   \* MERGEFORMAT </w:instrText>
        </w:r>
        <w:r>
          <w:fldChar w:fldCharType="separate"/>
        </w:r>
        <w:r w:rsidR="00E11544">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F2" w:rsidRDefault="00223FF2" w:rsidP="00146EE7">
      <w:pPr>
        <w:spacing w:after="0" w:line="240" w:lineRule="auto"/>
      </w:pPr>
      <w:r>
        <w:separator/>
      </w:r>
    </w:p>
  </w:footnote>
  <w:footnote w:type="continuationSeparator" w:id="0">
    <w:p w:rsidR="00223FF2" w:rsidRDefault="00223FF2" w:rsidP="00146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F4" w:rsidRPr="00F265F4" w:rsidRDefault="00F265F4" w:rsidP="00F26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709B0"/>
    <w:multiLevelType w:val="hybridMultilevel"/>
    <w:tmpl w:val="AA68F69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8543250"/>
    <w:multiLevelType w:val="hybridMultilevel"/>
    <w:tmpl w:val="2556AE96"/>
    <w:lvl w:ilvl="0" w:tplc="2154FB6C">
      <w:start w:val="1"/>
      <w:numFmt w:val="decimal"/>
      <w:lvlText w:val="%1."/>
      <w:lvlJc w:val="left"/>
      <w:pPr>
        <w:tabs>
          <w:tab w:val="num" w:pos="720"/>
        </w:tabs>
        <w:ind w:left="720" w:hanging="360"/>
      </w:pPr>
      <w:rPr>
        <w:rFonts w:ascii="Times New Roman" w:eastAsiaTheme="minorHAnsi" w:hAnsi="Times New Roman" w:cs="Times New Roman" w:hint="default"/>
      </w:rPr>
    </w:lvl>
    <w:lvl w:ilvl="1" w:tplc="04100011">
      <w:start w:val="1"/>
      <w:numFmt w:val="decimal"/>
      <w:lvlText w:val="%2)"/>
      <w:lvlJc w:val="left"/>
      <w:pPr>
        <w:tabs>
          <w:tab w:val="num" w:pos="1440"/>
        </w:tabs>
        <w:ind w:left="1440" w:hanging="360"/>
      </w:pPr>
      <w:rPr>
        <w:rFonts w:hint="default"/>
      </w:rPr>
    </w:lvl>
    <w:lvl w:ilvl="2" w:tplc="297864E4">
      <w:start w:val="5"/>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480D64"/>
    <w:multiLevelType w:val="hybridMultilevel"/>
    <w:tmpl w:val="C284CE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AD4007"/>
    <w:multiLevelType w:val="hybridMultilevel"/>
    <w:tmpl w:val="482C0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C602E3"/>
    <w:multiLevelType w:val="hybridMultilevel"/>
    <w:tmpl w:val="6A26ABD2"/>
    <w:lvl w:ilvl="0" w:tplc="6E8A41B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282582F"/>
    <w:multiLevelType w:val="hybridMultilevel"/>
    <w:tmpl w:val="AA68F6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6C310E2"/>
    <w:multiLevelType w:val="hybridMultilevel"/>
    <w:tmpl w:val="7CBE02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6D001B"/>
    <w:multiLevelType w:val="hybridMultilevel"/>
    <w:tmpl w:val="58DA06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CD51EE"/>
    <w:multiLevelType w:val="hybridMultilevel"/>
    <w:tmpl w:val="4B4E5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A62271"/>
    <w:multiLevelType w:val="hybridMultilevel"/>
    <w:tmpl w:val="7C62515E"/>
    <w:lvl w:ilvl="0" w:tplc="E6F86C84">
      <w:start w:val="1"/>
      <w:numFmt w:val="bullet"/>
      <w:lvlText w:val="□"/>
      <w:lvlJc w:val="left"/>
      <w:pPr>
        <w:ind w:left="720" w:hanging="360"/>
      </w:pPr>
      <w:rPr>
        <w:rFonts w:ascii="Franklin Gothic Demi Cond" w:hAnsi="Franklin Gothic Demi Cond"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56440F"/>
    <w:multiLevelType w:val="hybridMultilevel"/>
    <w:tmpl w:val="0318EB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530552"/>
    <w:multiLevelType w:val="hybridMultilevel"/>
    <w:tmpl w:val="A0984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9501F7"/>
    <w:multiLevelType w:val="hybridMultilevel"/>
    <w:tmpl w:val="15BAC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9959CB"/>
    <w:multiLevelType w:val="hybridMultilevel"/>
    <w:tmpl w:val="44D4F8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82A30E6"/>
    <w:multiLevelType w:val="hybridMultilevel"/>
    <w:tmpl w:val="8CA88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842464F"/>
    <w:multiLevelType w:val="hybridMultilevel"/>
    <w:tmpl w:val="DFE4B878"/>
    <w:lvl w:ilvl="0" w:tplc="7C9E48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0"/>
  </w:num>
  <w:num w:numId="3">
    <w:abstractNumId w:val="5"/>
  </w:num>
  <w:num w:numId="4">
    <w:abstractNumId w:val="7"/>
  </w:num>
  <w:num w:numId="5">
    <w:abstractNumId w:val="11"/>
  </w:num>
  <w:num w:numId="6">
    <w:abstractNumId w:val="1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14"/>
  </w:num>
  <w:num w:numId="12">
    <w:abstractNumId w:val="8"/>
  </w:num>
  <w:num w:numId="13">
    <w:abstractNumId w:val="10"/>
  </w:num>
  <w:num w:numId="14">
    <w:abstractNumId w:val="1"/>
  </w:num>
  <w:num w:numId="15">
    <w:abstractNumId w:val="4"/>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B310BB"/>
    <w:rsid w:val="00030019"/>
    <w:rsid w:val="0003454E"/>
    <w:rsid w:val="00040E93"/>
    <w:rsid w:val="0004391F"/>
    <w:rsid w:val="00043DED"/>
    <w:rsid w:val="000501D0"/>
    <w:rsid w:val="0006251F"/>
    <w:rsid w:val="00063EF4"/>
    <w:rsid w:val="00064A20"/>
    <w:rsid w:val="000675B4"/>
    <w:rsid w:val="00067B2B"/>
    <w:rsid w:val="00070BB3"/>
    <w:rsid w:val="00073A90"/>
    <w:rsid w:val="0008055F"/>
    <w:rsid w:val="000826BB"/>
    <w:rsid w:val="00082902"/>
    <w:rsid w:val="00085F28"/>
    <w:rsid w:val="00086412"/>
    <w:rsid w:val="00093DC2"/>
    <w:rsid w:val="000B093A"/>
    <w:rsid w:val="000C4716"/>
    <w:rsid w:val="000D519B"/>
    <w:rsid w:val="000D56C7"/>
    <w:rsid w:val="000E71C8"/>
    <w:rsid w:val="000F0829"/>
    <w:rsid w:val="000F4DF4"/>
    <w:rsid w:val="00110BEC"/>
    <w:rsid w:val="00114FDF"/>
    <w:rsid w:val="00116744"/>
    <w:rsid w:val="00122302"/>
    <w:rsid w:val="00131A39"/>
    <w:rsid w:val="001338EF"/>
    <w:rsid w:val="001354A7"/>
    <w:rsid w:val="00146EE7"/>
    <w:rsid w:val="001479CF"/>
    <w:rsid w:val="001528D6"/>
    <w:rsid w:val="00160CDF"/>
    <w:rsid w:val="0016197C"/>
    <w:rsid w:val="00175273"/>
    <w:rsid w:val="0019643F"/>
    <w:rsid w:val="001972CD"/>
    <w:rsid w:val="001B3A1F"/>
    <w:rsid w:val="001C1744"/>
    <w:rsid w:val="001C7D7C"/>
    <w:rsid w:val="001D37AE"/>
    <w:rsid w:val="001E3716"/>
    <w:rsid w:val="001E58F8"/>
    <w:rsid w:val="002028A7"/>
    <w:rsid w:val="00203C70"/>
    <w:rsid w:val="00223553"/>
    <w:rsid w:val="00223FF2"/>
    <w:rsid w:val="00224337"/>
    <w:rsid w:val="00231A56"/>
    <w:rsid w:val="00254720"/>
    <w:rsid w:val="0028784F"/>
    <w:rsid w:val="002938E4"/>
    <w:rsid w:val="002A06FD"/>
    <w:rsid w:val="002A1841"/>
    <w:rsid w:val="002B04DC"/>
    <w:rsid w:val="002B5CDE"/>
    <w:rsid w:val="002C2BB8"/>
    <w:rsid w:val="002C5732"/>
    <w:rsid w:val="002D091D"/>
    <w:rsid w:val="002D6A33"/>
    <w:rsid w:val="002F016A"/>
    <w:rsid w:val="002F6A03"/>
    <w:rsid w:val="00311055"/>
    <w:rsid w:val="003307BD"/>
    <w:rsid w:val="00351851"/>
    <w:rsid w:val="0036093C"/>
    <w:rsid w:val="00361749"/>
    <w:rsid w:val="003676FC"/>
    <w:rsid w:val="003700F9"/>
    <w:rsid w:val="00371FF2"/>
    <w:rsid w:val="00376DB1"/>
    <w:rsid w:val="00381ADE"/>
    <w:rsid w:val="0039017F"/>
    <w:rsid w:val="00391B3F"/>
    <w:rsid w:val="003A3BF5"/>
    <w:rsid w:val="003A55DD"/>
    <w:rsid w:val="003B3C39"/>
    <w:rsid w:val="003C4AC4"/>
    <w:rsid w:val="003D7DE6"/>
    <w:rsid w:val="003E0C25"/>
    <w:rsid w:val="004058E2"/>
    <w:rsid w:val="0040618D"/>
    <w:rsid w:val="00416471"/>
    <w:rsid w:val="004213AA"/>
    <w:rsid w:val="00430FEF"/>
    <w:rsid w:val="0044285E"/>
    <w:rsid w:val="00443381"/>
    <w:rsid w:val="00451E01"/>
    <w:rsid w:val="00455DAA"/>
    <w:rsid w:val="004564D0"/>
    <w:rsid w:val="00461FC5"/>
    <w:rsid w:val="00467E43"/>
    <w:rsid w:val="004704DB"/>
    <w:rsid w:val="004709C3"/>
    <w:rsid w:val="00474F4E"/>
    <w:rsid w:val="0048620C"/>
    <w:rsid w:val="0048684B"/>
    <w:rsid w:val="00491E7F"/>
    <w:rsid w:val="00491F13"/>
    <w:rsid w:val="004925CF"/>
    <w:rsid w:val="004A68F0"/>
    <w:rsid w:val="004C068D"/>
    <w:rsid w:val="004C5D48"/>
    <w:rsid w:val="004D5196"/>
    <w:rsid w:val="004F09FB"/>
    <w:rsid w:val="004F1085"/>
    <w:rsid w:val="004F1B6A"/>
    <w:rsid w:val="004F1DE0"/>
    <w:rsid w:val="00502D9D"/>
    <w:rsid w:val="005076E5"/>
    <w:rsid w:val="0052640D"/>
    <w:rsid w:val="00526D96"/>
    <w:rsid w:val="00537CC7"/>
    <w:rsid w:val="005406FC"/>
    <w:rsid w:val="00544AC7"/>
    <w:rsid w:val="00546AE8"/>
    <w:rsid w:val="0055077D"/>
    <w:rsid w:val="00552AC9"/>
    <w:rsid w:val="00561134"/>
    <w:rsid w:val="005621BD"/>
    <w:rsid w:val="005714AF"/>
    <w:rsid w:val="005764D0"/>
    <w:rsid w:val="00577A7D"/>
    <w:rsid w:val="00586CE6"/>
    <w:rsid w:val="00595219"/>
    <w:rsid w:val="00597E01"/>
    <w:rsid w:val="005A546C"/>
    <w:rsid w:val="005B622C"/>
    <w:rsid w:val="005C4747"/>
    <w:rsid w:val="005C523D"/>
    <w:rsid w:val="005C6254"/>
    <w:rsid w:val="005D089C"/>
    <w:rsid w:val="005D08DC"/>
    <w:rsid w:val="005D38DD"/>
    <w:rsid w:val="005E08E6"/>
    <w:rsid w:val="005E2655"/>
    <w:rsid w:val="006039C3"/>
    <w:rsid w:val="00606FE7"/>
    <w:rsid w:val="006251D1"/>
    <w:rsid w:val="00625AE5"/>
    <w:rsid w:val="006263D7"/>
    <w:rsid w:val="00626639"/>
    <w:rsid w:val="006270DA"/>
    <w:rsid w:val="00655DC9"/>
    <w:rsid w:val="006568FF"/>
    <w:rsid w:val="00656A94"/>
    <w:rsid w:val="00666C40"/>
    <w:rsid w:val="00673A96"/>
    <w:rsid w:val="0068063F"/>
    <w:rsid w:val="00687712"/>
    <w:rsid w:val="006C4402"/>
    <w:rsid w:val="006D4BF0"/>
    <w:rsid w:val="006E7DDA"/>
    <w:rsid w:val="006E7F4B"/>
    <w:rsid w:val="006F7602"/>
    <w:rsid w:val="007016E3"/>
    <w:rsid w:val="00707A33"/>
    <w:rsid w:val="00714AD1"/>
    <w:rsid w:val="0073155F"/>
    <w:rsid w:val="00733CD8"/>
    <w:rsid w:val="00742F89"/>
    <w:rsid w:val="00755E45"/>
    <w:rsid w:val="00760AF9"/>
    <w:rsid w:val="00786695"/>
    <w:rsid w:val="00790C96"/>
    <w:rsid w:val="007B09C9"/>
    <w:rsid w:val="007B0A3C"/>
    <w:rsid w:val="007B4AFE"/>
    <w:rsid w:val="007E128B"/>
    <w:rsid w:val="007E15B1"/>
    <w:rsid w:val="007F4CFB"/>
    <w:rsid w:val="008159DE"/>
    <w:rsid w:val="008162CB"/>
    <w:rsid w:val="00822B47"/>
    <w:rsid w:val="008311D0"/>
    <w:rsid w:val="00836745"/>
    <w:rsid w:val="008500E4"/>
    <w:rsid w:val="008508EE"/>
    <w:rsid w:val="00855BF2"/>
    <w:rsid w:val="00870860"/>
    <w:rsid w:val="008D01A3"/>
    <w:rsid w:val="008D4C6E"/>
    <w:rsid w:val="008E72DD"/>
    <w:rsid w:val="00907232"/>
    <w:rsid w:val="009142C4"/>
    <w:rsid w:val="0091570C"/>
    <w:rsid w:val="00915B27"/>
    <w:rsid w:val="00921AEE"/>
    <w:rsid w:val="0092466C"/>
    <w:rsid w:val="0094018C"/>
    <w:rsid w:val="00952519"/>
    <w:rsid w:val="009777E3"/>
    <w:rsid w:val="0098237F"/>
    <w:rsid w:val="009A3824"/>
    <w:rsid w:val="009B2934"/>
    <w:rsid w:val="009C46FC"/>
    <w:rsid w:val="009E4381"/>
    <w:rsid w:val="009E4D53"/>
    <w:rsid w:val="00A00B83"/>
    <w:rsid w:val="00A153A1"/>
    <w:rsid w:val="00A431A4"/>
    <w:rsid w:val="00A505F5"/>
    <w:rsid w:val="00A52A09"/>
    <w:rsid w:val="00A65A21"/>
    <w:rsid w:val="00A73A08"/>
    <w:rsid w:val="00A756ED"/>
    <w:rsid w:val="00A80E67"/>
    <w:rsid w:val="00A839F3"/>
    <w:rsid w:val="00A91928"/>
    <w:rsid w:val="00AA5D46"/>
    <w:rsid w:val="00AA6146"/>
    <w:rsid w:val="00AB0F43"/>
    <w:rsid w:val="00AC3B7D"/>
    <w:rsid w:val="00AD2386"/>
    <w:rsid w:val="00AD4906"/>
    <w:rsid w:val="00AD6CDA"/>
    <w:rsid w:val="00B057AD"/>
    <w:rsid w:val="00B144CD"/>
    <w:rsid w:val="00B26B7B"/>
    <w:rsid w:val="00B310BB"/>
    <w:rsid w:val="00B61F3C"/>
    <w:rsid w:val="00B67A0D"/>
    <w:rsid w:val="00B71506"/>
    <w:rsid w:val="00B76C36"/>
    <w:rsid w:val="00B90236"/>
    <w:rsid w:val="00B96FCF"/>
    <w:rsid w:val="00BA3E74"/>
    <w:rsid w:val="00BC10D0"/>
    <w:rsid w:val="00BC5DDA"/>
    <w:rsid w:val="00BD11D7"/>
    <w:rsid w:val="00BD4BEC"/>
    <w:rsid w:val="00BF09C2"/>
    <w:rsid w:val="00BF2D03"/>
    <w:rsid w:val="00BF7796"/>
    <w:rsid w:val="00C01A69"/>
    <w:rsid w:val="00C0795E"/>
    <w:rsid w:val="00C179AB"/>
    <w:rsid w:val="00C213BF"/>
    <w:rsid w:val="00C22B35"/>
    <w:rsid w:val="00C231E5"/>
    <w:rsid w:val="00C2507F"/>
    <w:rsid w:val="00C34756"/>
    <w:rsid w:val="00C479D4"/>
    <w:rsid w:val="00C509E7"/>
    <w:rsid w:val="00C57332"/>
    <w:rsid w:val="00C75963"/>
    <w:rsid w:val="00C83004"/>
    <w:rsid w:val="00C84E86"/>
    <w:rsid w:val="00C87594"/>
    <w:rsid w:val="00C90352"/>
    <w:rsid w:val="00CA1DEC"/>
    <w:rsid w:val="00CA5AF0"/>
    <w:rsid w:val="00CB46E5"/>
    <w:rsid w:val="00CB794E"/>
    <w:rsid w:val="00CD1450"/>
    <w:rsid w:val="00CF6747"/>
    <w:rsid w:val="00CF773E"/>
    <w:rsid w:val="00CF7F22"/>
    <w:rsid w:val="00D00006"/>
    <w:rsid w:val="00D138EC"/>
    <w:rsid w:val="00D22B86"/>
    <w:rsid w:val="00D24539"/>
    <w:rsid w:val="00D24F86"/>
    <w:rsid w:val="00D27263"/>
    <w:rsid w:val="00D27DC3"/>
    <w:rsid w:val="00D32987"/>
    <w:rsid w:val="00D36B81"/>
    <w:rsid w:val="00D378CD"/>
    <w:rsid w:val="00D41B58"/>
    <w:rsid w:val="00D450E2"/>
    <w:rsid w:val="00D60E7C"/>
    <w:rsid w:val="00D6146B"/>
    <w:rsid w:val="00D61B9D"/>
    <w:rsid w:val="00D73C6D"/>
    <w:rsid w:val="00D83131"/>
    <w:rsid w:val="00D87C55"/>
    <w:rsid w:val="00DA7380"/>
    <w:rsid w:val="00DA7421"/>
    <w:rsid w:val="00DC1FAE"/>
    <w:rsid w:val="00DD1C06"/>
    <w:rsid w:val="00DD4EA5"/>
    <w:rsid w:val="00DD4FC4"/>
    <w:rsid w:val="00DD7622"/>
    <w:rsid w:val="00DE27CE"/>
    <w:rsid w:val="00DF6CED"/>
    <w:rsid w:val="00E04380"/>
    <w:rsid w:val="00E058E3"/>
    <w:rsid w:val="00E06F9A"/>
    <w:rsid w:val="00E1152D"/>
    <w:rsid w:val="00E11544"/>
    <w:rsid w:val="00E131C7"/>
    <w:rsid w:val="00E232D8"/>
    <w:rsid w:val="00E50D7C"/>
    <w:rsid w:val="00E67CB3"/>
    <w:rsid w:val="00E85195"/>
    <w:rsid w:val="00E87B3C"/>
    <w:rsid w:val="00E91566"/>
    <w:rsid w:val="00E976DA"/>
    <w:rsid w:val="00EA7FF7"/>
    <w:rsid w:val="00EC023F"/>
    <w:rsid w:val="00EC26E1"/>
    <w:rsid w:val="00EC6367"/>
    <w:rsid w:val="00EC6946"/>
    <w:rsid w:val="00EC72A4"/>
    <w:rsid w:val="00ED32D2"/>
    <w:rsid w:val="00ED61ED"/>
    <w:rsid w:val="00F03D15"/>
    <w:rsid w:val="00F044D6"/>
    <w:rsid w:val="00F064E1"/>
    <w:rsid w:val="00F2494C"/>
    <w:rsid w:val="00F265F4"/>
    <w:rsid w:val="00F32D90"/>
    <w:rsid w:val="00F34065"/>
    <w:rsid w:val="00F34A56"/>
    <w:rsid w:val="00F516F1"/>
    <w:rsid w:val="00F5565C"/>
    <w:rsid w:val="00F66476"/>
    <w:rsid w:val="00F70DCA"/>
    <w:rsid w:val="00F75634"/>
    <w:rsid w:val="00F849C9"/>
    <w:rsid w:val="00F85119"/>
    <w:rsid w:val="00FA2916"/>
    <w:rsid w:val="00FA7E29"/>
    <w:rsid w:val="00FC1E17"/>
    <w:rsid w:val="00FC34BD"/>
    <w:rsid w:val="00FC6127"/>
    <w:rsid w:val="00FC62AD"/>
    <w:rsid w:val="00FD42B0"/>
    <w:rsid w:val="00FE67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6AA6E63-5FA0-42D6-9C82-8AF121B0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7F"/>
    <w:pPr>
      <w:ind w:left="720"/>
      <w:contextualSpacing/>
    </w:pPr>
  </w:style>
  <w:style w:type="paragraph" w:styleId="Header">
    <w:name w:val="header"/>
    <w:basedOn w:val="Normal"/>
    <w:link w:val="HeaderChar"/>
    <w:uiPriority w:val="99"/>
    <w:unhideWhenUsed/>
    <w:rsid w:val="00146EE7"/>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6EE7"/>
  </w:style>
  <w:style w:type="paragraph" w:styleId="Footer">
    <w:name w:val="footer"/>
    <w:basedOn w:val="Normal"/>
    <w:link w:val="FooterChar"/>
    <w:uiPriority w:val="99"/>
    <w:unhideWhenUsed/>
    <w:rsid w:val="00146EE7"/>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6EE7"/>
  </w:style>
  <w:style w:type="paragraph" w:styleId="BalloonText">
    <w:name w:val="Balloon Text"/>
    <w:basedOn w:val="Normal"/>
    <w:link w:val="BalloonTextChar"/>
    <w:uiPriority w:val="99"/>
    <w:semiHidden/>
    <w:unhideWhenUsed/>
    <w:rsid w:val="00952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19"/>
    <w:rPr>
      <w:rFonts w:ascii="Tahoma" w:hAnsi="Tahoma" w:cs="Tahoma"/>
      <w:sz w:val="16"/>
      <w:szCs w:val="16"/>
    </w:rPr>
  </w:style>
  <w:style w:type="character" w:styleId="CommentReference">
    <w:name w:val="annotation reference"/>
    <w:basedOn w:val="DefaultParagraphFont"/>
    <w:uiPriority w:val="99"/>
    <w:semiHidden/>
    <w:unhideWhenUsed/>
    <w:rsid w:val="005D08DC"/>
    <w:rPr>
      <w:sz w:val="16"/>
      <w:szCs w:val="16"/>
    </w:rPr>
  </w:style>
  <w:style w:type="paragraph" w:styleId="CommentText">
    <w:name w:val="annotation text"/>
    <w:basedOn w:val="Normal"/>
    <w:link w:val="CommentTextChar"/>
    <w:uiPriority w:val="99"/>
    <w:semiHidden/>
    <w:unhideWhenUsed/>
    <w:rsid w:val="005D08DC"/>
    <w:pPr>
      <w:spacing w:line="240" w:lineRule="auto"/>
    </w:pPr>
    <w:rPr>
      <w:sz w:val="20"/>
      <w:szCs w:val="20"/>
    </w:rPr>
  </w:style>
  <w:style w:type="character" w:customStyle="1" w:styleId="CommentTextChar">
    <w:name w:val="Comment Text Char"/>
    <w:basedOn w:val="DefaultParagraphFont"/>
    <w:link w:val="CommentText"/>
    <w:uiPriority w:val="99"/>
    <w:semiHidden/>
    <w:rsid w:val="005D08DC"/>
    <w:rPr>
      <w:sz w:val="20"/>
      <w:szCs w:val="20"/>
    </w:rPr>
  </w:style>
  <w:style w:type="paragraph" w:styleId="CommentSubject">
    <w:name w:val="annotation subject"/>
    <w:basedOn w:val="CommentText"/>
    <w:next w:val="CommentText"/>
    <w:link w:val="CommentSubjectChar"/>
    <w:uiPriority w:val="99"/>
    <w:semiHidden/>
    <w:unhideWhenUsed/>
    <w:rsid w:val="005D08DC"/>
    <w:rPr>
      <w:b/>
      <w:bCs/>
    </w:rPr>
  </w:style>
  <w:style w:type="character" w:customStyle="1" w:styleId="CommentSubjectChar">
    <w:name w:val="Comment Subject Char"/>
    <w:basedOn w:val="CommentTextChar"/>
    <w:link w:val="CommentSubject"/>
    <w:uiPriority w:val="99"/>
    <w:semiHidden/>
    <w:rsid w:val="005D08DC"/>
    <w:rPr>
      <w:b/>
      <w:bCs/>
      <w:sz w:val="20"/>
      <w:szCs w:val="20"/>
    </w:rPr>
  </w:style>
  <w:style w:type="paragraph" w:styleId="Revision">
    <w:name w:val="Revision"/>
    <w:hidden/>
    <w:uiPriority w:val="99"/>
    <w:semiHidden/>
    <w:rsid w:val="001338EF"/>
    <w:pPr>
      <w:spacing w:after="0" w:line="240" w:lineRule="auto"/>
    </w:pPr>
  </w:style>
  <w:style w:type="paragraph" w:customStyle="1" w:styleId="Style1">
    <w:name w:val="Style1"/>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3">
    <w:name w:val="Style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4">
    <w:name w:val="Style4"/>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5">
    <w:name w:val="Style5"/>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6">
    <w:name w:val="Style6"/>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8">
    <w:name w:val="Style8"/>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2">
    <w:name w:val="Style12"/>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paragraph" w:customStyle="1" w:styleId="Style13">
    <w:name w:val="Style13"/>
    <w:basedOn w:val="Normal"/>
    <w:uiPriority w:val="99"/>
    <w:rsid w:val="00F265F4"/>
    <w:pPr>
      <w:widowControl w:val="0"/>
      <w:autoSpaceDE w:val="0"/>
      <w:autoSpaceDN w:val="0"/>
      <w:adjustRightInd w:val="0"/>
      <w:spacing w:after="0" w:line="240" w:lineRule="auto"/>
    </w:pPr>
    <w:rPr>
      <w:rFonts w:ascii="Batang" w:eastAsia="Batang" w:hAnsi="Calibri" w:cs="Times New Roman"/>
      <w:sz w:val="24"/>
      <w:szCs w:val="24"/>
    </w:rPr>
  </w:style>
  <w:style w:type="character" w:customStyle="1" w:styleId="FontStyle17">
    <w:name w:val="Font Style17"/>
    <w:basedOn w:val="DefaultParagraphFont"/>
    <w:uiPriority w:val="99"/>
    <w:rsid w:val="00F265F4"/>
    <w:rPr>
      <w:rFonts w:ascii="Batang" w:eastAsia="Batang" w:cs="Batang"/>
      <w:b/>
      <w:bCs/>
      <w:color w:val="000000"/>
      <w:sz w:val="16"/>
      <w:szCs w:val="16"/>
    </w:rPr>
  </w:style>
  <w:style w:type="character" w:customStyle="1" w:styleId="FontStyle18">
    <w:name w:val="Font Style18"/>
    <w:basedOn w:val="DefaultParagraphFont"/>
    <w:uiPriority w:val="99"/>
    <w:rsid w:val="00F265F4"/>
    <w:rPr>
      <w:rFonts w:ascii="Franklin Gothic Demi Cond" w:hAnsi="Franklin Gothic Demi Cond" w:cs="Franklin Gothic Demi Cond"/>
      <w:color w:val="000000"/>
      <w:sz w:val="16"/>
      <w:szCs w:val="16"/>
    </w:rPr>
  </w:style>
  <w:style w:type="character" w:customStyle="1" w:styleId="FontStyle19">
    <w:name w:val="Font Style19"/>
    <w:basedOn w:val="DefaultParagraphFont"/>
    <w:uiPriority w:val="99"/>
    <w:rsid w:val="00F265F4"/>
    <w:rPr>
      <w:rFonts w:ascii="Book Antiqua" w:hAnsi="Book Antiqua" w:cs="Book Antiqua"/>
      <w:color w:val="000000"/>
      <w:sz w:val="16"/>
      <w:szCs w:val="16"/>
    </w:rPr>
  </w:style>
  <w:style w:type="character" w:customStyle="1" w:styleId="FontStyle21">
    <w:name w:val="Font Style21"/>
    <w:basedOn w:val="DefaultParagraphFont"/>
    <w:uiPriority w:val="99"/>
    <w:rsid w:val="00F265F4"/>
    <w:rPr>
      <w:rFonts w:ascii="Book Antiqua" w:hAnsi="Book Antiqua" w:cs="Book Antiqua"/>
      <w:b/>
      <w:bCs/>
      <w:color w:val="000000"/>
      <w:sz w:val="16"/>
      <w:szCs w:val="16"/>
    </w:rPr>
  </w:style>
  <w:style w:type="character" w:styleId="Hyperlink">
    <w:name w:val="Hyperlink"/>
    <w:basedOn w:val="DefaultParagraphFont"/>
    <w:uiPriority w:val="99"/>
    <w:semiHidden/>
    <w:unhideWhenUsed/>
    <w:rsid w:val="00F265F4"/>
    <w:rPr>
      <w:color w:val="0000FF"/>
      <w:u w:val="single"/>
    </w:rPr>
  </w:style>
  <w:style w:type="character" w:styleId="FollowedHyperlink">
    <w:name w:val="FollowedHyperlink"/>
    <w:basedOn w:val="DefaultParagraphFont"/>
    <w:uiPriority w:val="99"/>
    <w:semiHidden/>
    <w:unhideWhenUsed/>
    <w:rsid w:val="00F265F4"/>
    <w:rPr>
      <w:color w:val="800080"/>
      <w:u w:val="single"/>
    </w:rPr>
  </w:style>
  <w:style w:type="paragraph" w:customStyle="1" w:styleId="font0">
    <w:name w:val="font0"/>
    <w:basedOn w:val="Normal"/>
    <w:rsid w:val="00F265F4"/>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F265F4"/>
    <w:pPr>
      <w:spacing w:before="100" w:beforeAutospacing="1" w:after="100" w:afterAutospacing="1" w:line="240" w:lineRule="auto"/>
    </w:pPr>
    <w:rPr>
      <w:rFonts w:ascii="Calibri" w:eastAsia="Times New Roman" w:hAnsi="Calibri" w:cs="Calibri"/>
      <w:color w:val="FF0000"/>
    </w:rPr>
  </w:style>
  <w:style w:type="paragraph" w:customStyle="1" w:styleId="font6">
    <w:name w:val="font6"/>
    <w:basedOn w:val="Normal"/>
    <w:rsid w:val="00F265F4"/>
    <w:pPr>
      <w:spacing w:before="100" w:beforeAutospacing="1" w:after="100" w:afterAutospacing="1" w:line="240" w:lineRule="auto"/>
    </w:pPr>
    <w:rPr>
      <w:rFonts w:ascii="Calibri" w:eastAsia="Times New Roman" w:hAnsi="Calibri" w:cs="Calibri"/>
    </w:rPr>
  </w:style>
  <w:style w:type="paragraph" w:customStyle="1" w:styleId="xl63">
    <w:name w:val="xl63"/>
    <w:basedOn w:val="Normal"/>
    <w:rsid w:val="00F2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26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26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F265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Normal"/>
    <w:rsid w:val="00F26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26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F26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265F4"/>
    <w:pPr>
      <w:pBdr>
        <w:left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4">
    <w:name w:val="xl84"/>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F265F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F265F4"/>
    <w:pPr>
      <w:pBdr>
        <w:left w:val="single" w:sz="4" w:space="0" w:color="auto"/>
        <w:right w:val="single" w:sz="4" w:space="0" w:color="auto"/>
      </w:pBdr>
      <w:shd w:val="clear" w:color="000000" w:fill="CCE8C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265F4"/>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Normal"/>
    <w:rsid w:val="00F26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26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Normal"/>
    <w:rsid w:val="00F265F4"/>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F265F4"/>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Normal"/>
    <w:rsid w:val="00F265F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F265F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F26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Normal"/>
    <w:rsid w:val="00F265F4"/>
    <w:pPr>
      <w:pBdr>
        <w:top w:val="single" w:sz="4" w:space="0" w:color="auto"/>
        <w:left w:val="single" w:sz="4" w:space="0" w:color="auto"/>
        <w:bottom w:val="single" w:sz="4" w:space="0" w:color="auto"/>
        <w:right w:val="single" w:sz="4" w:space="0" w:color="auto"/>
      </w:pBdr>
      <w:shd w:val="clear" w:color="000000" w:fill="9ED3A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BodyText">
    <w:name w:val="Body Text"/>
    <w:link w:val="BodyTextChar"/>
    <w:qFormat/>
    <w:rsid w:val="004A68F0"/>
    <w:pPr>
      <w:spacing w:before="120" w:after="0" w:line="260" w:lineRule="exact"/>
      <w:ind w:left="1418"/>
    </w:pPr>
    <w:rPr>
      <w:rFonts w:ascii="Verdana" w:eastAsia="Times New Roman" w:hAnsi="Verdana" w:cs="Times New Roman"/>
      <w:sz w:val="20"/>
      <w:szCs w:val="20"/>
    </w:rPr>
  </w:style>
  <w:style w:type="character" w:customStyle="1" w:styleId="BodyTextChar">
    <w:name w:val="Body Text Char"/>
    <w:basedOn w:val="DefaultParagraphFont"/>
    <w:link w:val="BodyText"/>
    <w:rsid w:val="004A68F0"/>
    <w:rPr>
      <w:rFonts w:ascii="Verdana" w:eastAsia="Times New Roman" w:hAnsi="Verdana" w:cs="Times New Roman"/>
      <w:sz w:val="20"/>
      <w:szCs w:val="20"/>
      <w:lang w:val="hu-HU" w:eastAsia="en-GB"/>
    </w:rPr>
  </w:style>
  <w:style w:type="paragraph" w:styleId="PlainText">
    <w:name w:val="Plain Text"/>
    <w:basedOn w:val="Normal"/>
    <w:link w:val="PlainTextChar"/>
    <w:uiPriority w:val="99"/>
    <w:rsid w:val="004A68F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A68F0"/>
    <w:rPr>
      <w:rFonts w:ascii="Courier New" w:eastAsia="Times New Roman" w:hAnsi="Courier New" w:cs="Courier New"/>
      <w:sz w:val="20"/>
      <w:szCs w:val="20"/>
      <w:lang w:val="hu-H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41348">
      <w:bodyDiv w:val="1"/>
      <w:marLeft w:val="0"/>
      <w:marRight w:val="0"/>
      <w:marTop w:val="0"/>
      <w:marBottom w:val="0"/>
      <w:divBdr>
        <w:top w:val="none" w:sz="0" w:space="0" w:color="auto"/>
        <w:left w:val="none" w:sz="0" w:space="0" w:color="auto"/>
        <w:bottom w:val="none" w:sz="0" w:space="0" w:color="auto"/>
        <w:right w:val="none" w:sz="0" w:space="0" w:color="auto"/>
      </w:divBdr>
    </w:div>
    <w:div w:id="1435515955">
      <w:bodyDiv w:val="1"/>
      <w:marLeft w:val="0"/>
      <w:marRight w:val="0"/>
      <w:marTop w:val="0"/>
      <w:marBottom w:val="0"/>
      <w:divBdr>
        <w:top w:val="none" w:sz="0" w:space="0" w:color="auto"/>
        <w:left w:val="none" w:sz="0" w:space="0" w:color="auto"/>
        <w:bottom w:val="none" w:sz="0" w:space="0" w:color="auto"/>
        <w:right w:val="none" w:sz="0" w:space="0" w:color="auto"/>
      </w:divBdr>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137036063">
          <w:marLeft w:val="0"/>
          <w:marRight w:val="0"/>
          <w:marTop w:val="0"/>
          <w:marBottom w:val="0"/>
          <w:divBdr>
            <w:top w:val="none" w:sz="0" w:space="0" w:color="auto"/>
            <w:left w:val="none" w:sz="0" w:space="0" w:color="auto"/>
            <w:bottom w:val="none" w:sz="0" w:space="0" w:color="auto"/>
            <w:right w:val="none" w:sz="0" w:space="0" w:color="auto"/>
          </w:divBdr>
          <w:divsChild>
            <w:div w:id="272906351">
              <w:marLeft w:val="0"/>
              <w:marRight w:val="0"/>
              <w:marTop w:val="0"/>
              <w:marBottom w:val="0"/>
              <w:divBdr>
                <w:top w:val="none" w:sz="0" w:space="0" w:color="auto"/>
                <w:left w:val="none" w:sz="0" w:space="0" w:color="auto"/>
                <w:bottom w:val="none" w:sz="0" w:space="0" w:color="auto"/>
                <w:right w:val="none" w:sz="0" w:space="0" w:color="auto"/>
              </w:divBdr>
              <w:divsChild>
                <w:div w:id="14301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CCF8A-A538-4F09-9F0E-8BFA5EF91E67}">
  <ds:schemaRefs>
    <ds:schemaRef ds:uri="http://schemas.openxmlformats.org/officeDocument/2006/bibliography"/>
  </ds:schemaRefs>
</ds:datastoreItem>
</file>

<file path=customXml/itemProps2.xml><?xml version="1.0" encoding="utf-8"?>
<ds:datastoreItem xmlns:ds="http://schemas.openxmlformats.org/officeDocument/2006/customXml" ds:itemID="{7F0A9BC6-D634-4267-9D59-67DE44A6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22</Pages>
  <Words>7545</Words>
  <Characters>43007</Characters>
  <Application>Microsoft Office Word</Application>
  <DocSecurity>0</DocSecurity>
  <Lines>358</Lines>
  <Paragraphs>100</Paragraphs>
  <ScaleCrop>false</ScaleCrop>
  <HeadingPairs>
    <vt:vector size="2" baseType="variant">
      <vt:variant>
        <vt:lpstr>Titolo</vt:lpstr>
      </vt:variant>
      <vt:variant>
        <vt:i4>1</vt:i4>
      </vt:variant>
    </vt:vector>
  </HeadingPairs>
  <TitlesOfParts>
    <vt:vector size="1" baseType="lpstr">
      <vt:lpstr/>
    </vt:vector>
  </TitlesOfParts>
  <Company>Agenzia delle Dogane</Company>
  <LinksUpToDate>false</LinksUpToDate>
  <CharactersWithSpaces>50452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LAURELLI NICOLA ANTONIO</dc:creator>
  <cp:lastModifiedBy>Ke, Tingting</cp:lastModifiedBy>
  <cp:revision>14</cp:revision>
  <cp:lastPrinted>2018-02-23T12:35:00Z</cp:lastPrinted>
  <dcterms:created xsi:type="dcterms:W3CDTF">2017-03-17T10:07:00Z</dcterms:created>
  <dcterms:modified xsi:type="dcterms:W3CDTF">2018-03-27T02:21:00Z</dcterms:modified>
</cp:coreProperties>
</file>