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Ke dni:</w:t>
      </w:r>
      <w:r>
        <w:rPr>
          <w:sz w:val="16"/>
          <w:rFonts w:ascii="Verdana" w:hAnsi="Verdana"/>
        </w:rPr>
        <w:t xml:space="preserve"> </w:t>
      </w:r>
      <w:r>
        <w:rPr>
          <w:sz w:val="16"/>
          <w:rFonts w:ascii="Verdana" w:hAnsi="Verdana"/>
        </w:rPr>
        <w:t xml:space="preserve">15. března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Stanovy o regulaci zprostředkovatelů sdělovacích prostředků podle § 96 státní smlouvy o sdělovacích prostředcích</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(Stanovy MI)</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ze dne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Na základě § 96 věty 1 státní smlouvy o sdělovacích prostředcích (dále jen „MStV“) ze dne 14. až 28. dubna 2020 (... odkaz) se [název spolkového úřadu pro sdělovací prostředky] po dohodě s ostatními spolkovými úřady pro sdělovací prostředky přijímají tyto stanovy:</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Oddíl 1:</w:t>
      </w:r>
      <w:r>
        <w:rPr>
          <w:b/>
          <w:sz w:val="22"/>
          <w:rFonts w:ascii="Calibri" w:hAnsi="Calibri"/>
        </w:rPr>
        <w:t xml:space="preserve"> </w:t>
      </w:r>
      <w:r>
        <w:rPr>
          <w:b/>
          <w:sz w:val="22"/>
          <w:rFonts w:ascii="Calibri" w:hAnsi="Calibri"/>
        </w:rPr>
        <w:t xml:space="preserve">Obecná ustanovení</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Účel a cíl</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Podle § 96 smlouvy MStV se těmito stanovami upravují podrobnosti o hmotné a procesní specifikaci právních předpisů pro regulaci zprostředkovatelů sdělovacích prostředků a poskytovatelů zprostředkovatelů sdělovacích prostředků (§ 91 až 95 smlouvy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Tyto stanovy slouží k ochraně rozmanitosti názorů (rozmanitosti nabídky a poskytovatelů).</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Při uplatňování těchto stanov se zohledňuje vedoucí úloha zprostředkovatelů sdělovacích prostředků pro příslušné skupiny uživatelů.</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Oblast působnosti</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Do oblasti působnosti stanov spadají zprostředkovatelé sdělovacích prostředků, integrovaní zprostředkovatelé sdělovacích prostředků a jejich poskytovatelé.</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Pojem „integrovaný zprostředkovatel sdělovacích prostředků“ podle § 91 odst. 1 smlouvy MStV zahrnuje jakoukoli integraci zprostředkovatelské funkce do nabídky třetích osob, která uživatelům nabídky třetích stran umožňuje využívat zprostředkovatelskou funkci.</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Počet uživatelů podle § 91 odst. 2 bodu 1 smlouvy MStV je součet měsíčních jedinečných uživatelů.</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Pokud poskytovatel zprostředkovatele sdělovacích prostředků odkazuje na nařízení uvedené v § 91 odst. 2 bodu 1 smlouvy MStV, předloží a doloží do jednoho měsíce na žádost příslušného spolkového úřadu pro sdělovací prostředky počet uživatelů a předloží dokumentaci a informace požadované pro posouzení.</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Pokud zprostředkovatelská funkce dosud nebyla nabídnuta nebo byla nabídnuta po dobu kratší než šest měsíců, vypracuje poskytovatel zprostředkovatele sdělovacích prostředků na žádost příslušného spolkového úřadu pro sdělovací prostředky prognózu vývoje počtu uživatelů ve smyslu § 91 odst. 2 bodu 1 smlouvy MStV a poskytne důvěryhodné důkazy a rovněž předloží dokumenty a informace požadované pro posouzení.</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Pověřený zástupce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Pověřeným zástupcem může být fyzická nebo právnická osoba.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Fyzické osoby musí mít bydliště nebo místo obvyklého pobytu a právnické osoby musí mít sídlo ve Spolkové republice Německo.</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Musí být uvedena kontaktní adresa.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Požadavky podle § 92 věty 1 druhé části věty smlouvy MStV jsou obvykle splněny, je-li pověřený zástupce určen v rámci informací požadovaných § 5 odst. 1 zákona o službách elektronických informací a komunikací (TMG) a § 18 odst. 1 smlouvy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Oddíl 2:</w:t>
      </w:r>
      <w:r>
        <w:rPr>
          <w:b/>
          <w:sz w:val="22"/>
          <w:rFonts w:ascii="Calibri" w:hAnsi="Calibri"/>
        </w:rPr>
        <w:t xml:space="preserve"> </w:t>
      </w:r>
      <w:r>
        <w:rPr>
          <w:b/>
          <w:sz w:val="22"/>
          <w:rFonts w:ascii="Calibri" w:hAnsi="Calibri"/>
        </w:rPr>
        <w:t xml:space="preserve">Transparentnost</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Účel a cíl</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Ustanovení tohoto oddílu mají zajistit, aby byla pro uživatele zprostředkovatelů sdělovacích prostředků vytvořena odpovídající transparentnost, pokud jde o informace uvedené v § 93 odst. 1 smlouvy MStV a § 6 (informace, které mají být předkládány transparentním způsobem).</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Zejména by to mělo umožnit informované využívání zprostředkovatele sdělovacích prostředků, pokud jde o shromažďování, výběr a prezentaci novinářského a redakčního obsahu.</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Oslovují také poskytovatele novinářského a redakčního obsahu.</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Formální požadavky</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Informace podle § 93 odst. 1 smlouvy MStV, změny podle § 93 odst. 3 smlouvy MStV a informace podle § 6 musí být předkládány transparentním způsobem v němčině.</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Informace, které mají být předkládány transparentním způsobem, jsou snadno vnímatelné ve smyslu § 93 smlouvy MStV, pokud jsou umístěny do jasně viditelné polohy u průměrného uživatele s ohledem na typickou situaci použití zprostředkovatele sdělovacích prostředků.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Obvykle tomu tak je, pokud jsou informace, které mají být předkládány transparentním způsobem, jasně odlišitelné od zbytku obsahu a jsou přímo spojeny se možnostmi vstupu nebo navigace nezbytnými pro použití zprostředkovatele sdělovacích prostředků.</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Při používání odkazu na internetovou stránku uvádějící informace, které mají být předkládány transparentním způsobem, se použijí odpovídajícím způsobem výše uvedené požadavky.</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Informace, které mají být předkládány transparentním způsobem, jsou okamžitě přístupné ve smyslu § 93 smlouvy MStV, pokud jsou pro uživatele vnímatelné bez významných mezikroků.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Tak tomu není zejména v případě, že informace jsou přístupné prostřednictvím více než dvou odkazů na internetové stránky a/nebo je získávání informací podmíněno předchozí registrací nebo přihlášením.</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Informace, které mají být předkládány transparentním způsobem, jsou vždy k dispozici ve smyslu § 93 smlouvy MStV, pokud k nim má uživatel kdykoli přístup.</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Informace, které mají být předkládány transparentním způsobem, jsou poskytovány ve srozumitelném jazyce ve smyslu § 93 smlouvy MStV, pokud mohou poskytnout průměrnému uživateli základní znalosti o okolnostech uvedených v § 93 odst. 1 smlouvy MStV požadované pro informované používání zprostředkovatele sdělovacích prostředků.</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Pokud se při používání zprostředkovatele sdělovacích prostředků používá převážně hlasové ovládání, měly by být informace, které mají být předkládány transparentním způsobem, rovněž na žádost uživatele reprodukovány akusticky, přičemž postačují akustické údaje o tom, kde jsou informace, které mají být předkládány transparentním způsobem, poskytnuty.</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Informační povinnosti</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Poskytovatel zprostředkovatele sdělovacích prostředků je povinen učinit transparentními kritéria, která zprostředkovateli sdělovacích prostředků určují přístup k obsahu a jeho uchovávání (§ 93 odst. 1 bod 1 smlouvy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 tímto účelem musí poskytovatel zprostředkovatele sdělovacích prostředků poskytnout zejména tyto informace:</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Popis technických a hospodářských podmínek, podmínek souvisejících s poskytovatelem, podmínek souvisejících s uživateli a podmínek souvisejících s obsahem, které určují, zda je obsah vnímán prostřednictvím zprostředkovatele sdělovacích prostředků,</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v případě, že je určitý obsah filtrován nebo je snížena nebo zvýšena jeho třída z hlediska vnímavosti při přístupu k zprostředkovateli sdělovacích prostředků a přetrvávání u něj, zejména pomocí automatizovaných systémů, uvede se příslušná kategorie obsahu a cíle sledované filtrací nebo zařazením do tříd a</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informace o tom, zda je přístup k obsahu a jeho uchovávání u zprostředkovatele sdělovacích prostředků ovlivněn nebo může být ovlivněn platbami nebo jinými přímými nebo nepřímými věcnými dávkami a pokud tomu tak je, jakým způsobem k tomu dochází</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Poskytovatel zprostředkovatele sdělovacích prostředků je povinen podle § 93 odst. 1 bodu 2 smlouvy MStV učinit transparentní hlavní kritéria pro shromažďování, výběr a prezentaci obsahu a jeho vážení, včetně informací o fungování používaných algoritmů.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 tímto účelem musí poskytovatel zprostředkovatele sdělovacích prostředků poskytnout zejména tyto informace: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popis hlavních kritérií pro shromažďování, výběr a prezentaci používané poskytovatelem zprostředkovatele sdělovacích prostředků,</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popis relativní váhy hlavních kritérií ve vzájemném vztahu a ve vztahu k vedlejším kritériím, aniž by tato vedlejší kritéria byla učiněna transparentní,</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popis cílů optimalizace sledovaných hlavními kritérii,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informace o tom, zda je nebo může být dohledatelnost obsahu u zprostředkovatele sdělovacích prostředků ovlivněna placením poplatků nebo jinou přímou či nepřímou odměnou ve formě protiplnění a pokud tomu tak je, jakým způsobem k tomu dochází,</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popis základních procesních kroků, které jsou základem při shromažďování, výběru a prezentaci obsahu, včetně toho, které osobní a jiné údaje jsou součástí shromažďování, výběru a prezentace,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informace o typu a rozsahu použité individualizace a o tom, zda je obsah posuzován podle významu pro příslušného uživatele a pokud tomu tak je, jakým způsobem k tomu dochází,</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informace o tom, zda může chování uživatele u zprostředkovatele sdělovacích prostředků ovlivnit shromažďování, výběr a prezentaci obsahu, včetně údajů o možnostech ovlivnění, které má uživatel k dispozici prostřednictvím nastavení a dílčích funkcí, a pokud tomu tak je, jakým způsobem k tomu dochází, a</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informace o tom, zda poskytovatel zprostředkovatele sdělovacích prostředků zachází se svým vlastním obsahem, obsahem přidružené společnosti (§ 15 zákona o akciových společnostech (AktG)) nebo obsahem spolupracujících partnerů zvláštním způsobem při shromáždění, výběru a/nebo prezentaci a pokud tomu tak je, jakým způsobem k tomu dochází.</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Důležité změny kritérií, která mají být předkládána transparentním způsobem podle § 93 odst. 1 smlouvy MStV, musí být bezprostředně vnímatelné.</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 tímto účelem musí poskytovatel zprostředkovatele sdělovacích prostředků uchovávat k dispozici přehled o významných změnách, k nimž došlo v průběhu času.</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Všechny ostatní změny kritérií, která mají být předkládána transparentním způsobem podle § 93 odst. 1 smlouvy MStV, se zveřejňují nejméně každé čtyři měsíce od nabytí účinnosti těchto stanov.</w:t>
      </w:r>
      <w:r>
        <w:rPr>
          <w:sz w:val="22"/>
          <w:rFonts w:ascii="Calibri" w:hAnsi="Calibri"/>
        </w:rPr>
        <w:t xml:space="preserve"> </w:t>
      </w:r>
      <w:r>
        <w:rPr>
          <w:sz w:val="22"/>
          <w:rFonts w:ascii="Calibri" w:hAnsi="Calibri"/>
        </w:rPr>
        <w:t xml:space="preserve">Ustanovení § 5 se použije odpovídajícím způsobem.</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Oddíl 3:</w:t>
      </w:r>
      <w:r>
        <w:rPr>
          <w:b/>
          <w:sz w:val="22"/>
          <w:rFonts w:ascii="Calibri" w:hAnsi="Calibri"/>
        </w:rPr>
        <w:t xml:space="preserve"> </w:t>
      </w:r>
      <w:r>
        <w:rPr>
          <w:b/>
          <w:sz w:val="22"/>
          <w:rFonts w:ascii="Calibri" w:hAnsi="Calibri"/>
        </w:rPr>
        <w:t xml:space="preserve">Zásada zákazu diskriminace</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Obecná ustanovení</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Povinnost zprostředkovatele sdělovacích prostředků podle § 94 odst. 1 smlouvy MStV zahrnuje rovněž určitelné části a příspěvky novinářské a redakční nabídky.</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Pro stanovení obzvláště vysokého vlivu ve smyslu § 94 odst. 1 smlouvy MStV je rozhodující vliv zprostředkovatele sdělovacích prostředků na vnímavost novinářského a redakčního obsahu v procesu vytváření názoru.</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Posouzení může zohlednit zejména</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postavení zprostředkovatele sdělovacích prostředků na příslušných relevantních trzích;</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celkový pohled na použití, například na základě dostupného rozsahu použití, počtu uživatelů, doby setrvání a činnosti uživatelů nebo počtu zobrazení na jednoho uživatele.</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w:t>
      </w:r>
      <w:r>
        <w:rPr>
          <w:b/>
          <w:sz w:val="22"/>
          <w:rFonts w:ascii="Calibri" w:hAnsi="Calibri"/>
        </w:rPr>
        <w:br/>
      </w:r>
      <w:r>
        <w:rPr>
          <w:b/>
          <w:sz w:val="22"/>
          <w:rFonts w:ascii="Calibri" w:hAnsi="Calibri"/>
        </w:rPr>
        <w:t xml:space="preserve"> Systematická odchylka podle § 94 odst. 2 první alternativy smlouvy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Rozhodující pro posouzení, zda došlo k porušení § 94 odst. 2 první alternativy smlouvy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jsou kritéria a informace o vážení kritérií, která poskytovatel zprostředkovatele sdělovacích prostředků zveřejňuje s cílem splnit svou povinnost podle § 93 odst. 1 smlouvy MStV nebo</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kritéria a informace o vážení kritérií, která by poskytovatel zprostředkovatele sdělovacích prostředků musel zveřejnit s cílem splnit svou povinnost podle § 93 odst. 1 smlouvy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Odchylka ve smyslu § 94 odst. 2 první alternativy smlouvy MStV se považuje za existující, zejména pokud</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poskytovatel zprostředkovatele sdělovacích prostředků nepoužije zveřejněná kritéria nebo kritéria jiná než kritéria, která mají být zveřejněna podle § 93 odst. 1 bodu 1 a 2 smlouvy MStV nebo</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se poskytovatel zprostředkovatele sdělovacích prostředků odchyluje se od zveřejněného vážení hlavních kritérií shromažďování, výběru a prezentace obsahu.</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To, zda je odchylka ve smyslu § 94 odst. 2 první alternativy smlouvy MStV systematická, se určí na základě celkového pohledu na všechny okolnosti.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Zejména se zohlední doba trvání, pravidelnost, opakování a plánování odchylky.</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Odchylka je odůvodněná, je-li to způsobeno objektivně oprávněným důvodem.</w:t>
      </w:r>
      <w:r>
        <w:rPr>
          <w:sz w:val="22"/>
          <w:rFonts w:ascii="Calibri" w:hAnsi="Calibri"/>
        </w:rPr>
        <w:t xml:space="preserve"> </w:t>
      </w:r>
      <w:r>
        <w:rPr>
          <w:sz w:val="22"/>
          <w:rFonts w:ascii="Calibri" w:hAnsi="Calibri"/>
        </w:rPr>
        <w:t xml:space="preserve">Tyto důvody mohou být zejména</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právní zákazy nebo právní povinnosti;</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technické podmínky při prezentaci uživateli;</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požadavky na ochranu integrity služby.</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To, zda existuje objektivně oprávněný důvod, se po posouzení zájmů zúčastněných stran posuzuje s přihlédnutím k cíli smlouvy MStV zajistit rozmanitost názorů.</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Nepřiměřené překážky podle § 94 odst. 2 druhé alternativy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Překážkou ve smyslu § 94 odst. 2 druhé alternativy smlouvy MStV je přímé nebo nepřímé narušení, pokud jde o přístup k novinářské a redakční nabídce nebo její dohledatelnost.</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 8 odst. 1 se použije odpovídajícím způsobem.</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To, zda je překážka ve smyslu § 94 odst. 2 druhé alternativy smlouvy MStV systematická, se určuje na základě celkového pohledu na všechny okolnosti.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Je třeba zohlednit dobu trvání, pravidelnost, opakování a plánování překážky.</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Nepřiměřená povaha překážky se posuzuje na základě rovnováhy mezi zájmy stran s přihlédnutím k cíli smlouvy MStV zajistit rozmanitost názorů.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Nepřiměřená povaha překážky může vyplývat z jednotlivých kritérií nebo z kumulativní interakce několika kritérií.</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Oddíl 4:</w:t>
      </w:r>
      <w:r>
        <w:rPr>
          <w:b/>
          <w:sz w:val="22"/>
          <w:rFonts w:ascii="Calibri" w:hAnsi="Calibri"/>
        </w:rPr>
        <w:t xml:space="preserve"> </w:t>
      </w:r>
      <w:r>
        <w:rPr>
          <w:b/>
          <w:sz w:val="22"/>
          <w:rFonts w:ascii="Calibri" w:hAnsi="Calibri"/>
        </w:rPr>
        <w:t xml:space="preserve">Řízení a vyšetřování</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Pravomoci komise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Pro plnění úkolů v rámci těchto stanov slouží jako vhodný orgán Komise pro udělování licencí a dohled (ZAK) příslušného spolkového úřadu pro sdělovací prostředky (§ 104 odst. 2 věta 1 bod 1, § 105 odst. 1 věta 1 bod 10 smlouvy MStV ve spojení s jednacím řádem ZAK, který se označuje jako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Příslušný spolkový úřad pro sdělovací prostředky neprodleně postoupí stížnost komisi ZAK prostřednictvím společného sekretariátu podle § 11 a informuje ji o přezkoumání z moci úřední.</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Komise ZAK vede řízení do doby, než bude připraveno rozhodnutí.</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Řízení týkající se zásady zákazu diskriminace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Příslušný spolkový úřad pro sdělovací prostředky přezkoumá prostřednictvím komise ZAK na základě stížnosti nebo ve zřejmých případech z moci úřední, zda poskytovatel zprostředkovatele sdělovacích prostředků porušuje ustanovení § 94 odst. 1 a 2 smlouvy MStV nebo § 8 a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Právo podat odvolání ve smyslu § 94 odst. 3 věty 1 smlouvy MStV se přiznává</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poskytovatelům novinářského a redakčního obsahu a</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poskytovatelům mediálních platforem a uživatelských rozhraní, pokud si stěžují na diskriminaci balíčků novinářského a redakčního obsahu, které nabízejí.</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Stěžovatel uvede důvody svého odvolání.</w:t>
      </w:r>
      <w:r>
        <w:rPr>
          <w:sz w:val="22"/>
          <w:rFonts w:ascii="Calibri" w:hAnsi="Calibri"/>
        </w:rPr>
        <w:t xml:space="preserve"> </w:t>
      </w:r>
      <w:r>
        <w:rPr>
          <w:sz w:val="22"/>
          <w:rFonts w:ascii="Calibri" w:hAnsi="Calibri"/>
        </w:rPr>
        <w:t xml:space="preserve">Za tímto účelem musí být předložen vhodný doklad, ze kterého vyplynou dostatečné důkazy pro údajnou diskriminaci jeho novinářského a redakčního obsahu ve smyslu § 94 odst. 2 smlouvy MStV nebo § 8 a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Zejména mohou být předloženy:</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hodnocení dohledatelnosti vlastního novinářského a redakčního obsahu u zprostředkovatele sdělovacích prostředků a</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vhodné studie.</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Kromě toho musí stěžovatel předložit, je-li to možné, vhodný doklad, ze kterého vyplynou dostatečné důkazy o zvláště vysokém vlivu zprostředkovatele sdělovacích prostředků na vnímavost novinářského a redakčního obsahu ve smyslu § 94 odst. 1 smlouvy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O zřejmý případ podle § 94 odst. 3 věty 2 smlouvy MStV a odstavce 1 se jedná, pokud jsou skutečnosti, které jsou základem porušení zásady zákazu diskriminace, jasně zjistitelné třetími osobami.</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Nápravná opatření</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Pokud příslušný spolkový úřad pro sdělovací prostředky rozhodne prostřednictvím komise ZAK, že poskytovatel zprostředkovatele sdělovacích prostředků porušuje § 92 až § 94 smlouvy MStV nebo ustanovení těchto stanov, poskytovatel zprostředkovatele sdělovacích prostředků neprodleně přijme nápravná opatření ve vztahu k zprostředkovateli sdělovacích prostředků.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Poskytovatel zprostředkovatele sdělovacích prostředků je povinen vhodným a srozumitelným způsobem předložit příslušnému spolkovému úřadu pro sdělovací prostředky důkazy o nápravných opatřeních.</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Informace a předkládání dokumentů</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S cílem ověřit možné porušení předpisů je poskytovatel zprostředkovatele sdělovacích prostředků povinen poskytnout veškeré nezbytné informace, zpřístupnit informace a předložit dokumenty.</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Příslušný spolkový úřad pro sdělovací prostředky je oprávněn především</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požadovat předložení veškeré dokumentace, která prokazuje kritéria ve smyslu § 93 odst. 1 bodu 1 smlouvy MStV nebo hlavní kritéria a jejich vážení, jakož i fungování algoritmů používaných ve smyslu § 93 odst. 1 bodu 2 smlouvy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jako svědky vyslechnout zaměstnance poskytovatele zprostředkovatele sdělovacích prostředků, kteří se podílejí na definování, technickém provádění a změnách kritérií ve smyslu § 93 odst. 1 bodu 1 smlouvy MStV nebo hlavních kritérií a jejich vážení a také algoritmů používaných ve smyslu § 93 odst. 1 bodu 2 smlouvy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požadovat od poskytovatele zprostředkovatele sdělovacích prostředků čestné prohlášení o informacích, které mají být předkládány transparentním způsobem podle § 93 odst. 1 smlouvy MStV a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požadovat předložení smluv, závazků nebo jiných povinností, které objektivně souvisejí s přístupem zprostředkovatelů sdělovacích prostředků a jejich uchovávání obsahu, zejména pokud se týkají začlenění, prezentace a uchovávání novinářského a redakčního obsahu.</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Při předkládání dokumentů uvedených v odstavci 1 označí poskytovatel zprostředkovatele sdělovacích prostředků ty části dokumentů, které obsahují provozní či obchodní tajemství.</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 tomto případě musí dodatečně předložit verzi, která může být z jeho pohledu nahlížena třetími stranami, aniž by byla vyzrazena provozní či obchodní tajemství.</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Pokud tak není učiněno, je spolkový úřad pro sdělovací prostředky oprávněn předpokládat souhlas s kontrolou, pokud si není vědom zvláštních okolností, které takové domněnky neodůvodňují.</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Považuje-li spolkový úřad pro sdělovací prostředky označení dokumentů za provozní či obchodní tajemství za neodůvodněné, musí poskytovateli poskytnout možnost vyjádřit se před rozhodnutím o udělení přístupu třetím osobám.</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Oddíl 5:</w:t>
      </w:r>
      <w:r>
        <w:rPr>
          <w:b/>
          <w:sz w:val="22"/>
          <w:rFonts w:ascii="Calibri" w:hAnsi="Calibri"/>
        </w:rPr>
        <w:t xml:space="preserve"> </w:t>
      </w:r>
      <w:r>
        <w:rPr>
          <w:b/>
          <w:sz w:val="22"/>
          <w:rFonts w:ascii="Calibri" w:hAnsi="Calibri"/>
        </w:rPr>
        <w:t xml:space="preserve">Závěrečná ustanovení</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Hodnocení</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Komise ZAK přezkoumá tyto stanovy nejméně jednou za tři roky, přičemž zejména zohlední</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zkušenosti získané při praktickém uplatňování těchto stanov;</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technický a hospodářský vývoj v oblasti právních předpisů;</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význam jednotlivých zprostředkovatelů sdělovacích prostředků pro vytváření veřejného mínění;</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spoluregulační vývoj, jako jsou závazky v celém odvětví;</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rozvoj výzkumu v oblasti transparentnosti a diskriminace;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vývoj výzkumu a vědy v oblasti analýzy dat, umělé inteligence a strojového učení.</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Nabytí účinnosti</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Tyto stanovy nabývají účinnosti dne 1. září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Pokud do 31. srpna 2021 nejsou přijaty a zveřejněny příslušné stanovy všemi federálními orgány sdělovacích prostředků, stanou se tyto stanovy zastaralými.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Předseda Konference ředitelů spolkových úřadů pro sdělovací prostředky (DLM) zveřejní na internetu pod zastřešující značkou „die medienanstalten“ údaje o tom, zda všechny spolkové úřady pro sdělovací prostředky přijaly a zveřejnily příslušné stanovy ve lhůtě stanovené ve větě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Oznámeno v souladu se směrnicí Evropského parlamentu a Rady (EU) 2015/1535 ze dne 9. září 2015 o postupu při poskytování informací v oblasti technických předpisů a předpisů pro služby informační společnosti (Úř. věst. L 241, 17.9.2015, s. 1, Celex 32015L1535).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cs-CZ"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