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FRANCOUZSKÁ REPUBLIKA</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Ministerstvo pro ekologickou transformaci</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Výnos č. 2022-...</w:t>
      </w:r>
      <w:r>
        <w:t xml:space="preserve">                         </w:t>
      </w:r>
      <w:r>
        <w:t xml:space="preserve">ze dne...</w:t>
      </w:r>
    </w:p>
    <w:p w14:paraId="735C2865" w14:textId="77777777" w:rsidR="00FB6E53" w:rsidRDefault="00902234" w:rsidP="00FB6E53">
      <w:pPr>
        <w:pStyle w:val="SNtitre"/>
      </w:pPr>
      <w:r>
        <w:t xml:space="preserve">o kompenzování emisí uhlíku a tvrzeních o uhlíkové neutralitě v reklamě</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Cílová skupina:</w:t>
      </w:r>
      <w:r>
        <w:rPr>
          <w:i/>
          <w:b w:val="0"/>
        </w:rPr>
        <w:t xml:space="preserve"> </w:t>
      </w:r>
      <w:r>
        <w:rPr>
          <w:i/>
          <w:b w:val="0"/>
        </w:rPr>
        <w:t xml:space="preserve">Zadavatelé reklamy</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Předmět: </w:t>
      </w:r>
      <w:r>
        <w:rPr>
          <w:i/>
          <w:b w:val="0"/>
        </w:rPr>
        <w:t xml:space="preserve">Uplatnění článku 12 zákona č. 2021-1104 ze dne 22. srpna 2021 o boji proti změně klimatu a posílení odolnosti vůči jejím dopadům.</w:t>
      </w:r>
    </w:p>
    <w:p w14:paraId="24250E11" w14:textId="77777777" w:rsidR="00FB6E53" w:rsidRPr="00AC1942" w:rsidRDefault="00FB6E53" w:rsidP="00FB6E53">
      <w:pPr>
        <w:pStyle w:val="SNAutorit"/>
        <w:spacing w:before="120"/>
        <w:jc w:val="both"/>
        <w:rPr>
          <w:i/>
        </w:rPr>
      </w:pPr>
      <w:r>
        <w:rPr>
          <w:i/>
        </w:rPr>
        <w:t xml:space="preserve">Vstup v platnost: </w:t>
      </w:r>
      <w:r>
        <w:rPr>
          <w:i/>
          <w:b w:val="0"/>
        </w:rPr>
        <w:t xml:space="preserve">znění vstupuje v platnost prvním dnem po zveřejnění, s výjimkou článků 2 a 3, které vstoupí v platnost dne 1. ledna 2023.</w:t>
      </w:r>
    </w:p>
    <w:p w14:paraId="3C996B02" w14:textId="77777777" w:rsidR="00FB6E53" w:rsidRPr="009F1E9F" w:rsidRDefault="009F1E9F" w:rsidP="009F1E9F">
      <w:pPr>
        <w:pStyle w:val="SNAutorit"/>
        <w:spacing w:before="120"/>
        <w:jc w:val="both"/>
        <w:rPr>
          <w:b w:val="0"/>
          <w:i/>
        </w:rPr>
      </w:pPr>
      <w:r>
        <w:rPr>
          <w:i/>
        </w:rPr>
        <w:t xml:space="preserve">Poznámka:</w:t>
      </w:r>
      <w:r>
        <w:rPr>
          <w:i/>
        </w:rPr>
        <w:t xml:space="preserve"> </w:t>
      </w:r>
      <w:r>
        <w:rPr>
          <w:i/>
          <w:b w:val="0"/>
        </w:rPr>
        <w:t xml:space="preserve">Tímto výnosem se stanoví postupy pro sdělování informací ze strany zadavatelů reklamy podle článku 12 výše uvedeného zákona č. 2021-1104.</w:t>
      </w:r>
      <w:r>
        <w:rPr>
          <w:i/>
          <w:b w:val="0"/>
        </w:rPr>
        <w:t xml:space="preserve"> </w:t>
      </w:r>
      <w:r>
        <w:rPr>
          <w:i/>
          <w:b w:val="0"/>
        </w:rPr>
        <w:t xml:space="preserve">Vztahuje se na všechny reklamy vysílané po vstupu znění v platnost.</w:t>
      </w:r>
      <w:r>
        <w:rPr>
          <w:i/>
        </w:rPr>
        <w:t xml:space="preserve"> </w:t>
      </w:r>
    </w:p>
    <w:p w14:paraId="64AAF47B" w14:textId="77777777" w:rsidR="00FB6E53" w:rsidRDefault="00FB6E53" w:rsidP="00FB6E53">
      <w:pPr>
        <w:pStyle w:val="SNAutorit"/>
        <w:spacing w:before="120"/>
        <w:jc w:val="both"/>
      </w:pPr>
      <w:r>
        <w:rPr>
          <w:i/>
        </w:rPr>
        <w:t xml:space="preserve">Odkazy: </w:t>
      </w:r>
      <w:r>
        <w:rPr>
          <w:i/>
          <w:b w:val="0"/>
        </w:rPr>
        <w:t xml:space="preserve">Ustanovení výnosu se přijímají za účelem použití článku 12 zákona č. 2021-1104 ze dne 22. srpna 2021 o boji proti změně klimatu a posílení odolnosti vůči jejím dopadům.</w:t>
      </w:r>
      <w:r>
        <w:rPr>
          <w:i/>
          <w:b w:val="0"/>
        </w:rPr>
        <w:t xml:space="preserve"> </w:t>
      </w:r>
      <w:r>
        <w:rPr>
          <w:i/>
          <w:b w:val="0"/>
        </w:rPr>
        <w:t xml:space="preserve">Tento zákon a výnos jsou k dispozici na internetových stránkách Légifrance (http://www.legifrance.gouv.fr).</w:t>
      </w:r>
    </w:p>
    <w:p w14:paraId="0D71FAD6" w14:textId="77777777" w:rsidR="00FB6E53" w:rsidRDefault="00FB6E53" w:rsidP="00FB6E53">
      <w:pPr>
        <w:pStyle w:val="SNAutorit"/>
      </w:pPr>
      <w:r>
        <w:t xml:space="preserve">Předseda vlády,</w:t>
      </w:r>
    </w:p>
    <w:p w14:paraId="68B0A9A6" w14:textId="77777777" w:rsidR="00FB6E53" w:rsidRDefault="00FB6E53" w:rsidP="00FB6E53">
      <w:pPr>
        <w:pStyle w:val="SNRapport"/>
      </w:pPr>
      <w:r>
        <w:t xml:space="preserve">na základě zprávy ministryně pro ekologickou transformaci,</w:t>
      </w:r>
    </w:p>
    <w:p w14:paraId="5C693133" w14:textId="77777777" w:rsidR="0099494E" w:rsidRPr="0099494E" w:rsidRDefault="0099494E" w:rsidP="001E3BBD">
      <w:pPr>
        <w:pStyle w:val="SNRapport"/>
        <w:ind w:left="708" w:firstLine="12"/>
      </w:pPr>
      <w:r>
        <w:t xml:space="preserve">s ohledem na směrnici Evropského parlamentu a Rady (EU) 2015/1535 ze dne 9. září 2015 o postupu při poskytování informací v oblasti technických předpisů a předpisů pro služby informační společnosti (kodifikované znění), a zejména na oznámení č. ...;</w:t>
      </w:r>
    </w:p>
    <w:p w14:paraId="4A9160F2" w14:textId="77777777" w:rsidR="008C2EFB" w:rsidRDefault="008C2EFB" w:rsidP="00FB6E53">
      <w:pPr>
        <w:pStyle w:val="SNRapport"/>
      </w:pPr>
      <w:r>
        <w:t xml:space="preserve">s ohledem na zákoníku životního prostředí;</w:t>
      </w:r>
    </w:p>
    <w:p w14:paraId="46410193" w14:textId="77777777" w:rsidR="00FB6E53" w:rsidRDefault="00FB6E53" w:rsidP="00FB6E53">
      <w:pPr>
        <w:pStyle w:val="SNVisa"/>
        <w:ind w:left="708" w:firstLine="12"/>
      </w:pPr>
      <w:r>
        <w:t xml:space="preserve">s ohledem na zákon č. 2021-1104 ze dne 22. srpna 2021 o boji proti změně klimatu a posílení odolnosti vůči jejím dopadům, a zejména na články 12 a 147 tohoto zákoníku;</w:t>
      </w:r>
    </w:p>
    <w:p w14:paraId="46E64030" w14:textId="77777777" w:rsidR="00DA728B" w:rsidRDefault="00DA728B" w:rsidP="00DA728B">
      <w:pPr>
        <w:pStyle w:val="SNVisa"/>
        <w:ind w:left="708" w:firstLine="12"/>
        <w:jc w:val="both"/>
      </w:pPr>
      <w:r>
        <w:t xml:space="preserve">s ohledem na výnos č. 97-1198 ze dne 19. prosince 1997, kterým se provádí čl. 2 odst. 1 výnosu č. 97-34 ze dne 15. ledna 1997 o dekoncentraci jednotlivých správních rozhodnutí na ministry odpovědné za ekologickou a sociální transformaci, územní soudržnost a vztahy s místními a regionálními orgány;</w:t>
      </w:r>
    </w:p>
    <w:p w14:paraId="0A395ED6" w14:textId="77777777" w:rsidR="00FB6E53" w:rsidRPr="00FB6E53" w:rsidRDefault="00FB6E53" w:rsidP="00FB6E53">
      <w:pPr>
        <w:pStyle w:val="SNVisa"/>
        <w:ind w:left="708" w:firstLine="12"/>
      </w:pPr>
      <w:r>
        <w:t xml:space="preserve">s ohledem na výnos č. 2020-457 ze dne 21. dubna 2020 o vnitrostátních uhlíkových rozpočtech a vnitrostátní strategii pro nízkouhlíkové hospodářství;</w:t>
      </w:r>
    </w:p>
    <w:p w14:paraId="55F7F2B6" w14:textId="77777777" w:rsidR="00FB6E53" w:rsidRDefault="00FB6E53" w:rsidP="00FB6E53">
      <w:pPr>
        <w:pStyle w:val="SNVisa"/>
        <w:ind w:left="708" w:firstLine="12"/>
      </w:pPr>
      <w:r>
        <w:t xml:space="preserve">s ohledem na připomínky učiněné během veřejné konzultace mezi ... a ..., podle článku L. 123-19-1 zákoníku životního prostředí;</w:t>
      </w:r>
    </w:p>
    <w:p w14:paraId="24270816" w14:textId="77777777" w:rsidR="007B2607" w:rsidRPr="00975B1D" w:rsidRDefault="007B2607" w:rsidP="007B2607">
      <w:pPr>
        <w:pStyle w:val="SNVisa"/>
        <w:ind w:left="708" w:firstLine="12"/>
      </w:pPr>
      <w:r>
        <w:t xml:space="preserve">po vyslechnutí Státní rady,</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stanovuje:</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Článek 1</w:t>
      </w:r>
    </w:p>
    <w:p w14:paraId="3D42B733" w14:textId="77777777" w:rsidR="007B2607" w:rsidRPr="007C21D8" w:rsidRDefault="007B2607" w:rsidP="007B2607">
      <w:pPr>
        <w:jc w:val="both"/>
      </w:pPr>
      <w:r>
        <w:t xml:space="preserve">V kapitole IX hlavy II knihy II zákoníku životního prostředí se vkládá nový oddíl 7, který zní:</w:t>
      </w:r>
    </w:p>
    <w:p w14:paraId="437B06A1" w14:textId="77777777" w:rsidR="007B2607" w:rsidRPr="007C21D8" w:rsidRDefault="007B2607" w:rsidP="007B2607">
      <w:pPr>
        <w:jc w:val="both"/>
      </w:pPr>
    </w:p>
    <w:p w14:paraId="61BA25EE" w14:textId="77777777" w:rsidR="007B2607" w:rsidRPr="00175048" w:rsidRDefault="007B2607" w:rsidP="007B2607">
      <w:r>
        <w:t xml:space="preserve">„Oddíl 7:</w:t>
      </w:r>
      <w:r>
        <w:t xml:space="preserve"> </w:t>
      </w:r>
      <w:r>
        <w:t xml:space="preserve">Snížení emisí v důsledku projektů kompenzace emisí skleníkových plynů</w:t>
      </w:r>
    </w:p>
    <w:p w14:paraId="3D4DF454" w14:textId="77777777" w:rsidR="007B2607" w:rsidRDefault="007B2607" w:rsidP="007B2607"/>
    <w:p w14:paraId="72A2FE53" w14:textId="77777777" w:rsidR="007B2607" w:rsidRDefault="007B2607" w:rsidP="007B2607">
      <w:pPr>
        <w:jc w:val="both"/>
      </w:pPr>
      <w:r>
        <w:t xml:space="preserve">Článek R. 229-103. – Zásady uvedené v článku L. 229-55 musí být v souladu s následujícími prováděcími postupy:</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Měřitelný charakter: emise skleníkových plynů, kterým bylo zabráněno nebo které byly zachyceny prostřednictvím projektů, jsou kvantifikovány na základě transparentní a veřejně dostupné metodiky.</w:t>
      </w:r>
      <w:r>
        <w:t xml:space="preserve"> </w:t>
      </w:r>
      <w:r>
        <w:t xml:space="preserve">Metoda kvantifikace je založena na nejnovějších vědeckých a technických poznatcích.</w:t>
      </w:r>
      <w:r>
        <w:t xml:space="preserve"> </w:t>
      </w:r>
      <w:r>
        <w:t xml:space="preserve">Údaje o měření jsou jasně zdokumentovány a lze je ověřit.</w:t>
      </w:r>
      <w:r>
        <w:t xml:space="preserve"> </w:t>
      </w:r>
      <w:r>
        <w:t xml:space="preserve">Metodika, na kterou se vztahuje kompenzační projekt, definuje základní scénář, z něhož se vypočítávají snížení emisí generovaná projektem.</w:t>
      </w:r>
      <w:r>
        <w:t xml:space="preserve"> </w:t>
      </w:r>
      <w:r>
        <w:t xml:space="preserve">Základní scénář musí být stanoven na úrovni celého projektu a musí odrážet současný směr vývoje v oblasti emisí skleníkových plynů a uplatňování stávajících osvědčených postupů.</w:t>
      </w:r>
    </w:p>
    <w:p w14:paraId="3CA09DD7" w14:textId="77777777" w:rsidR="007B2607" w:rsidRPr="00416C68" w:rsidRDefault="007B2607" w:rsidP="007B2607">
      <w:pPr>
        <w:spacing w:after="160" w:line="259" w:lineRule="auto"/>
        <w:jc w:val="both"/>
      </w:pPr>
      <w:r>
        <w:t xml:space="preserve">Ověřitelný charakter: emise skleníkových plynů, kterým bylo zabráněno nebo které byly zachyceny, ověří auditor, který je nezávislý na garantovi projektu.</w:t>
      </w:r>
      <w:r>
        <w:t xml:space="preserve"> </w:t>
      </w:r>
      <w:r>
        <w:t xml:space="preserve">Na základě kontrol dokladů nebo kontrol na místě auditor ověřuje snížení emisí skleníkových plynů, kterého lze dosáhnout opatřeními prováděnými během doby životnosti projektu.</w:t>
      </w:r>
    </w:p>
    <w:p w14:paraId="78D41360" w14:textId="77777777" w:rsidR="007B2607" w:rsidRPr="00416C68" w:rsidRDefault="007B2607" w:rsidP="007B2607">
      <w:pPr>
        <w:spacing w:after="160" w:line="259" w:lineRule="auto"/>
        <w:jc w:val="both"/>
      </w:pPr>
      <w:r>
        <w:t xml:space="preserve">Trvalý charakter: emisím skleníkových plynů, kterým bylo zabráněno nebo které byly zachyceny prostřednictvím kompenzačních projektů, je zabráněno trvale.</w:t>
      </w:r>
      <w:r>
        <w:t xml:space="preserve"> </w:t>
      </w:r>
      <w:r>
        <w:t xml:space="preserve">Je-li to vhodné, zohlední se riziko netrvalosti pomocí metody kvantifikace.</w:t>
      </w:r>
    </w:p>
    <w:p w14:paraId="7AF834A5" w14:textId="77777777" w:rsidR="007B2607" w:rsidRDefault="007B2607" w:rsidP="007B2607">
      <w:pPr>
        <w:spacing w:after="160" w:line="259" w:lineRule="auto"/>
        <w:jc w:val="both"/>
      </w:pPr>
      <w:r>
        <w:t xml:space="preserve">Další příznačný rys: kompenzační projekty by nemohly být realizovány bez zvláštního financování s přihlédnutím ke stávajícím ekonomickým pobídkám, osvědčeným postupům a uplatňovaným povinnostem.</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Článek R. 229-104. – Kompenzační projekty respektují zásadu transparentnosti.</w:t>
      </w:r>
      <w:r>
        <w:t xml:space="preserve"> </w:t>
      </w:r>
      <w:r>
        <w:t xml:space="preserve">Metodika, na kterou se vztahuje kompenzační projekt, a popisné prvky projektu, zejména pokud jde o určení, umístění a účtování snížení emisí skleníkových plynů, jsou veřejně dostupné a snadno přístupné.“</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Článek 2</w:t>
      </w:r>
    </w:p>
    <w:p w14:paraId="20E5A1ED" w14:textId="77777777" w:rsidR="002C342A" w:rsidRDefault="002C342A" w:rsidP="002C342A">
      <w:pPr>
        <w:pStyle w:val="BodyText"/>
      </w:pPr>
      <w:r>
        <w:t xml:space="preserve">Kapitola IX hlavy II knihy II zákoníku životního prostředí se doplňuje o oddíl 9 takto:</w:t>
      </w:r>
    </w:p>
    <w:p w14:paraId="2481D22C" w14:textId="77777777" w:rsidR="002C342A" w:rsidRPr="00163F8A" w:rsidRDefault="002C342A" w:rsidP="002C342A">
      <w:pPr>
        <w:pStyle w:val="BodyText"/>
        <w:jc w:val="center"/>
        <w:rPr>
          <w:i/>
        </w:rPr>
      </w:pPr>
      <w:r>
        <w:rPr>
          <w:i/>
        </w:rPr>
        <w:t xml:space="preserve">„Oddíl 9</w:t>
      </w:r>
    </w:p>
    <w:p w14:paraId="2368A9FE" w14:textId="77777777" w:rsidR="002C342A" w:rsidRPr="00163F8A" w:rsidRDefault="002C342A" w:rsidP="002C342A">
      <w:pPr>
        <w:pStyle w:val="BodyText"/>
        <w:jc w:val="center"/>
        <w:rPr>
          <w:i/>
        </w:rPr>
      </w:pPr>
      <w:r>
        <w:rPr>
          <w:i/>
        </w:rPr>
        <w:t xml:space="preserve">„Environmentální tvrzení“</w:t>
      </w:r>
    </w:p>
    <w:p w14:paraId="014E3E1C" w14:textId="77777777" w:rsidR="002C342A" w:rsidRPr="007B2607" w:rsidRDefault="002C342A" w:rsidP="00FB6E53">
      <w:pPr>
        <w:pStyle w:val="BodyText"/>
        <w:spacing w:after="0"/>
        <w:rPr>
          <w:bCs/>
        </w:rPr>
      </w:pPr>
      <w:r>
        <w:t xml:space="preserve">Článek D. 229-105.– Zadavatel reklamy, který v reklamě tvrdí, že výrobek nebo služba je uhlíkově neutrální nebo používá jakékoli vyjádření rovnocenného významu nebo rozsahu, musí být v souladu s ustanoveními tohoto oddílu.</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Tento oddíl se vztahuje na reklamní korespondenci určenou jednotlivcům, reklamní tiskoviny šířené veřejnosti, reklamní plakáty, reklamy v tiskových publikacích, reklamy vysílané v kinech, reklamy vydávané televizními nebo vysílacími službami a prostřednictvím komunikačních služeb pro veřejnost on-line, jakož i na tvrzení umísťovaná na obalu zboží.</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Článek D. 229-106 – Zadavatel reklamy uvedený v článku D. 229-105 vypracuje rozvahu emisí skleníkových plynů pro dotčený výrobek nebo službu zahrnující celý jejich životní cyklus.</w:t>
      </w:r>
      <w:r>
        <w:t xml:space="preserve"> </w:t>
      </w:r>
      <w:r>
        <w:t xml:space="preserve">Tato rozvaha je každoročně aktualizována.</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Tato rozvaha musí být vypracována v souladu s požadavky normy NF EN ISO 14067 nebo jakékoli jiné normy, která odpovídá požadavkům této normy.</w:t>
      </w:r>
      <w:r>
        <w:t xml:space="preserve"> </w:t>
      </w:r>
      <w:r>
        <w:t xml:space="preserve">Nařízením ministra odpovědného za životní prostředí mohou být tyto požadavky doplněny s cílem uvést metodiku pro rozvahu emisí do souladu s metodikou environmentálního označování podle článku L. 541-9-11 tohoto zákoníku.</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„Článek D. 229-107.</w:t>
      </w:r>
      <w:r>
        <w:t xml:space="preserve"> </w:t>
      </w:r>
      <w:r>
        <w:t xml:space="preserve">Zadavatel reklamy uvedený v článku D. 229-105 zveřejní na svých internetových stránkách veřejné komunikace online, nebo pokud to není možné, ve své mobilní aplikaci, souhrnnou zprávu popisující uhlíkovou stopu inzerovaného produktu nebo služby a prostředky, jimiž se těmto emisím skleníkových plynů především zabraňuje, poté jimiž se snižují a nakonec kterými se kompenzují.</w:t>
      </w:r>
      <w:r>
        <w:t xml:space="preserve"> </w:t>
      </w:r>
      <w:r>
        <w:t xml:space="preserve">Tato zpráva obsahuje tři přílohy, které podrobně popisují její obsah a jsou předkládány v tomto pořadí:</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příloha uvádějící výsledky rozvahy uvedené v článku D. 229-106 a shrnutí metodiky použité pro sestavení této rozvahy.</w:t>
      </w:r>
      <w:r>
        <w:t xml:space="preserve"> </w:t>
      </w:r>
      <w:r>
        <w:t xml:space="preserve">V tomto shrnutí se uvedou zejména obsah působnosti použitý pro definici dotčeného výrobku nebo služby, použité funkční nebo deklarované jednotky, hranice dotčeného systému, způsob zpracování fáze konce životnosti, údaje o emisích zohledněné v případě spotřeby elektřiny nebo plynu ze sítí.</w:t>
      </w:r>
      <w:r>
        <w:t xml:space="preserve"> </w:t>
      </w:r>
      <w:r>
        <w:t xml:space="preserve">Uvede zemi (země) nebo zeměpisnou oblast (oblasti), ve kterých dochází k emisím a k emisím z mezinárodní dopravy, a to v rozsahu, v jakém jsou tyto údaje k dispozici;</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příloha, v níž se stanoví cílová trajektorie pro snižování emisí skleníkových plynů ve spojení s inzerovaným výrobkem nebo službou, s kvantifikovanými cíli ročního pokroku, pokrývající nejméně deset let od zveřejnění zprávy;</w:t>
      </w:r>
    </w:p>
    <w:p w14:paraId="238DECC6" w14:textId="77777777" w:rsidR="006E7C91" w:rsidRPr="007B2607" w:rsidRDefault="008C2EFB" w:rsidP="00FB6E53">
      <w:pPr>
        <w:pStyle w:val="BodyText"/>
        <w:spacing w:after="0"/>
        <w:rPr>
          <w:bCs/>
        </w:rPr>
      </w:pPr>
      <w:r>
        <w:t xml:space="preserve">(3) příloha, v níž jsou podrobně popsány postupy pro kompenzaci zbytkových emisí, uvádějící zejména povahu a popis kompenzačních projektů.</w:t>
      </w:r>
      <w:r>
        <w:t xml:space="preserve"> </w:t>
      </w:r>
      <w:r>
        <w:t xml:space="preserve">Tato příloha může rovněž dobrovolně uvádět informace o svých nákladech (celkem a na tunu CO</w:t>
      </w:r>
      <w:r>
        <w:rPr>
          <w:vertAlign w:val="subscript"/>
        </w:rPr>
        <w:t xml:space="preserve">2</w:t>
      </w:r>
      <w:r>
        <w:t xml:space="preserve">).</w:t>
      </w:r>
      <w:r>
        <w:t xml:space="preserve"> </w:t>
      </w:r>
      <w:r>
        <w:t xml:space="preserve">Tato příloha prokazuje, že objem emisí, jímž prostřednictvím této kompenzace bylo zabráněno nebo se snížily, odpovídá zbytkovým emisím všech prodaných výrobků nebo služeb, kterých se reklama týká.</w:t>
      </w:r>
      <w:r>
        <w:t xml:space="preserve">  </w:t>
      </w:r>
      <w:r>
        <w:t xml:space="preserve">Tato příloha rovněž upřesňuje prostředky realizované zadavatelem reklamy, aby se zajistilo, že nebude dvakrát započítávat kompenzaci, kterou tyto projekty umožňují.</w:t>
      </w:r>
      <w:r>
        <w:t xml:space="preserve"> </w:t>
      </w:r>
      <w:r>
        <w:t xml:space="preserve">Stanoví zejména metody pro odstranění snížení emisí z trhu při použití kompenzačních kreditů.</w:t>
      </w:r>
      <w:r>
        <w:t xml:space="preserve"> </w:t>
      </w:r>
      <w:r>
        <w:t xml:space="preserve">Tato příloha rovněž podrobně popisuje úsilí vynaložené k zajištění co nejlepší soudržnosti mezi zeměpisnými oblastmi, v nichž se projekty uskutečňují, a v nichž dochází k emisím.</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Toto zveřejnění se každoročně aktualizuje po celou dobu uvádění produktu nebo služby na trh.</w:t>
      </w:r>
      <w:r>
        <w:t xml:space="preserve"> </w:t>
      </w:r>
      <w:r>
        <w:t xml:space="preserve">Aktualizace zejména umožňuje sledovat vývoj emisí spojených s výrobkem nebo službou ve srovnání s výše uvedeným postupem snižování.</w:t>
      </w:r>
      <w:r>
        <w:t xml:space="preserve"> </w:t>
      </w:r>
      <w:r>
        <w:t xml:space="preserve">Zadavatel reklamy bude muset stáhnout tvrzení uvedené v článku D. 229-105, pokud se ukáže, že jednotkové emise spojené s výrobkem nebo službou před kompenzací se za dobu dvou po sobě následujících let zvýšily.</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Odkaz na web nebo kód rychlé reakce pro přístup k této publikaci je uveden v reklamě nebo na obalu s tvrzením o uhlíkové neutralitě.</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„Článek D. 229-108.</w:t>
      </w:r>
      <w:r>
        <w:t xml:space="preserve"> </w:t>
      </w:r>
      <w:r>
        <w:t xml:space="preserve">– Kompenzační projekty používané zadavatelem reklamy uvedeným v článku D. 229-105 musí splňovat podmínky článků R. 229-103 a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Kompenzační projekty nesmí být škodlivé pro zachování a obnovu přírodních ekosystémů a jejich funkcí.</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Emise spojené s výrobky nebo službami spotřebovávanými ve Francii musí být kompenzovány především na francouzském území.</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Má se za to, že snížení emisí uznaná podle výnosu č. 2018-1043 ze dne 28. listopadu 2018, kterým se zavádí štítek „nízkouhlíkový výrobek“, jsou v souladu s článkem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Článek R. 229-109.</w:t>
      </w:r>
      <w:r>
        <w:t xml:space="preserve"> </w:t>
      </w:r>
      <w:r>
        <w:t xml:space="preserve">V souladu s článkem L. 229-69 může ministr odpovědný za životní prostředí sankcionovat nesplnění povinnosti stanovené v článku L. 229-68 za podmínek stanovených v tomto článku.</w:t>
      </w:r>
    </w:p>
    <w:p w14:paraId="5158D784" w14:textId="77777777" w:rsidR="00851850" w:rsidRPr="00851850" w:rsidRDefault="00851850" w:rsidP="00851850">
      <w:pPr>
        <w:pStyle w:val="BodyText"/>
        <w:rPr>
          <w:bCs/>
        </w:rPr>
      </w:pPr>
      <w:r>
        <w:t xml:space="preserve">Nesplnění povinností stanovených v článku L. 229-68 stanovuje úředník pověřený k tomuto účelu ministrem odpovědným za životní prostředí.</w:t>
      </w:r>
    </w:p>
    <w:p w14:paraId="5850D6DE" w14:textId="77777777" w:rsidR="00851850" w:rsidRPr="00851850" w:rsidRDefault="00851850" w:rsidP="00851850">
      <w:pPr>
        <w:pStyle w:val="BodyText"/>
        <w:rPr>
          <w:bCs/>
        </w:rPr>
      </w:pPr>
      <w:r>
        <w:t xml:space="preserve">Ministr životního prostředí poté, co dal zadavateli reklamy možnost, aby předložil písemné vyjádření ke stížnostem, který byly podány vůči němu, může zadavatele reklamy úředně vyzvat, aby tuto povinnost splnil ve lhůtě stanovené ministrem.</w:t>
      </w:r>
      <w:r>
        <w:t xml:space="preserve"> </w:t>
      </w:r>
      <w:r>
        <w:t xml:space="preserve">Ministr může tuto úřední výzvu zveřejnit.</w:t>
      </w:r>
      <w:r>
        <w:t xml:space="preserve">  </w:t>
      </w:r>
    </w:p>
    <w:p w14:paraId="304FDC6A" w14:textId="77777777" w:rsidR="00851850" w:rsidRPr="007B2607" w:rsidRDefault="00851850" w:rsidP="00851850">
      <w:pPr>
        <w:pStyle w:val="BodyText"/>
        <w:spacing w:after="0"/>
        <w:rPr>
          <w:bCs/>
        </w:rPr>
      </w:pPr>
      <w:r>
        <w:t xml:space="preserve">Pokud zadavatel reklamy ve stanovené lhůtě tuto výzvu nesplní, může mu ministr odpovědný za životní prostředí nařídit zaplacení pokuty stanovené v článku L. 229-69 zákoníku životního prostředí.“</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Článek 3</w:t>
      </w:r>
    </w:p>
    <w:p w14:paraId="3FB8E1D7" w14:textId="77777777" w:rsidR="00851850" w:rsidRDefault="00851850" w:rsidP="00851850">
      <w:pPr>
        <w:pStyle w:val="SNArticle"/>
        <w:jc w:val="left"/>
        <w:rPr>
          <w:b w:val="0"/>
        </w:rPr>
      </w:pPr>
      <w:r>
        <w:rPr>
          <w:b w:val="0"/>
        </w:rPr>
        <w:t xml:space="preserve">V příloze 1 výše uvedeného výnosu ze dne 19. prosince 1997 se oddíl „Energetika a klima“ doplňuje takto:</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Úřední upozornění a sankce související s tvrzením v reklamě, že výrobek nebo služba jsou uhlíkově neutrální</w:t>
            </w:r>
          </w:p>
        </w:tc>
        <w:tc>
          <w:tcPr>
            <w:tcW w:w="2051" w:type="dxa"/>
          </w:tcPr>
          <w:p w14:paraId="33125CBC" w14:textId="77777777" w:rsidR="00851850" w:rsidRPr="00851850" w:rsidRDefault="00851850" w:rsidP="003C32DD">
            <w:pPr>
              <w:pStyle w:val="SNArticle"/>
              <w:jc w:val="left"/>
              <w:rPr>
                <w:b w:val="0"/>
              </w:rPr>
            </w:pPr>
            <w:r>
              <w:rPr>
                <w:b w:val="0"/>
              </w:rPr>
              <w:t xml:space="preserve">Zákoník životního prostředí</w:t>
            </w:r>
          </w:p>
          <w:p w14:paraId="627C57FC" w14:textId="77777777" w:rsidR="00851850" w:rsidRPr="001D0716" w:rsidRDefault="00851850" w:rsidP="003C32DD">
            <w:pPr>
              <w:pStyle w:val="BodyText"/>
            </w:pPr>
            <w:r>
              <w:t xml:space="preserve">Článek R. 229-109</w:t>
            </w:r>
          </w:p>
        </w:tc>
        <w:tc>
          <w:tcPr>
            <w:tcW w:w="2336" w:type="dxa"/>
          </w:tcPr>
          <w:p w14:paraId="57484785" w14:textId="77777777" w:rsidR="00851850" w:rsidRPr="001D0716" w:rsidRDefault="00851850" w:rsidP="003C32DD">
            <w:pPr>
              <w:pStyle w:val="SNArticle"/>
              <w:jc w:val="left"/>
              <w:rPr>
                <w:b w:val="0"/>
              </w:rPr>
            </w:pPr>
            <w:r>
              <w:rPr>
                <w:b w:val="0"/>
              </w:rPr>
              <w:t xml:space="preserve">Ministr životního prostředí</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Článek 4</w:t>
      </w:r>
    </w:p>
    <w:p w14:paraId="4B9BA7C2" w14:textId="77777777" w:rsidR="0061349E" w:rsidRDefault="00851850" w:rsidP="00BE3757">
      <w:pPr>
        <w:pStyle w:val="BodyText"/>
      </w:pPr>
      <w:r>
        <w:t xml:space="preserve">Tento výnos vstupuje v platnost dne po jeho zveřejnění, s výjimkou článků 2 a 3, které vstoupí v platnost dne 1. ledna 2023.</w:t>
      </w:r>
    </w:p>
    <w:p w14:paraId="2D7F991E" w14:textId="77777777" w:rsidR="0061349E" w:rsidRDefault="0061349E" w:rsidP="00BE3757">
      <w:pPr>
        <w:pStyle w:val="BodyText"/>
      </w:pPr>
    </w:p>
    <w:p w14:paraId="1321CCFF" w14:textId="77777777" w:rsidR="00064968" w:rsidRDefault="0061349E" w:rsidP="00BE3757">
      <w:pPr>
        <w:pStyle w:val="BodyText"/>
      </w:pPr>
      <w:r>
        <w:t xml:space="preserve">Do 31. prosince 2025 se financování projektů na francouzském území rovná přídělu na snížení emisí zadavateli reklamy v souladu s ustanoveními čl. D. 229-107 bodu 3, pokud zadavatel reklamy může smluvně odůvodnit případné uznání výhody ověřeného snížení emisí tohoto projektu.</w:t>
      </w:r>
      <w:r>
        <w:t xml:space="preserve"> </w:t>
      </w:r>
      <w:r>
        <w:t xml:space="preserve">Zadavatel reklamy zajistí dodržování svých povinností týkajících se kompenzace emisí, případně získáním dodatečných uhlíkových kreditů odpovídajících rozdílu mezi ověřeným snížením emisí u projektu a financovanými emisemi.</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Článek 5</w:t>
      </w:r>
    </w:p>
    <w:p w14:paraId="65149FAE" w14:textId="77777777" w:rsidR="00FB6E53" w:rsidRDefault="00FB6E53" w:rsidP="00FB6E53">
      <w:pPr>
        <w:pStyle w:val="BodyText"/>
      </w:pPr>
      <w:r>
        <w:t xml:space="preserve">Za provedení tohoto výnosu, který bude zveřejněn v </w:t>
      </w:r>
      <w:r>
        <w:rPr>
          <w:i/>
        </w:rPr>
        <w:t xml:space="preserve">Úředním věstníku</w:t>
      </w:r>
      <w:r>
        <w:t xml:space="preserve"> Francouzské republiky, odpovídá francouzská ministryně pro ekologickou transformaci.</w:t>
      </w:r>
    </w:p>
    <w:p w14:paraId="633ECCBF" w14:textId="77777777" w:rsidR="00FB6E53" w:rsidRDefault="00FB6E53" w:rsidP="00FB6E53">
      <w:pPr>
        <w:pStyle w:val="SNDate"/>
      </w:pPr>
      <w:r>
        <w:t xml:space="preserve">Dne [datum].</w:t>
      </w:r>
    </w:p>
    <w:p w14:paraId="7B41A2DC" w14:textId="77777777" w:rsidR="00FB6E53" w:rsidRDefault="00FB6E53" w:rsidP="00FB6E53">
      <w:pPr>
        <w:ind w:left="567"/>
      </w:pPr>
      <w:r>
        <w:t xml:space="preserve">Za předsedu vlády:</w:t>
      </w:r>
    </w:p>
    <w:p w14:paraId="2011CC35" w14:textId="77777777" w:rsidR="00FB6E53" w:rsidRDefault="00FB6E53" w:rsidP="00FB6E53">
      <w:pPr>
        <w:pStyle w:val="SNSignatureGauche"/>
        <w:ind w:left="567" w:right="5669"/>
      </w:pPr>
      <w:r>
        <w:t xml:space="preserve">Ministryně pro ekologickou transformaci,</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