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663AECCA" w:rsidR="00691C7A" w:rsidRPr="00E61926" w:rsidRDefault="00691C7A" w:rsidP="00691C7A">
      <w:pPr>
        <w:pStyle w:val="02BDGesBlatt"/>
        <w:rPr>
          <w:sz w:val="56"/>
          <w:szCs w:val="56"/>
        </w:rPr>
      </w:pPr>
      <w:r>
        <w:rPr>
          <w:sz w:val="56"/>
        </w:rPr>
        <w:t>FEDERALNY DZIENNIK USTAW</w:t>
      </w:r>
    </w:p>
    <w:p w14:paraId="0D804031" w14:textId="77777777" w:rsidR="00691C7A" w:rsidRPr="00E61BFF" w:rsidRDefault="00691C7A" w:rsidP="00691C7A">
      <w:pPr>
        <w:pStyle w:val="03RepOesterr"/>
      </w:pPr>
      <w:r>
        <w:t>REPUBLIKI AUSTRII</w:t>
      </w:r>
    </w:p>
    <w:p w14:paraId="0C2B5A57" w14:textId="77777777" w:rsidR="00691C7A" w:rsidRPr="00E61BFF" w:rsidRDefault="00691C7A" w:rsidP="00691C7A">
      <w:pPr>
        <w:pStyle w:val="04AusgabeDaten"/>
      </w:pPr>
      <w:r>
        <w:t>Rok 2020</w:t>
      </w:r>
      <w:r>
        <w:tab/>
        <w:t>Wydanie z dnia 23 grudnia 2020 r.</w:t>
      </w:r>
      <w:r>
        <w:tab/>
        <w:t>Część I</w:t>
      </w:r>
    </w:p>
    <w:p w14:paraId="76357A78" w14:textId="77777777" w:rsidR="00691C7A" w:rsidRPr="00E61BFF" w:rsidRDefault="00691C7A" w:rsidP="00691C7A">
      <w:pPr>
        <w:pStyle w:val="05Kurztitel"/>
      </w:pPr>
      <w:r>
        <w:t>148. Prawo federalne:</w:t>
      </w:r>
      <w:r>
        <w:tab/>
        <w:t>Ustawa o zapobieganiu nienawiści w sieci - HiNBG</w:t>
      </w:r>
    </w:p>
    <w:p w14:paraId="7CA836A4" w14:textId="77777777" w:rsidR="00691C7A" w:rsidRDefault="00691C7A" w:rsidP="00691C7A">
      <w:pPr>
        <w:pStyle w:val="05Kurztitel"/>
      </w:pPr>
      <w:r>
        <w:tab/>
        <w:t>(NR: GP XXVII RV 481 Z 516 STR. 69. BR: 10456 AB 10523, str. 917.)</w:t>
      </w:r>
    </w:p>
    <w:p w14:paraId="5C4524E4" w14:textId="77777777" w:rsidR="004C001D" w:rsidRPr="00E61BFF" w:rsidRDefault="004C001D" w:rsidP="00691C7A">
      <w:pPr>
        <w:pStyle w:val="05Kurztitel"/>
      </w:pPr>
      <w:r>
        <w:tab/>
        <w:t>[Nr CELEX: 32011L0093, 32012L0029, 32017L0541]</w:t>
      </w:r>
    </w:p>
    <w:p w14:paraId="63A52DA5" w14:textId="77777777" w:rsidR="004C59F5" w:rsidRPr="00E61BFF" w:rsidRDefault="00691C7A" w:rsidP="000B6E75">
      <w:pPr>
        <w:pStyle w:val="11Titel"/>
      </w:pPr>
      <w:r>
        <w:t>148. Ustawa federalna wprowadzająca cywilnoprawne i cywilnoprocesowe środki zwalczania nienawiści w sieci (ustawa o zwalczaniu nienawiści w sieci [Hass-</w:t>
      </w:r>
      <w:r>
        <w:noBreakHyphen/>
        <w:t>im</w:t>
      </w:r>
      <w:r>
        <w:noBreakHyphen/>
        <w:t>-Netz-Bekämpfungs-Gesetz – HiNBG])</w:t>
      </w:r>
    </w:p>
    <w:p w14:paraId="52D50595" w14:textId="77777777" w:rsidR="004C59F5" w:rsidRPr="00E61BFF" w:rsidRDefault="004C59F5" w:rsidP="000B6E75">
      <w:pPr>
        <w:pStyle w:val="12PromKlEinlSatz"/>
      </w:pPr>
      <w:r>
        <w:t>Rada Narodowa podjęła następujące decyzje:</w:t>
      </w:r>
    </w:p>
    <w:p w14:paraId="5143FB85" w14:textId="77777777" w:rsidR="004C59F5" w:rsidRPr="00E61BFF" w:rsidRDefault="004C59F5" w:rsidP="000B6E75">
      <w:pPr>
        <w:pStyle w:val="31InhaltSpalte"/>
      </w:pPr>
      <w:r>
        <w:t>Spis treści</w:t>
      </w:r>
    </w:p>
    <w:p w14:paraId="381507B7" w14:textId="1B51077C" w:rsidR="004C59F5" w:rsidRPr="00E61BFF" w:rsidRDefault="004C59F5" w:rsidP="000B6E75">
      <w:pPr>
        <w:pStyle w:val="32InhaltEintragEinzug"/>
      </w:pPr>
      <w:r>
        <w:tab/>
        <w:t>Artykuł1</w:t>
      </w:r>
      <w:r w:rsidR="00E01708">
        <w:t xml:space="preserve"> </w:t>
      </w:r>
      <w:r>
        <w:t>Zmiana powszechnego kodeksu cywilnego</w:t>
      </w:r>
    </w:p>
    <w:p w14:paraId="19D5CEA0" w14:textId="77777777" w:rsidR="004C59F5" w:rsidRPr="00E61BFF" w:rsidRDefault="004C59F5" w:rsidP="000B6E75">
      <w:pPr>
        <w:pStyle w:val="32InhaltEintragEinzug"/>
      </w:pPr>
      <w:r>
        <w:tab/>
        <w:t>Artykuł 2 Zmiana austriackiego kodeksu cywilnego</w:t>
      </w:r>
    </w:p>
    <w:p w14:paraId="3A648D1E" w14:textId="77777777" w:rsidR="004C59F5" w:rsidRPr="00E61BFF" w:rsidRDefault="004C59F5" w:rsidP="000B6E75">
      <w:pPr>
        <w:pStyle w:val="32InhaltEintragEinzug"/>
      </w:pPr>
      <w:r>
        <w:tab/>
        <w:t>Artykuł 3 Zmiana austriackiego kodeksu cywilnego</w:t>
      </w:r>
    </w:p>
    <w:p w14:paraId="3E868C31" w14:textId="77777777" w:rsidR="004C59F5" w:rsidRPr="00E61BFF" w:rsidRDefault="004C59F5" w:rsidP="000B6E75">
      <w:pPr>
        <w:pStyle w:val="32InhaltEintragEinzug"/>
      </w:pPr>
      <w:r>
        <w:tab/>
        <w:t>Artykuł 4 Zmiana austriackiego kodeksu cywilnego</w:t>
      </w:r>
    </w:p>
    <w:p w14:paraId="4ABD1AE7" w14:textId="77777777" w:rsidR="004C59F5" w:rsidRPr="00E61BFF" w:rsidRDefault="004C59F5" w:rsidP="000B6E75">
      <w:pPr>
        <w:pStyle w:val="32InhaltEintragEinzug"/>
      </w:pPr>
      <w:r>
        <w:tab/>
        <w:t>Artykuł 5 Zmiana austriackiego kodeksu cywilnego</w:t>
      </w:r>
    </w:p>
    <w:p w14:paraId="53BDE75C" w14:textId="77777777" w:rsidR="004C59F5" w:rsidRPr="00E61BFF" w:rsidRDefault="004C59F5" w:rsidP="000B6E75">
      <w:pPr>
        <w:pStyle w:val="32InhaltEintragEinzug"/>
      </w:pPr>
      <w:r>
        <w:tab/>
        <w:t>Artykuł 6 Zmiana austriackiego kodeksu cywilnego</w:t>
      </w:r>
    </w:p>
    <w:p w14:paraId="37618D4A" w14:textId="77777777" w:rsidR="004C59F5" w:rsidRPr="00E61BFF" w:rsidRDefault="004C59F5" w:rsidP="000B6E75">
      <w:pPr>
        <w:pStyle w:val="32InhaltEintragEinzug"/>
      </w:pPr>
      <w:r>
        <w:tab/>
        <w:t>Artykuł 7 Zmiana austriackiego kodeksu cywilnego</w:t>
      </w:r>
    </w:p>
    <w:p w14:paraId="347613B2" w14:textId="77777777" w:rsidR="004C59F5" w:rsidRPr="00E61BFF" w:rsidRDefault="004C59F5" w:rsidP="000B6E75">
      <w:pPr>
        <w:pStyle w:val="32InhaltEintragEinzug"/>
      </w:pPr>
      <w:r>
        <w:tab/>
        <w:t>Artykuł 8 Zmiana kodeksu karnego</w:t>
      </w:r>
    </w:p>
    <w:p w14:paraId="30DE55E7" w14:textId="77777777" w:rsidR="004C59F5" w:rsidRPr="00E61BFF" w:rsidRDefault="004C59F5" w:rsidP="000B6E75">
      <w:pPr>
        <w:pStyle w:val="32InhaltEintragEinzug"/>
      </w:pPr>
      <w:r>
        <w:tab/>
        <w:t>Artykuł 9 Zmiana ustawy o mediach</w:t>
      </w:r>
    </w:p>
    <w:p w14:paraId="5C924845" w14:textId="77777777" w:rsidR="004C59F5" w:rsidRPr="00E61BFF" w:rsidRDefault="004C59F5" w:rsidP="000B6E75">
      <w:pPr>
        <w:pStyle w:val="32InhaltEintragEinzug"/>
      </w:pPr>
      <w:r>
        <w:tab/>
        <w:t>Artykuł 10 Zmiana kodeksu postępowania karnego z 1975 r.</w:t>
      </w:r>
    </w:p>
    <w:p w14:paraId="72EB7899" w14:textId="4938B69A" w:rsidR="004C59F5" w:rsidRPr="00E61BFF" w:rsidRDefault="004C59F5" w:rsidP="000B6E75">
      <w:pPr>
        <w:pStyle w:val="32InhaltEintragEinzug"/>
      </w:pPr>
      <w:r>
        <w:t>Artykuł</w:t>
      </w:r>
      <w:r w:rsidR="00E01708">
        <w:t xml:space="preserve"> </w:t>
      </w:r>
      <w:r>
        <w:t>11</w:t>
      </w:r>
      <w:r>
        <w:tab/>
      </w:r>
      <w:r w:rsidR="00E01708">
        <w:t xml:space="preserve"> </w:t>
      </w:r>
      <w:r>
        <w:t>Wejście w życie</w:t>
      </w:r>
    </w:p>
    <w:p w14:paraId="4E7E773F" w14:textId="77777777" w:rsidR="004C59F5" w:rsidRPr="00E61BFF" w:rsidRDefault="004C59F5" w:rsidP="000B6E75">
      <w:pPr>
        <w:pStyle w:val="32InhaltEintragEinzug"/>
      </w:pPr>
      <w:r>
        <w:tab/>
        <w:t>Artykuł 12. Powiadomienie</w:t>
      </w:r>
    </w:p>
    <w:p w14:paraId="64B19ADB" w14:textId="77777777" w:rsidR="004C59F5" w:rsidRPr="00E61BFF" w:rsidRDefault="004C59F5" w:rsidP="000B6E75">
      <w:pPr>
        <w:pStyle w:val="41UeberschrG1"/>
      </w:pPr>
      <w:r>
        <w:t>Artykuł 1</w:t>
      </w:r>
    </w:p>
    <w:p w14:paraId="0C8E9DC7" w14:textId="77777777" w:rsidR="004C59F5" w:rsidRPr="00E61BFF" w:rsidRDefault="004C59F5" w:rsidP="000B6E75">
      <w:pPr>
        <w:pStyle w:val="43UeberschrG2"/>
      </w:pPr>
      <w:r>
        <w:t>Zmiana austriackiego kodeksu cywilnego</w:t>
      </w:r>
    </w:p>
    <w:p w14:paraId="56478314" w14:textId="77777777" w:rsidR="004C59F5" w:rsidRPr="00E61BFF" w:rsidRDefault="004C59F5" w:rsidP="000B6E75">
      <w:pPr>
        <w:pStyle w:val="12PromKlEinlSatz"/>
      </w:pPr>
      <w:r>
        <w:t>W powszechnym kodeksie cywilnym, zbiór ustaw sądowych nr 946/1811, ostatnio zmienionym ustawą opublikowaną w Federalnym Dz.U. I nr 16/2020, wprowadza się następujące zmiany:</w:t>
      </w:r>
    </w:p>
    <w:p w14:paraId="107C816B" w14:textId="77777777" w:rsidR="004C59F5" w:rsidRPr="00E61BFF" w:rsidRDefault="004C59F5" w:rsidP="000B6E75">
      <w:pPr>
        <w:pStyle w:val="21NovAo1"/>
      </w:pPr>
      <w:r>
        <w:t>1. Po § 17 dodaje się § 17a wraz z nagłówkiem w brzmieniu:</w:t>
      </w:r>
    </w:p>
    <w:p w14:paraId="137D8F9C" w14:textId="77777777" w:rsidR="004C59F5" w:rsidRPr="00E61BFF" w:rsidRDefault="004C59F5" w:rsidP="000B6E75">
      <w:pPr>
        <w:pStyle w:val="45UeberschrPara"/>
      </w:pPr>
      <w:r>
        <w:t>„Korzystanie z dóbr osobistych</w:t>
      </w:r>
    </w:p>
    <w:p w14:paraId="52FB0DD1" w14:textId="77777777" w:rsidR="004C59F5" w:rsidRPr="00E61BFF" w:rsidRDefault="004C59F5" w:rsidP="000B6E75">
      <w:pPr>
        <w:pStyle w:val="51Abs"/>
      </w:pPr>
      <w:r>
        <w:rPr>
          <w:rStyle w:val="991GldSymbol"/>
        </w:rPr>
        <w:t>§ 17a.</w:t>
      </w:r>
      <w:r>
        <w:t xml:space="preserve"> (1) Dobra osobiste nie mogą być z zasady przenoszone.</w:t>
      </w:r>
    </w:p>
    <w:p w14:paraId="044DE2F8" w14:textId="77777777" w:rsidR="004C59F5" w:rsidRPr="00E61BFF" w:rsidRDefault="004C59F5" w:rsidP="000B6E75">
      <w:pPr>
        <w:pStyle w:val="51Abs"/>
      </w:pPr>
      <w:r>
        <w:t>(2) Ingerencja w dobro osobiste może być dozwolona tylko wtedy, gdy sama w sobie nie stanowi naruszenia dobrych obyczajów. Zgoda na ingerencję w podstawową dziedzinę dobra osobistego może zostać udzielona wyłącznie przez samego posiadacza dobra osobistego, chyba że ustawa stanowi inaczej.</w:t>
      </w:r>
    </w:p>
    <w:p w14:paraId="3B0907FB" w14:textId="77777777" w:rsidR="004C59F5" w:rsidRPr="00E61BFF" w:rsidRDefault="004C59F5" w:rsidP="000B6E75">
      <w:pPr>
        <w:pStyle w:val="51Abs"/>
      </w:pPr>
      <w:r>
        <w:t>(3) Dobra osobiste danej osoby trwają po śmierci w postaci kultu pamięci. Przypadki obrazy pamięci mogą być zgłaszane przez krewnych i żyjącego małżonka, zarejestrowanego partnera lub partnera życiowego ze zmarłym w pierwszym stopniu, innych wstępnych lub zstępnych tylko przez 10 lat po zakończeniu roku śmierci. W każdym przypadku dozwolone są interwencje w interesie publicznym do celów archiwalnych, naukowych i artystycznych.”.</w:t>
      </w:r>
    </w:p>
    <w:p w14:paraId="6483F163" w14:textId="77777777" w:rsidR="004C59F5" w:rsidRPr="00E61BFF" w:rsidRDefault="004C59F5" w:rsidP="000B6E75">
      <w:pPr>
        <w:pStyle w:val="21NovAo1"/>
      </w:pPr>
      <w:r>
        <w:lastRenderedPageBreak/>
        <w:t>2. § 20 łącznie z nagłówkiem otrzymuje brzmienie:</w:t>
      </w:r>
    </w:p>
    <w:p w14:paraId="34D04E90" w14:textId="77777777" w:rsidR="004C59F5" w:rsidRPr="00E61BFF" w:rsidRDefault="004C59F5" w:rsidP="000B6E75">
      <w:pPr>
        <w:pStyle w:val="45UeberschrPara"/>
      </w:pPr>
      <w:r>
        <w:t>„Roszczenie o zaniechanie i o usunięcie</w:t>
      </w:r>
    </w:p>
    <w:p w14:paraId="3662BDDC" w14:textId="77777777" w:rsidR="004C59F5" w:rsidRPr="00E61BFF" w:rsidRDefault="004C59F5" w:rsidP="000B6E75">
      <w:pPr>
        <w:pStyle w:val="51Abs"/>
      </w:pPr>
      <w:r>
        <w:rPr>
          <w:rStyle w:val="991GldSymbol"/>
        </w:rPr>
        <w:t>§ 20.</w:t>
      </w:r>
      <w:r>
        <w:t xml:space="preserve"> (1) Ten, kogo dobro osobiste zostało naruszone lub kto musi bezpośrednio obawiać się takiego naruszenia, może wytoczyć powództwo o zaniechanie i o usunięcie stanu niezgodnego z prawem. Prawo roszczenia o zaniechanie obejmuje również prawo do zaradzenia każdej sytuacji sprzecznej z obowiązkiem zaprzestania szkodliwych praktyk. Pod warunkami określonymi w § 17a ust. 3 powództwo mogą wytoczyć również osoby tam wspomniane.</w:t>
      </w:r>
    </w:p>
    <w:p w14:paraId="051A68B5" w14:textId="77777777" w:rsidR="004C59F5" w:rsidRPr="00E61BFF" w:rsidRDefault="004C59F5" w:rsidP="000B6E75">
      <w:pPr>
        <w:pStyle w:val="51Abs"/>
      </w:pPr>
      <w:r>
        <w:t>(2) Jeżeli w medium w związku z pracą pracownika jego reputacja lub prywatność jest naruszana i takie postępowanie jest w stanie wyraźnie ograniczyć możliwości pracodawcy w zakresie zatrudnienia pracownika lub znacznie zaszkodzić reputacji pracodawcy, przysługuje mu niezależnie od roszczenia pracownika osobne roszczenie o zaniechanie i o usunięcie. To samo dotyczy wolontariuszy i organów organizacji. Dochodzenie roszczenia przez pracodawcę nie jest powiązane ze zgodą pracownika. Nie istnieje obowiązek sądowego dochodzenia roszczenia przez pracodawcę w odniesieniu do naruszenia dobra osobistego dotyczącego pracownika w szczególności na podstawie obowiązku opieki określonego prawem pracy.</w:t>
      </w:r>
    </w:p>
    <w:p w14:paraId="612F9BAD" w14:textId="77777777" w:rsidR="004C59F5" w:rsidRPr="00E61BFF" w:rsidRDefault="004C59F5" w:rsidP="000B6E75">
      <w:pPr>
        <w:pStyle w:val="51Abs"/>
      </w:pPr>
      <w:r>
        <w:t>(3) Jeżeli osoba, która dokonała naruszenia dobra osobistego lub ze strony której grozi takie naruszenie, skorzystała w tym celu z usług pośrednika, również ten może zostać pozwany o zaniechanie i usunięcie. Jeżeli pośrednik spełnia wymogi wyłączenia z odpowiedzialności zgodnie z ustawą o e</w:t>
      </w:r>
      <w:r>
        <w:noBreakHyphen/>
        <w:t>handlu, powództwo można wytoczyć przeciwko niemu dopiero po otrzymaniu ostrzeżenia.”. Usługodawcy, o których mowa w § 13 ustawy o e</w:t>
      </w:r>
      <w:r>
        <w:noBreakHyphen/>
        <w:t>handlu , nie są uznawani za pośredników w rozumieniu niniejszego przepisu.”.</w:t>
      </w:r>
    </w:p>
    <w:p w14:paraId="7A743754" w14:textId="77777777" w:rsidR="004C59F5" w:rsidRPr="00E61BFF" w:rsidRDefault="004C59F5" w:rsidP="00431A52">
      <w:pPr>
        <w:pStyle w:val="22NovAo2"/>
      </w:pPr>
      <w:r>
        <w:t xml:space="preserve">3. W § 1328a ust. (2) dodaje się wyrazy </w:t>
      </w:r>
      <w:r>
        <w:rPr>
          <w:i w:val="0"/>
        </w:rPr>
        <w:t>„jest zorientowany”</w:t>
      </w:r>
      <w:r>
        <w:t xml:space="preserve">; dodaje się w zdaniu drugim po sformułowaniu </w:t>
      </w:r>
      <w:r>
        <w:rPr>
          <w:i w:val="0"/>
        </w:rPr>
        <w:t>„w przypadku interwencji osoby odpowiedzialnej za prawo medialne”</w:t>
      </w:r>
      <w:r>
        <w:t>.</w:t>
      </w:r>
    </w:p>
    <w:p w14:paraId="577B788A" w14:textId="77777777" w:rsidR="004C59F5" w:rsidRPr="00E61BFF" w:rsidRDefault="004C59F5" w:rsidP="000B6E75">
      <w:pPr>
        <w:pStyle w:val="21NovAo1"/>
      </w:pPr>
      <w:r>
        <w:t>4. Do § 1503 dodaje się następujący ust. 16:</w:t>
      </w:r>
    </w:p>
    <w:p w14:paraId="36CC3D0B" w14:textId="77777777" w:rsidR="004C59F5" w:rsidRPr="00E61BFF" w:rsidRDefault="004C59F5" w:rsidP="000B6E75">
      <w:pPr>
        <w:pStyle w:val="51Abs"/>
      </w:pPr>
      <w:r>
        <w:t>„(16) § 17a, § 20, i § 1328a ust. 2 w brzmieniu ustawy opublikowanej w Federalnym Dz.U. I nr 148/2020, wchodzą w życie z dniem 1 stycznia 2021 r. § 20 ust. 2 i § 1328a ust. 2 znajdują zastosowanie do przypadków, w których działanie naruszające zostało ustalone jako mające miejsce po 31 grudnia 2020 r.”.</w:t>
      </w:r>
    </w:p>
    <w:p w14:paraId="6A33F9F4" w14:textId="72CAD57A" w:rsidR="004C59F5" w:rsidRPr="00E61BFF" w:rsidRDefault="004C59F5" w:rsidP="006E3D85">
      <w:pPr>
        <w:pStyle w:val="41UeberschrG1"/>
      </w:pPr>
      <w:r>
        <w:t>Artykuł 2</w:t>
      </w:r>
      <w:r>
        <w:br/>
        <w:t>Zmiana normy jurysdykcyjnej</w:t>
      </w:r>
    </w:p>
    <w:p w14:paraId="6708F222" w14:textId="77777777" w:rsidR="004C59F5" w:rsidRPr="00E61BFF" w:rsidRDefault="004C59F5" w:rsidP="000B6E75">
      <w:pPr>
        <w:pStyle w:val="12PromKlEinlSatz"/>
      </w:pPr>
      <w:r>
        <w:t xml:space="preserve">W normie jurysdykcyjnej, Dz.U. Rzeszy nr 111/1895, ostatnio zmienionej ustawą opublikowaną w Federalnym Dz.U. I nr 61/2019, wprowadza się następujące zmiany: </w:t>
      </w:r>
    </w:p>
    <w:p w14:paraId="5D3E0327" w14:textId="77777777" w:rsidR="004C59F5" w:rsidRPr="00E61BFF" w:rsidRDefault="004C59F5" w:rsidP="000B6E75">
      <w:pPr>
        <w:pStyle w:val="21NovAo1"/>
      </w:pPr>
      <w:r>
        <w:t>1. W § 49 ust. (2) po pkt 5 i 6 wprowadza się następujące zmiany:</w:t>
      </w:r>
    </w:p>
    <w:p w14:paraId="2F0BD239" w14:textId="77777777" w:rsidR="004C59F5" w:rsidRPr="00E61BFF" w:rsidRDefault="00431A52" w:rsidP="00431A52">
      <w:pPr>
        <w:pStyle w:val="52Aufzaehle1Ziffer"/>
      </w:pPr>
      <w:r>
        <w:tab/>
        <w:t>„6. spory według § 549 kodeksu postępowania cywilnego;”</w:t>
      </w:r>
      <w:r>
        <w:tab/>
      </w:r>
    </w:p>
    <w:p w14:paraId="738CB37D" w14:textId="77777777" w:rsidR="004C59F5" w:rsidRPr="00E61BFF" w:rsidRDefault="004C59F5" w:rsidP="000B6E75">
      <w:pPr>
        <w:pStyle w:val="21NovAo1"/>
      </w:pPr>
      <w:r>
        <w:t>2. Po § 59 dodaje się § 59a w brzmieniu:</w:t>
      </w:r>
    </w:p>
    <w:p w14:paraId="77CEB9FE" w14:textId="77777777" w:rsidR="004C59F5" w:rsidRPr="00E61BFF" w:rsidRDefault="004C59F5" w:rsidP="000B6E75">
      <w:pPr>
        <w:pStyle w:val="51Abs"/>
      </w:pPr>
      <w:r>
        <w:t>"</w:t>
      </w:r>
      <w:r>
        <w:rPr>
          <w:rStyle w:val="991GldSymbol"/>
        </w:rPr>
        <w:t>§ 59a.</w:t>
      </w:r>
      <w:r>
        <w:t xml:space="preserve"> W przypadku powództw o zaniechanie zgodnie z § 549 kodeksu postępowania cywilnego za wartość przedmiotu sporu uważa się kwotę 5000 euro.”</w:t>
      </w:r>
    </w:p>
    <w:p w14:paraId="50C24194" w14:textId="77777777" w:rsidR="004C59F5" w:rsidRPr="00E61BFF" w:rsidRDefault="004C59F5" w:rsidP="000B6E75">
      <w:pPr>
        <w:pStyle w:val="21NovAo1"/>
      </w:pPr>
      <w:r>
        <w:t>3. Po § 122 dodaje się część czwartą w brzmieniu:</w:t>
      </w:r>
    </w:p>
    <w:p w14:paraId="475AB1CB" w14:textId="77777777" w:rsidR="004C59F5" w:rsidRPr="00E61BFF" w:rsidRDefault="004C59F5" w:rsidP="000B6E75">
      <w:pPr>
        <w:pStyle w:val="41UeberschrG1"/>
      </w:pPr>
      <w:r>
        <w:t>„Część czwarta</w:t>
      </w:r>
    </w:p>
    <w:p w14:paraId="7D638937" w14:textId="77777777" w:rsidR="004C59F5" w:rsidRPr="00E61BFF" w:rsidRDefault="004C59F5" w:rsidP="000B6E75">
      <w:pPr>
        <w:pStyle w:val="43UeberschrG2"/>
      </w:pPr>
      <w:r>
        <w:t>Wejście w życie, przepisy końcowe i przejściowe</w:t>
      </w:r>
    </w:p>
    <w:p w14:paraId="6E940654" w14:textId="77777777" w:rsidR="004C59F5" w:rsidRPr="00E61BFF" w:rsidRDefault="004C59F5" w:rsidP="000B6E75">
      <w:pPr>
        <w:pStyle w:val="51Abs"/>
      </w:pPr>
      <w:r>
        <w:rPr>
          <w:rStyle w:val="991GldSymbol"/>
        </w:rPr>
        <w:t>§ 123.</w:t>
      </w:r>
      <w:r>
        <w:t xml:space="preserve"> §§ 49 i 59a w brzmieniu ustawy opublikowanej w Federalnym Dz.U. I nr 148/2020 wchodzą w życie z dniem 1 stycznia 2021 r. i znajdują w tym brzmieniu zastosowanie do pozwów wnoszonych po 31 grudnia 2020 r.".</w:t>
      </w:r>
    </w:p>
    <w:p w14:paraId="3FC3AE64" w14:textId="77777777" w:rsidR="004C59F5" w:rsidRPr="00E61BFF" w:rsidRDefault="004C59F5" w:rsidP="000B6E75">
      <w:pPr>
        <w:pStyle w:val="41UeberschrG1"/>
      </w:pPr>
      <w:r>
        <w:lastRenderedPageBreak/>
        <w:t>Artykuł 3</w:t>
      </w:r>
      <w:r>
        <w:br/>
        <w:t>Zmiana kodeksu postępowania cywilnego</w:t>
      </w:r>
    </w:p>
    <w:p w14:paraId="6E1975CB" w14:textId="77777777" w:rsidR="004C59F5" w:rsidRPr="00E61BFF" w:rsidRDefault="004C59F5" w:rsidP="000B6E75">
      <w:pPr>
        <w:pStyle w:val="12PromKlEinlSatz"/>
      </w:pPr>
      <w:r>
        <w:t xml:space="preserve">W kodeksie postępowania cywilnego, Dz.U. Rzeszy nr 113/1895, ostatnio zmienionej ustawą opublikowaną w Federalnym Dz.U. I nr 109/2018, wprowadza się następujące zmiany: </w:t>
      </w:r>
    </w:p>
    <w:p w14:paraId="61C8E0A9" w14:textId="77777777" w:rsidR="004C59F5" w:rsidRPr="00E61BFF" w:rsidRDefault="004C59F5" w:rsidP="000B6E75">
      <w:pPr>
        <w:pStyle w:val="21NovAo1"/>
      </w:pPr>
      <w:r>
        <w:t>1. W § 502 ust. 5 na końcu pkt. 4 kropkę zastępuje się średnikiem i dodaje się pkt 5 w brzmieniu:</w:t>
      </w:r>
    </w:p>
    <w:p w14:paraId="725F8D3B" w14:textId="77777777" w:rsidR="004C59F5" w:rsidRPr="00E61BFF" w:rsidRDefault="004C59F5" w:rsidP="000B6E75">
      <w:pPr>
        <w:pStyle w:val="52Aufzaehle1Ziffer"/>
      </w:pPr>
      <w:r>
        <w:tab/>
        <w:t>„5. w odniesieniu do sporów według § 549.”.</w:t>
      </w:r>
      <w:r>
        <w:tab/>
      </w:r>
    </w:p>
    <w:p w14:paraId="56BA0878" w14:textId="77777777" w:rsidR="004C59F5" w:rsidRPr="00E61BFF" w:rsidRDefault="004C59F5" w:rsidP="000B6E75">
      <w:pPr>
        <w:pStyle w:val="21NovAo1"/>
      </w:pPr>
      <w:r>
        <w:t>2. Po § 548 dodaje się rozdział drugi w brzmieniu:</w:t>
      </w:r>
    </w:p>
    <w:p w14:paraId="39E3BD22" w14:textId="77777777" w:rsidR="004C59F5" w:rsidRPr="00E61BFF" w:rsidRDefault="004C59F5" w:rsidP="00431A52">
      <w:pPr>
        <w:pStyle w:val="41UeberschrG1"/>
      </w:pPr>
      <w:r>
        <w:t>„Rozdział drugi</w:t>
      </w:r>
    </w:p>
    <w:p w14:paraId="70DB9D83" w14:textId="77777777" w:rsidR="004C59F5" w:rsidRPr="00E61BFF" w:rsidRDefault="004C59F5" w:rsidP="000B6E75">
      <w:pPr>
        <w:pStyle w:val="43UeberschrG2"/>
      </w:pPr>
      <w:r>
        <w:t>Postępowanie nakazowe</w:t>
      </w:r>
    </w:p>
    <w:p w14:paraId="34369477" w14:textId="77777777" w:rsidR="004C59F5" w:rsidRPr="00E61BFF" w:rsidRDefault="004C59F5" w:rsidP="000B6E75">
      <w:pPr>
        <w:pStyle w:val="45UeberschrPara"/>
      </w:pPr>
      <w:r>
        <w:t>Postępowanie w sprawie znacznego naruszenia dóbr osobistych w sieci łączności elektronicznej</w:t>
      </w:r>
    </w:p>
    <w:p w14:paraId="2CEA6609" w14:textId="77777777" w:rsidR="004C59F5" w:rsidRPr="00E61BFF" w:rsidRDefault="004C59F5" w:rsidP="000B6E75">
      <w:pPr>
        <w:pStyle w:val="51Abs"/>
      </w:pPr>
      <w:r>
        <w:rPr>
          <w:rStyle w:val="991GldSymbol"/>
        </w:rPr>
        <w:t>§ 549.</w:t>
      </w:r>
      <w:r>
        <w:t xml:space="preserve"> (1) W sporach prawnych dotyczących powództw, w których dochodzone są wyłącznie roszczenia o wydanie nakazu w związku z istotnym naruszeniem dóbr osobistych w sieci łączności elektronicznej, które narusza godność ludzką osoby fizycznej, sąd na wniosek powoda wydaje nakaz bez uprzedniej rozprawy ustnej i bez wysłuchania pozwanego, jeżeli dochodzone roszczenie można w sposób rozstrzygający wyprowadzić z informacji zawartych w skardze. Do pozwu należy dołączyć dowód z sieci łączności elektronicznej, który przedstawia lub uwidacznia treści naruszające prawo.</w:t>
      </w:r>
    </w:p>
    <w:p w14:paraId="375921B7" w14:textId="77777777" w:rsidR="004C59F5" w:rsidRPr="00E61BFF" w:rsidRDefault="004C59F5" w:rsidP="000B6E75">
      <w:pPr>
        <w:pStyle w:val="51Abs"/>
      </w:pPr>
      <w:r>
        <w:t>(2) Nakaz zaprzestania zawiera oświadczenie o zaprzestaniu dochodzonego naruszenia i napis „Nakaz zaprzestania naruszeń” oraz informację, że pozwany, jeżeli kwestionuje dochodzone roszczenie, powinien wnieść sprzeciw wobec nakazu w terminie czternastu dni. Nastąpić ma pouczenie o tym, że nakazowi zaniechania można się sprzeciwić tylko przez wniesienie zastrzeżeń i że w przypadku wniesienia zastrzeżeń odbędzie się postępowanie zwyczajne z powództwa.</w:t>
      </w:r>
    </w:p>
    <w:p w14:paraId="716F3707" w14:textId="77777777" w:rsidR="004C59F5" w:rsidRPr="00E61BFF" w:rsidRDefault="004C59F5" w:rsidP="000B6E75">
      <w:pPr>
        <w:pStyle w:val="51Abs"/>
      </w:pPr>
      <w:r>
        <w:t>(3) Polecenie zaniechania jest doręczane stronie pozwanej wraz z pozwem. Wobec polecenia zaniechania można wnosić zastrzeżenia tylko w terminie prekluzyjnym czternastu dni od doręczenia. Wystarczy, jeżeli z pisma wynika zamiar wniesienia zastrzeżeń. Rozstrzygnięcie w przedmiocie kosztów zawarte w poleceniu zaniechania można zaskarżyć zażaleniem. §§ 556 ust. (5) 557 ust. (2)–(6) i 558 stosuje się odpowiednio.</w:t>
      </w:r>
    </w:p>
    <w:p w14:paraId="529F07AB" w14:textId="77777777" w:rsidR="004C59F5" w:rsidRPr="00E61BFF" w:rsidRDefault="004C59F5" w:rsidP="000B6E75">
      <w:pPr>
        <w:pStyle w:val="51Abs"/>
      </w:pPr>
      <w:r>
        <w:t>(4) Sąd może na wniosek strony skarżącej nadać poleceniu zaniechania tymczasową wykonalność, jeżeli utrzymujący się skutek zarzucanego działania naruszającego prawo jest nie do przyjęcia dla strony skarżącej lub wiąże się dla niej ze znacznymi niekorzyściami bądź jest niemożliwy do pogodzenia z fundamentalnymi wartościami austriackiego systemu prawnego. Tymczasowa wykonalność następuje po doręczeniu postanowienia o jej nadaniu i utrzymuje się w mocy do momentu prawomocnego zakończenia postępowania. Wniesienie środka prawnego przeciwko tej decyzji jest niedozwolone.</w:t>
      </w:r>
    </w:p>
    <w:p w14:paraId="39F61C57" w14:textId="77777777" w:rsidR="004C59F5" w:rsidRPr="00E61BFF" w:rsidRDefault="004C59F5" w:rsidP="000B6E75">
      <w:pPr>
        <w:pStyle w:val="51Abs"/>
      </w:pPr>
      <w:r>
        <w:t>(5) Federalna Minister Sprawiedliwości zostaje upoważniona, by opracować formularz pozwu i wniosku o wydanie polecenia zaniechania oraz udostępnić go do pobrania w internecie na stronie Ministerstwa Sprawiedliwości.”.</w:t>
      </w:r>
    </w:p>
    <w:p w14:paraId="31A9FAB1" w14:textId="77777777" w:rsidR="004C59F5" w:rsidRPr="00E61BFF" w:rsidRDefault="004C59F5" w:rsidP="00431A52">
      <w:pPr>
        <w:pStyle w:val="22NovAo2"/>
      </w:pPr>
      <w:r>
        <w:t xml:space="preserve">3. Skreśla się oznaczenie rozdziału </w:t>
      </w:r>
      <w:r>
        <w:rPr>
          <w:i w:val="0"/>
        </w:rPr>
        <w:t>„Rozdział drugi”</w:t>
      </w:r>
      <w:r>
        <w:t xml:space="preserve"> przed § 555.</w:t>
      </w:r>
    </w:p>
    <w:p w14:paraId="61031DE8" w14:textId="77777777" w:rsidR="004C59F5" w:rsidRPr="00E61BFF" w:rsidRDefault="004C59F5" w:rsidP="000B6E75">
      <w:pPr>
        <w:pStyle w:val="21NovAo1"/>
      </w:pPr>
      <w:r>
        <w:t>4. Po § 618 dodaje się część siódmą w brzmieniu:</w:t>
      </w:r>
    </w:p>
    <w:p w14:paraId="4F9F43AB" w14:textId="77777777" w:rsidR="004C59F5" w:rsidRPr="00E61BFF" w:rsidRDefault="004C59F5" w:rsidP="00431A52">
      <w:pPr>
        <w:pStyle w:val="41UeberschrG1"/>
      </w:pPr>
      <w:r>
        <w:t>„Część siódma</w:t>
      </w:r>
    </w:p>
    <w:p w14:paraId="2BF3D0A9" w14:textId="77777777" w:rsidR="004C59F5" w:rsidRPr="00E61BFF" w:rsidRDefault="004C59F5" w:rsidP="000B6E75">
      <w:pPr>
        <w:pStyle w:val="43UeberschrG2"/>
      </w:pPr>
      <w:r>
        <w:t>Wejście w życie, przepisy końcowe i przejściowe</w:t>
      </w:r>
    </w:p>
    <w:p w14:paraId="4398BF8E" w14:textId="77777777" w:rsidR="004C59F5" w:rsidRPr="00E61BFF" w:rsidRDefault="004C59F5" w:rsidP="000B6E75">
      <w:pPr>
        <w:pStyle w:val="51Abs"/>
      </w:pPr>
      <w:r>
        <w:rPr>
          <w:rStyle w:val="991GldSymbol"/>
        </w:rPr>
        <w:t>§ 619.</w:t>
      </w:r>
      <w:r>
        <w:t xml:space="preserve"> §§ 502, 549 i zmiany nazw ustępów, zmienione ustawą federalną opublikowaną w Federalnym Dzienniku Ustaw I nr 148/2020, wchodzą w życie z dniem 1 stycznia 2021 r. §§ 502 i 549 znajdują zastosowanie do pozwów wnoszonych po 31 grudnia 2020 r. § 502 ust. (5) pkt. 5 w brzmieniu zmienionym ustawą federalną z dnia 148/2020, traci moc z dniem 31 grudnia 2030 r. i nie ma już zastosowania do postępowań, w których powództwo wniesiono po dniu 31 grudnia 2030. r.”.</w:t>
      </w:r>
    </w:p>
    <w:p w14:paraId="62C13F98" w14:textId="238ADDAD" w:rsidR="004C59F5" w:rsidRPr="00E61BFF" w:rsidRDefault="004C59F5" w:rsidP="006E3D85">
      <w:pPr>
        <w:pStyle w:val="41UeberschrG1"/>
      </w:pPr>
      <w:r>
        <w:lastRenderedPageBreak/>
        <w:t>Artykuł 4</w:t>
      </w:r>
      <w:r>
        <w:br/>
        <w:t>Zmiana ustawy o postępowaniu egzekucyjnym</w:t>
      </w:r>
    </w:p>
    <w:p w14:paraId="2AB1840F" w14:textId="77777777" w:rsidR="004C59F5" w:rsidRPr="00E61BFF" w:rsidRDefault="004C59F5" w:rsidP="000B6E75">
      <w:pPr>
        <w:pStyle w:val="12PromKlEinlSatz"/>
      </w:pPr>
      <w:r>
        <w:t>W ustawie o postępowaniu egzekucyjnym, Dz.U. Rzeszy nr 79/1896, ostatnio zmienionej ustawą opublikowaną w Federalnym Dz.U. I nr 16/2020, wprowadza się następujące zmiany:</w:t>
      </w:r>
    </w:p>
    <w:p w14:paraId="7724051E" w14:textId="77777777" w:rsidR="004C59F5" w:rsidRPr="00E61BFF" w:rsidRDefault="004C59F5" w:rsidP="00431A52">
      <w:pPr>
        <w:pStyle w:val="22NovAo2"/>
      </w:pPr>
      <w:r>
        <w:t xml:space="preserve">W § 1 ust. (2) skreśla się słowa </w:t>
      </w:r>
      <w:r>
        <w:rPr>
          <w:i w:val="0"/>
        </w:rPr>
        <w:t>„nakazowym i”</w:t>
      </w:r>
      <w:r>
        <w:t xml:space="preserve"> oraz słowa </w:t>
      </w:r>
      <w:r>
        <w:rPr>
          <w:i w:val="0"/>
        </w:rPr>
        <w:t>„oraz w postępowaniu dotyczącym odpowiedzialności odszkodowawczej władzy publicznej za szkodę wyrządzoną przez urzędnika”,</w:t>
      </w:r>
      <w:r>
        <w:t xml:space="preserve"> a na końcu przed średnikiem dodaje się wyrażenie </w:t>
      </w:r>
      <w:r>
        <w:rPr>
          <w:i w:val="0"/>
        </w:rPr>
        <w:t>„, oraz polecenia zaniechania w rozumieniu § 549 kodeksu postępowania cywilnego, wobec których nie wniesiono terminowo zastrzeżeń lub którym nadano tymczasową wykonalność”</w:t>
      </w:r>
      <w:r>
        <w:t>.</w:t>
      </w:r>
    </w:p>
    <w:p w14:paraId="3BE54FA7" w14:textId="77777777" w:rsidR="004C59F5" w:rsidRPr="00E61BFF" w:rsidRDefault="004C59F5" w:rsidP="000B6E75">
      <w:pPr>
        <w:pStyle w:val="41UeberschrG1"/>
      </w:pPr>
      <w:r>
        <w:t>Artykuł 5</w:t>
      </w:r>
      <w:r>
        <w:br/>
        <w:t>Zmiana ustawy o opłatach adwokackich</w:t>
      </w:r>
    </w:p>
    <w:p w14:paraId="58C607D0" w14:textId="77777777" w:rsidR="004C59F5" w:rsidRPr="00E61BFF" w:rsidRDefault="004C59F5" w:rsidP="000B6E75">
      <w:pPr>
        <w:pStyle w:val="12PromKlEinlSatz"/>
      </w:pPr>
      <w:r>
        <w:t>W ustawie o opłatach adwokackich, Federalny Dz.U. nr 189/1969, ostatnio zmienionej ustawą opublikowaną w Federalnym Dz.U. I nr 19/2020, wprowadza się następujące zmiany:</w:t>
      </w:r>
    </w:p>
    <w:p w14:paraId="4026A4C8" w14:textId="77777777" w:rsidR="004C59F5" w:rsidRPr="00E61BFF" w:rsidRDefault="004C59F5" w:rsidP="00431A52">
      <w:pPr>
        <w:pStyle w:val="22NovAo2"/>
      </w:pPr>
      <w:r>
        <w:t xml:space="preserve">1. W § 10 ust. 6 po wyrazie </w:t>
      </w:r>
      <w:r>
        <w:rPr>
          <w:i w:val="0"/>
        </w:rPr>
        <w:t>„pod”</w:t>
      </w:r>
      <w:r>
        <w:t xml:space="preserve"> dodaje się wyrażenie </w:t>
      </w:r>
      <w:r>
        <w:rPr>
          <w:i w:val="0"/>
        </w:rPr>
        <w:t>„§ 20 i”</w:t>
      </w:r>
      <w:r>
        <w:t>.</w:t>
      </w:r>
    </w:p>
    <w:p w14:paraId="258C6DEA" w14:textId="77777777" w:rsidR="004C59F5" w:rsidRPr="00E61BFF" w:rsidRDefault="004C59F5" w:rsidP="000B6E75">
      <w:pPr>
        <w:pStyle w:val="21NovAo1"/>
      </w:pPr>
      <w:r>
        <w:t>2. Po § 10 ust. 6 lit. b) dodaje się ostatnie zdanie w brzmieniu:</w:t>
      </w:r>
    </w:p>
    <w:p w14:paraId="17617B02" w14:textId="77777777" w:rsidR="004C59F5" w:rsidRPr="00E61BFF" w:rsidRDefault="004C59F5" w:rsidP="00431A52">
      <w:pPr>
        <w:pStyle w:val="23SatznachNovao"/>
      </w:pPr>
      <w:r>
        <w:t>„w przypadku powództw o zaniechanie na podstawie § 549 kodeksu postępowania cywilnego przedmiot postępowania cywilnego jest wyceniany na 5000 euro”;</w:t>
      </w:r>
    </w:p>
    <w:p w14:paraId="11B8BCC4" w14:textId="77777777" w:rsidR="004C59F5" w:rsidRPr="00E61BFF" w:rsidRDefault="004C59F5" w:rsidP="000B6E75">
      <w:pPr>
        <w:pStyle w:val="21NovAo1"/>
      </w:pPr>
      <w:r>
        <w:t>3. W § 26a dodaje się ust. 3 w brzmieniu:</w:t>
      </w:r>
    </w:p>
    <w:p w14:paraId="772E7827" w14:textId="77777777" w:rsidR="004C59F5" w:rsidRPr="00E61BFF" w:rsidRDefault="004C59F5" w:rsidP="000B6E75">
      <w:pPr>
        <w:pStyle w:val="51Abs"/>
      </w:pPr>
      <w:r>
        <w:t>„(3) § 10, pozycja taryfowa 2 rozdz. I pkt 1 lit. b) i c), pozycja taryfowa 3 A rozdz. I pkt 1 lit. b) i pozycja taryfowa 4 rozdz. I pkt 2, w brzmieniu nadanym ustawą federalną, Federalny Dz.U. I nr 148/2020 wchodzi w życie z dniem 1 stycznia 2021 r.”.</w:t>
      </w:r>
    </w:p>
    <w:p w14:paraId="4CC45EE9" w14:textId="77777777" w:rsidR="004C59F5" w:rsidRPr="00E61BFF" w:rsidRDefault="004C59F5" w:rsidP="00431A52">
      <w:pPr>
        <w:pStyle w:val="22NovAo2"/>
      </w:pPr>
      <w:r>
        <w:t xml:space="preserve">4. W pozycji taryfowej 2, rozdz. I, pkt 1 lit. b), wyraz </w:t>
      </w:r>
      <w:r>
        <w:rPr>
          <w:i w:val="0"/>
        </w:rPr>
        <w:t>„Odwołanie od nakazu”</w:t>
      </w:r>
      <w:r>
        <w:t xml:space="preserve">; zastępuje się wyrażeniem </w:t>
      </w:r>
      <w:r>
        <w:rPr>
          <w:i w:val="0"/>
        </w:rPr>
        <w:t>„Odwołania i roszczenia zgodnie z § 549 kodeksu postępowania cywilnego”</w:t>
      </w:r>
      <w:r>
        <w:t>.</w:t>
      </w:r>
    </w:p>
    <w:p w14:paraId="2479FC78" w14:textId="77777777" w:rsidR="004C59F5" w:rsidRPr="00E61BFF" w:rsidRDefault="004C59F5" w:rsidP="00431A52">
      <w:pPr>
        <w:pStyle w:val="22NovAo2"/>
      </w:pPr>
      <w:r>
        <w:t xml:space="preserve">5. W pozycji taryfowej 2, rozdz. I pkt 1 lit. c) pierwsza połowa zdania po wyrazie </w:t>
      </w:r>
      <w:r>
        <w:rPr>
          <w:i w:val="0"/>
        </w:rPr>
        <w:t>„Nakazy zapłaty”</w:t>
      </w:r>
      <w:r>
        <w:t xml:space="preserve"> dodaje się wyrażenie </w:t>
      </w:r>
      <w:r>
        <w:rPr>
          <w:i w:val="0"/>
        </w:rPr>
        <w:t>„i z tytułu nakazów sądowych na podstawie § 549 kodeksu postępowania cywilnego”</w:t>
      </w:r>
      <w:r>
        <w:t xml:space="preserve">, a wyrazy </w:t>
      </w:r>
      <w:r>
        <w:rPr>
          <w:i w:val="0"/>
        </w:rPr>
        <w:t>„Nakaz zapłaty”</w:t>
      </w:r>
      <w:r>
        <w:t xml:space="preserve"> zastępuje się wyrażeniem </w:t>
      </w:r>
      <w:r>
        <w:rPr>
          <w:i w:val="0"/>
        </w:rPr>
        <w:t>„Nakaz zapłaty lub zaniechania”</w:t>
      </w:r>
      <w:r>
        <w:t>.</w:t>
      </w:r>
    </w:p>
    <w:p w14:paraId="76D749AD" w14:textId="77777777" w:rsidR="004C59F5" w:rsidRPr="00E61BFF" w:rsidRDefault="00431A52" w:rsidP="00431A52">
      <w:pPr>
        <w:pStyle w:val="22NovAo2"/>
      </w:pPr>
      <w:r>
        <w:t xml:space="preserve">6. W pozycji taryfowej 2 rozdz. I pkt 1 lit. c) dodaje się drugą połowę zdania po wyrazie </w:t>
      </w:r>
      <w:r>
        <w:rPr>
          <w:i w:val="0"/>
        </w:rPr>
        <w:t>„Nakazy zapłaty”</w:t>
      </w:r>
      <w:r>
        <w:t xml:space="preserve">, wyrażenie </w:t>
      </w:r>
      <w:r>
        <w:rPr>
          <w:i w:val="0"/>
        </w:rPr>
        <w:t>„i z tytułu nakazów sądowych na podstawie § 549 kodeksu postępowania cywilnego”</w:t>
      </w:r>
      <w:r>
        <w:t>.</w:t>
      </w:r>
    </w:p>
    <w:p w14:paraId="3C3279FE" w14:textId="77777777" w:rsidR="004C59F5" w:rsidRPr="00E61BFF" w:rsidRDefault="004C59F5" w:rsidP="00431A52">
      <w:pPr>
        <w:pStyle w:val="22NovAo2"/>
      </w:pPr>
      <w:r>
        <w:t xml:space="preserve">6. W pozycji taryfowej 3 A, rozdz. I, pkt 1 lit. b), po wyrazie </w:t>
      </w:r>
      <w:r>
        <w:rPr>
          <w:i w:val="0"/>
        </w:rPr>
        <w:t>„Nakazy zapłaty”</w:t>
      </w:r>
      <w:r>
        <w:t xml:space="preserve">, dodaje się wyrażenie </w:t>
      </w:r>
      <w:r>
        <w:rPr>
          <w:i w:val="0"/>
        </w:rPr>
        <w:t>„i z tytułu nakazów sądowych na podstawie § 549 kodeksu postępowania cywilnego”</w:t>
      </w:r>
      <w:r>
        <w:t>.</w:t>
      </w:r>
    </w:p>
    <w:p w14:paraId="777EE0C2" w14:textId="77777777" w:rsidR="004C59F5" w:rsidRPr="00E61BFF" w:rsidRDefault="004C59F5" w:rsidP="00431A52">
      <w:pPr>
        <w:pStyle w:val="22NovAo2"/>
      </w:pPr>
      <w:r>
        <w:t xml:space="preserve">7. W pozycji taryfowej 4, rozdz. I pkt 2, dodaje się wyrażenie </w:t>
      </w:r>
      <w:r>
        <w:rPr>
          <w:i w:val="0"/>
        </w:rPr>
        <w:t>„, 33a”</w:t>
      </w:r>
      <w:r>
        <w:t xml:space="preserve">; po cytacie </w:t>
      </w:r>
      <w:r>
        <w:rPr>
          <w:i w:val="0"/>
        </w:rPr>
        <w:t>„33 ust. (2)”</w:t>
      </w:r>
      <w:r>
        <w:t>.</w:t>
      </w:r>
    </w:p>
    <w:p w14:paraId="59816A5C" w14:textId="77777777" w:rsidR="004C59F5" w:rsidRPr="00E61BFF" w:rsidRDefault="004C59F5" w:rsidP="000B6E75">
      <w:pPr>
        <w:pStyle w:val="41UeberschrG1"/>
      </w:pPr>
      <w:r>
        <w:t>Artykuł 6</w:t>
      </w:r>
      <w:r>
        <w:br/>
        <w:t>Zmiana ustawy o e-handlu</w:t>
      </w:r>
    </w:p>
    <w:p w14:paraId="536C23A0" w14:textId="77777777" w:rsidR="004C59F5" w:rsidRPr="00E61BFF" w:rsidRDefault="00431A52" w:rsidP="000B6E75">
      <w:pPr>
        <w:pStyle w:val="12PromKlEinlSatz"/>
      </w:pPr>
      <w:r>
        <w:t>W ustawie o e-handlu [E</w:t>
      </w:r>
      <w:r>
        <w:noBreakHyphen/>
        <w:t>Commerce-Gesetz – ECG], Federalny Dz.U. I nr 152/2001, ostatnio zmienionej ustawą opublikowaną w Federalnym Dz.U. I nr 34/2015, wprowadza się następujące zmiany:</w:t>
      </w:r>
    </w:p>
    <w:p w14:paraId="769FA27D" w14:textId="77777777" w:rsidR="004C59F5" w:rsidRPr="00E61BFF" w:rsidRDefault="004C59F5" w:rsidP="000B6E75">
      <w:pPr>
        <w:pStyle w:val="21NovAo1"/>
      </w:pPr>
      <w:r>
        <w:t>1. Po § 18 ust. 4 dodaje się ust. 4a w brzmieniu:</w:t>
      </w:r>
    </w:p>
    <w:p w14:paraId="65298ECB" w14:textId="77777777" w:rsidR="004C59F5" w:rsidRPr="00E61BFF" w:rsidRDefault="004C59F5" w:rsidP="000B6E75">
      <w:pPr>
        <w:pStyle w:val="51Abs"/>
      </w:pPr>
      <w:r>
        <w:t>„(4a) Roszczenia w rozumieniu § 18 ust. 4 dochodzi się przed powołanym do prowadzenia postępowań sądowych w sprawach handlowych trybunałem pierwszej instancji w postępowaniu nieprocesowym.”.</w:t>
      </w:r>
    </w:p>
    <w:p w14:paraId="0657E57B" w14:textId="77777777" w:rsidR="004C59F5" w:rsidRPr="00E61BFF" w:rsidRDefault="004C59F5" w:rsidP="000B6E75">
      <w:pPr>
        <w:pStyle w:val="21NovAo1"/>
      </w:pPr>
      <w:r>
        <w:t>2. W § 28 dodaje się ust. 3 w brzmieniu:</w:t>
      </w:r>
    </w:p>
    <w:p w14:paraId="750B4A17" w14:textId="77777777" w:rsidR="004C59F5" w:rsidRPr="00E61BFF" w:rsidRDefault="004C59F5" w:rsidP="000B6E75">
      <w:pPr>
        <w:pStyle w:val="51Abs"/>
      </w:pPr>
      <w:r>
        <w:t>„(3) § 18 ust. 4a w brzmieniu ustawy opublikowanej w Federalnym Dz.U. I. nr 148/2020 wchodzi w życie z dniem 1 stycznia 2021 r. i nie znajduje zastosowania do sporów zawisłych przed wejściem w życie niniejszej ustawy federalnej.”.</w:t>
      </w:r>
    </w:p>
    <w:p w14:paraId="4D264D37" w14:textId="77777777" w:rsidR="004C59F5" w:rsidRPr="00E61BFF" w:rsidRDefault="004C59F5" w:rsidP="000B6E75">
      <w:pPr>
        <w:pStyle w:val="41UeberschrG1"/>
      </w:pPr>
      <w:r>
        <w:lastRenderedPageBreak/>
        <w:t>Artykuł 7</w:t>
      </w:r>
      <w:r>
        <w:br/>
        <w:t>Zmiana ustawy o opłatach sądowych</w:t>
      </w:r>
    </w:p>
    <w:p w14:paraId="6019DABC" w14:textId="77777777" w:rsidR="004C59F5" w:rsidRPr="00E61BFF" w:rsidRDefault="004C59F5" w:rsidP="000B6E75">
      <w:pPr>
        <w:pStyle w:val="12PromKlEinlSatz"/>
      </w:pPr>
      <w:r>
        <w:t>W ustawie o opłatach sądowych (GGG), Federalny Dz.U. nr 501/1984, ostatnio zmienionej ustawą opublikowaną w Federalnym Dz.U. I nr ##/20##, wprowadza się następujące zmiany:</w:t>
      </w:r>
    </w:p>
    <w:p w14:paraId="5AE95069" w14:textId="77777777" w:rsidR="004C59F5" w:rsidRPr="00E61BFF" w:rsidRDefault="004C59F5" w:rsidP="000B6E75">
      <w:pPr>
        <w:pStyle w:val="21NovAo1"/>
      </w:pPr>
      <w:r>
        <w:t>1. W § 16 ust. 1 pkt 1 po lit. d) dodaje się lit. e) w brzmieniu:</w:t>
      </w:r>
    </w:p>
    <w:p w14:paraId="43BEBE7C" w14:textId="77777777" w:rsidR="004C59F5" w:rsidRPr="00E61BFF" w:rsidRDefault="00431A52" w:rsidP="00431A52">
      <w:pPr>
        <w:pStyle w:val="52Aufzaehle2Lit"/>
      </w:pPr>
      <w:r>
        <w:tab/>
        <w:t>„e) postępowanie nakazowe według § 549 kodeksu postępowania cywilnego;”.</w:t>
      </w:r>
      <w:r>
        <w:tab/>
      </w:r>
    </w:p>
    <w:p w14:paraId="079E7BEF" w14:textId="77777777" w:rsidR="004C59F5" w:rsidRPr="00E61BFF" w:rsidRDefault="004C59F5" w:rsidP="000B6E75">
      <w:pPr>
        <w:pStyle w:val="21NovAo1"/>
      </w:pPr>
      <w:r>
        <w:t>2. W pozycji taryfowej 12 lit. c) przed pkt 2 dodaje się pkt 1 w brzmieniu:</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Pozycja taryfowa</w:t>
            </w:r>
          </w:p>
        </w:tc>
        <w:tc>
          <w:tcPr>
            <w:tcW w:w="4283" w:type="dxa"/>
            <w:vAlign w:val="center"/>
          </w:tcPr>
          <w:p w14:paraId="6FC1CBD3" w14:textId="77777777" w:rsidR="004C59F5" w:rsidRPr="00E61BFF" w:rsidRDefault="004C59F5" w:rsidP="00220685">
            <w:pPr>
              <w:pStyle w:val="83ErlText"/>
            </w:pPr>
            <w:r>
              <w:t>Przedmiot</w:t>
            </w:r>
          </w:p>
        </w:tc>
        <w:tc>
          <w:tcPr>
            <w:tcW w:w="1931" w:type="dxa"/>
            <w:vAlign w:val="center"/>
          </w:tcPr>
          <w:p w14:paraId="78B54F17" w14:textId="77777777" w:rsidR="004C59F5" w:rsidRPr="00E61BFF" w:rsidRDefault="004C59F5" w:rsidP="00220685">
            <w:pPr>
              <w:pStyle w:val="83ErlText"/>
            </w:pPr>
            <w:r>
              <w:t>Kryterium wymiaru opłat</w:t>
            </w:r>
          </w:p>
        </w:tc>
        <w:tc>
          <w:tcPr>
            <w:tcW w:w="1275" w:type="dxa"/>
            <w:vAlign w:val="center"/>
          </w:tcPr>
          <w:p w14:paraId="5EA825DB" w14:textId="77777777" w:rsidR="004C59F5" w:rsidRPr="00E61BFF" w:rsidRDefault="004C59F5" w:rsidP="00220685">
            <w:pPr>
              <w:pStyle w:val="83ErlText"/>
            </w:pPr>
            <w:r>
              <w:t>Wysokość opłat</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Postępowanie w sprawie roszczenia o uzyskanie informacji według § 18 ust. 4a ustawy o e-handlu,</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euro”.</w:t>
            </w:r>
          </w:p>
        </w:tc>
      </w:tr>
    </w:tbl>
    <w:p w14:paraId="646785B8" w14:textId="77777777" w:rsidR="004C59F5" w:rsidRPr="00E61BFF" w:rsidRDefault="004C59F5" w:rsidP="000B6E75">
      <w:pPr>
        <w:pStyle w:val="21NovAo1"/>
      </w:pPr>
      <w:r>
        <w:t>3. W pozycji taryfowej 13 lit. a) otrzymuje brzmienie:</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Powództwo prywatne i roszczenia oskarżyciela prywatnego o wydanie nakazów o zaprzestanie szkodliwych praktyk kapitałowych zgodnie z § 445 KPK</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euro”.</w:t>
            </w:r>
          </w:p>
        </w:tc>
      </w:tr>
    </w:tbl>
    <w:p w14:paraId="0A1E21A4" w14:textId="77777777" w:rsidR="004C59F5" w:rsidRPr="00E61BFF" w:rsidRDefault="004C59F5" w:rsidP="000B6E75">
      <w:pPr>
        <w:pStyle w:val="21NovAo1"/>
      </w:pPr>
      <w:r>
        <w:t>4. W art. VI dodaje się pkt 71 w brzmieniu:</w:t>
      </w:r>
    </w:p>
    <w:p w14:paraId="40FD5690" w14:textId="77777777" w:rsidR="004C59F5" w:rsidRPr="00E61BFF" w:rsidRDefault="004C59F5" w:rsidP="000B6E75">
      <w:pPr>
        <w:pStyle w:val="52Aufzaehle1Ziffer"/>
      </w:pPr>
      <w:r>
        <w:tab/>
        <w:t>„71.</w:t>
      </w:r>
      <w:r>
        <w:tab/>
        <w:t>§ 16 ust. 1 pozycja taryfowa 12 lit. c) pkt 1 i pozycja taryfowa 13 lit. a), zmienione ustawą opublikowaną w Federalnym Dzienniku Ustaw I nr 148/2020, wchodzą w życie z dniem 1 stycznia 2021. r. § 31a stosuje się do opłat nowo utworzonych na mocy niniejszej ustawy federalnej, z zastrzeżeniem, że punktem wyjścia dla redefinicji jest ostateczny numer indeksu opublikowany za marzec 2017 r. indeksu cen towarów i usług konsumenckich publikowanego przez austriacki urząd statystyczny”.</w:t>
      </w:r>
    </w:p>
    <w:p w14:paraId="51EE9ED0" w14:textId="77777777" w:rsidR="004C59F5" w:rsidRPr="00E61BFF" w:rsidRDefault="004C59F5" w:rsidP="000B6E75">
      <w:pPr>
        <w:pStyle w:val="41UeberschrG1"/>
      </w:pPr>
      <w:r>
        <w:t>Artykuł 8</w:t>
      </w:r>
    </w:p>
    <w:p w14:paraId="4A4F7CDC" w14:textId="77777777" w:rsidR="004C59F5" w:rsidRPr="00E61BFF" w:rsidRDefault="004C59F5" w:rsidP="000B6E75">
      <w:pPr>
        <w:pStyle w:val="43UeberschrG2"/>
      </w:pPr>
      <w:r>
        <w:t>Nowelizacja kodeksu karnego</w:t>
      </w:r>
    </w:p>
    <w:p w14:paraId="6675E1F4" w14:textId="77777777" w:rsidR="004C59F5" w:rsidRPr="00E61BFF" w:rsidRDefault="004C59F5" w:rsidP="000B6E75">
      <w:pPr>
        <w:pStyle w:val="12PromKlEinlSatz"/>
      </w:pPr>
      <w:r>
        <w:t>W kodeksie karnym, Federalny Dz.U. nr 60/1974, ostatnio zmienionym federalnym Dz.U. I nr 111/2019, wprowadza się następujące zmiany:</w:t>
      </w:r>
    </w:p>
    <w:p w14:paraId="536A4C45" w14:textId="77777777" w:rsidR="004C59F5" w:rsidRPr="00E61BFF" w:rsidRDefault="004C59F5" w:rsidP="000B6E75">
      <w:pPr>
        <w:pStyle w:val="21NovAo1"/>
      </w:pPr>
      <w:r>
        <w:t>1. § 107c wraz z nagłówkiem otrzymuje brzmienie:</w:t>
      </w:r>
    </w:p>
    <w:p w14:paraId="2FFCCBDC" w14:textId="77777777" w:rsidR="004C59F5" w:rsidRPr="00E61BFF" w:rsidRDefault="004C59F5" w:rsidP="000B6E75">
      <w:pPr>
        <w:pStyle w:val="45UeberschrPara"/>
      </w:pPr>
      <w:r>
        <w:rPr>
          <w:b w:val="0"/>
        </w:rPr>
        <w:t>„</w:t>
      </w:r>
      <w:r>
        <w:t>Notoryczne nękanie drogą telekomunikacyjną lub przy użyciu systemu komputerowego</w:t>
      </w:r>
    </w:p>
    <w:p w14:paraId="102573C4" w14:textId="77777777" w:rsidR="004C59F5" w:rsidRPr="00E61BFF" w:rsidRDefault="004C59F5" w:rsidP="000B6E75">
      <w:pPr>
        <w:pStyle w:val="51Abs"/>
      </w:pPr>
      <w:r>
        <w:rPr>
          <w:rStyle w:val="991GldSymbol"/>
        </w:rPr>
        <w:t>§ 107c.</w:t>
      </w:r>
      <w:r>
        <w:t xml:space="preserve"> (1) Każdy, kto za pomocą telekomunikacji lub przy użyciu systemu informatycznego w sposób mogący wywrzeć nieuzasadniony niekorzystny wpływ na życie drugiego człowieka,</w:t>
      </w:r>
    </w:p>
    <w:p w14:paraId="07D6EC91" w14:textId="77777777" w:rsidR="004C59F5" w:rsidRPr="00E61BFF" w:rsidRDefault="004C59F5" w:rsidP="000B6E75">
      <w:pPr>
        <w:pStyle w:val="52Aufzaehle1Ziffer"/>
      </w:pPr>
      <w:r>
        <w:tab/>
        <w:t>1.</w:t>
      </w:r>
      <w:r>
        <w:tab/>
        <w:t>dokonuje widzialnego czynu karalnego przeciwko honorowi osoby przez większą liczbę osób przez dłuższy czas; lub</w:t>
      </w:r>
    </w:p>
    <w:p w14:paraId="5B3E194B" w14:textId="77777777" w:rsidR="004C59F5" w:rsidRPr="00E61BFF" w:rsidRDefault="004C59F5" w:rsidP="000B6E75">
      <w:pPr>
        <w:pStyle w:val="52Aufzaehle1Ziffer"/>
      </w:pPr>
      <w:r>
        <w:tab/>
        <w:t>2.</w:t>
      </w:r>
      <w:r>
        <w:tab/>
        <w:t>sprawia, że fakt lub wizerunek osobistej sfery życia danej osoby staje się dostrzegalny przez dłuższy czas dla większej liczby osób bez jej zgody,</w:t>
      </w:r>
    </w:p>
    <w:p w14:paraId="785D28EF" w14:textId="77777777" w:rsidR="004C59F5" w:rsidRPr="00E61BFF" w:rsidRDefault="004C59F5" w:rsidP="00220685">
      <w:pPr>
        <w:pStyle w:val="58Schlussteile0Abs"/>
      </w:pPr>
      <w:r>
        <w:t>podlega karze pozbawienia wolności do jednego roku lub grzywnie w wysokości do 720 stawek dziennych.</w:t>
      </w:r>
    </w:p>
    <w:p w14:paraId="28F85F19" w14:textId="77777777" w:rsidR="004C59F5" w:rsidRPr="00E61BFF" w:rsidRDefault="004C59F5" w:rsidP="000B6E75">
      <w:pPr>
        <w:pStyle w:val="51Abs"/>
      </w:pPr>
      <w:r>
        <w:t>(2) Jeżeli przestępstwo skutkuje samobójstwem lub usiłowaniem samobójstwa pokrzywdzonego w rozumieniu ust. 1, sprawca nadal dopuszcza się czynów przeciwko pokrzywdzonemu przez okres przekraczający 1 rok lub przekraczający okres widzialności, o którym mowa w ust. 1 niniejszego artykułu do 1 roku, sprawca podlega karze pozbawienia wolności do lat 3.”.</w:t>
      </w:r>
    </w:p>
    <w:p w14:paraId="5B6508BD" w14:textId="77777777" w:rsidR="004C59F5" w:rsidRPr="00E61BFF" w:rsidRDefault="004C59F5" w:rsidP="000B6E75">
      <w:pPr>
        <w:pStyle w:val="21NovAo1"/>
      </w:pPr>
      <w:r>
        <w:t>2. Po § 120 dodaje się § 120a wraz z nagłówkiem w brzmieniu:</w:t>
      </w:r>
    </w:p>
    <w:p w14:paraId="4E0D1F83" w14:textId="77777777" w:rsidR="004C59F5" w:rsidRPr="00E61BFF" w:rsidRDefault="004C59F5" w:rsidP="000B6E75">
      <w:pPr>
        <w:pStyle w:val="45UeberschrPara"/>
      </w:pPr>
      <w:r>
        <w:t>„Nieautoryzowane nagrywanie obrazów”</w:t>
      </w:r>
    </w:p>
    <w:p w14:paraId="687ED129" w14:textId="77777777" w:rsidR="004C59F5" w:rsidRPr="00E61BFF" w:rsidRDefault="004C59F5" w:rsidP="000B6E75">
      <w:pPr>
        <w:pStyle w:val="51Abs"/>
      </w:pPr>
      <w:r>
        <w:rPr>
          <w:rStyle w:val="991GldSymbol"/>
        </w:rPr>
        <w:t>§ 120a</w:t>
      </w:r>
      <w:r>
        <w:t xml:space="preserve"> (1) Każdy, kto celowo wykonuje zdjęcie narządów płciowych, okolic łonowych, pośladków, kobiecych piersi lub bielizny zakrywającej te części ciała innej osoby, która chroni te obszary przed wzrokiem lub znajduje się w mieszkaniu lub w miejscu specjalnie chronionym przed wzrokiem, bez jej zgody, podlega karze pozbawienia wolności do 6  miesięcy albo grzywnie do 360 stawek dziennych.</w:t>
      </w:r>
    </w:p>
    <w:p w14:paraId="642AF34D" w14:textId="77777777" w:rsidR="004C59F5" w:rsidRPr="00E61BFF" w:rsidRDefault="004C59F5" w:rsidP="000B6E75">
      <w:pPr>
        <w:pStyle w:val="51Abs"/>
      </w:pPr>
      <w:r>
        <w:t>(2) Każda osoba, która wykonuje lub publikuje fotografię zgodnie z ust. 1 bez zgody osoby przedstawionej, podlega karze pozbawienia wolności do 12 miesięcy lub grzywnie w wysokości do 720 stawek dziennych, jeżeli przestępstwo nie jest zagrożone przez inny przepis taką samą lub surowszą karą.</w:t>
      </w:r>
    </w:p>
    <w:p w14:paraId="5EC4AFE8" w14:textId="77777777" w:rsidR="004C59F5" w:rsidRPr="00E61BFF" w:rsidRDefault="004C59F5" w:rsidP="000B6E75">
      <w:pPr>
        <w:pStyle w:val="51Abs"/>
      </w:pPr>
      <w:r>
        <w:lastRenderedPageBreak/>
        <w:t>(3) Sprawca jest ścigany wyłącznie za zgodą pokrzywdzonego.”.</w:t>
      </w:r>
    </w:p>
    <w:p w14:paraId="3A9D3671" w14:textId="77777777" w:rsidR="004C59F5" w:rsidRPr="00E61BFF" w:rsidRDefault="004C59F5" w:rsidP="00220685">
      <w:pPr>
        <w:pStyle w:val="22NovAo2"/>
      </w:pPr>
      <w:r>
        <w:t xml:space="preserve">3. W § 283 ust. 1 pkt 1, skreśla się wyrazy </w:t>
      </w:r>
      <w:r>
        <w:rPr>
          <w:i w:val="0"/>
        </w:rPr>
        <w:t>„fizyczna lub psychiczna”</w:t>
      </w:r>
      <w:r>
        <w:t xml:space="preserve"> przed wyrazem </w:t>
      </w:r>
      <w:r>
        <w:rPr>
          <w:i w:val="0"/>
        </w:rPr>
        <w:t>„niepełnosprawność”</w:t>
      </w:r>
      <w:r>
        <w:t>.</w:t>
      </w:r>
    </w:p>
    <w:p w14:paraId="3C3E5AC1" w14:textId="77777777" w:rsidR="004C59F5" w:rsidRPr="00E61BFF" w:rsidRDefault="004C59F5" w:rsidP="000B6E75">
      <w:pPr>
        <w:pStyle w:val="21NovAo1"/>
      </w:pPr>
      <w:r>
        <w:t>4. § 283 ust. 1 pkt 2 otrzymuje następujące brzmienie:</w:t>
      </w:r>
    </w:p>
    <w:p w14:paraId="3F2C5F73" w14:textId="77777777" w:rsidR="004C59F5" w:rsidRPr="00E61BFF" w:rsidRDefault="004C59F5" w:rsidP="000B6E75">
      <w:pPr>
        <w:pStyle w:val="52Aufzaehle1Ziffer"/>
      </w:pPr>
      <w:r>
        <w:tab/>
        <w:t>„2.</w:t>
      </w:r>
      <w:r>
        <w:tab/>
        <w:t>znieważa grupę, o której mowa w ust. 1 lub osobę z powodu jej przynależności do takiej grupy, z zamiarem naruszenia godności ludzkiej grupy lub osoby, w sposób mogący dyskredytować lub umniejszać grupa lub osoba w opinii publicznej, lub”</w:t>
      </w:r>
    </w:p>
    <w:p w14:paraId="2456A79B" w14:textId="77777777" w:rsidR="004C59F5" w:rsidRPr="00E61BFF" w:rsidRDefault="004C59F5" w:rsidP="000B6E75">
      <w:pPr>
        <w:pStyle w:val="41UeberschrG1"/>
      </w:pPr>
      <w:r>
        <w:t>Artykuł 9</w:t>
      </w:r>
    </w:p>
    <w:p w14:paraId="2B689D35" w14:textId="77777777" w:rsidR="004C59F5" w:rsidRPr="00E61BFF" w:rsidRDefault="004C59F5" w:rsidP="000B6E75">
      <w:pPr>
        <w:pStyle w:val="43UeberschrG2"/>
      </w:pPr>
      <w:r>
        <w:t>Zmiana ustawy o mediach</w:t>
      </w:r>
    </w:p>
    <w:p w14:paraId="6763C10F" w14:textId="77777777" w:rsidR="004C59F5" w:rsidRPr="00E61BFF" w:rsidRDefault="004C59F5" w:rsidP="000B6E75">
      <w:pPr>
        <w:pStyle w:val="12PromKlEinlSatz"/>
      </w:pPr>
      <w:r>
        <w:t>W ustawie o prasie i innych mediach publicystycznych (Mediengesetz – MedienG), Federalny Dz.U. nr 314/1981, ostatnio zmienionej ustawą federalną, Federalny Dz.U. I nr 32/2018, wprowadza się następujące zmiany:</w:t>
      </w:r>
    </w:p>
    <w:p w14:paraId="78F24F3C" w14:textId="77777777" w:rsidR="004C59F5" w:rsidRPr="00E61BFF" w:rsidRDefault="004C59F5" w:rsidP="000B6E75">
      <w:pPr>
        <w:pStyle w:val="21NovAo1"/>
      </w:pPr>
      <w:r>
        <w:t>1. Przed § 6 dodaje się nazwę i tytuł w brzmieniu:</w:t>
      </w:r>
    </w:p>
    <w:p w14:paraId="02D6BB7E" w14:textId="77777777" w:rsidR="004C59F5" w:rsidRPr="00E61BFF" w:rsidRDefault="004C59F5" w:rsidP="000B6E75">
      <w:pPr>
        <w:pStyle w:val="41UeberschrG1"/>
      </w:pPr>
      <w:r>
        <w:t>„Podrozdział pierwszy</w:t>
      </w:r>
    </w:p>
    <w:p w14:paraId="02E38CA5" w14:textId="77777777" w:rsidR="004C59F5" w:rsidRPr="00E61BFF" w:rsidRDefault="004C59F5" w:rsidP="000B6E75">
      <w:pPr>
        <w:pStyle w:val="43UeberschrG2"/>
      </w:pPr>
      <w:r>
        <w:t>Przesłanki odszkodowawcze”</w:t>
      </w:r>
    </w:p>
    <w:p w14:paraId="6E974E70" w14:textId="77777777" w:rsidR="004C59F5" w:rsidRPr="00E61BFF" w:rsidRDefault="004C59F5" w:rsidP="000B6E75">
      <w:pPr>
        <w:pStyle w:val="21NovAo1"/>
      </w:pPr>
      <w:r>
        <w:t>2. § 6 ust. 1 otrzymuje brzmienie:</w:t>
      </w:r>
    </w:p>
    <w:p w14:paraId="3DA90DE0" w14:textId="77777777" w:rsidR="004C59F5" w:rsidRPr="00E61BFF" w:rsidRDefault="004C59F5" w:rsidP="000B6E75">
      <w:pPr>
        <w:pStyle w:val="51Abs"/>
      </w:pPr>
      <w:r>
        <w:t>„(1) Jeżeli w danym medium zostaną przedstawione obiektywne fakty dotyczące pomówienia, znieważenia, wyszydzenia lub zniesławienia, osoba poszkodowana ma prawo do odszkodowania od właściciela nośnika w odniesieniu do poniesionej szkody (§ 8 ust. 1).”</w:t>
      </w:r>
    </w:p>
    <w:p w14:paraId="19863201" w14:textId="77777777" w:rsidR="004C59F5" w:rsidRPr="00E61BFF" w:rsidRDefault="004C59F5" w:rsidP="000B6E75">
      <w:pPr>
        <w:pStyle w:val="21NovAo1"/>
      </w:pPr>
      <w:r>
        <w:t>3. § 7 ust. 1 otrzymuje brzmienie:</w:t>
      </w:r>
    </w:p>
    <w:p w14:paraId="4C390BDB" w14:textId="77777777" w:rsidR="004C59F5" w:rsidRPr="00E61BFF" w:rsidRDefault="004C59F5" w:rsidP="000B6E75">
      <w:pPr>
        <w:pStyle w:val="51Abs"/>
      </w:pPr>
      <w:r>
        <w:t>„(1) Jeżeli w danym medium omawiana lub przedstawiana jest intymna sfera życia danej osoby w sposób mogący skompromitować ją publicznie, pokrzywdzonemu przysługuje prawo do odszkodowania od właściciela tego medium za doznaną krzywdę (§ 8 ust. 1).”.</w:t>
      </w:r>
    </w:p>
    <w:p w14:paraId="4388B2F1" w14:textId="77777777" w:rsidR="004C59F5" w:rsidRPr="00E61BFF" w:rsidRDefault="004C59F5" w:rsidP="000B6E75">
      <w:pPr>
        <w:pStyle w:val="21NovAo1"/>
      </w:pPr>
      <w:r>
        <w:t>4. § 7a ust. 1 otrzymuje brzmienie:</w:t>
      </w:r>
    </w:p>
    <w:p w14:paraId="6E458DFB" w14:textId="77777777" w:rsidR="004C59F5" w:rsidRPr="00E61BFF" w:rsidRDefault="004C59F5" w:rsidP="000B6E75">
      <w:pPr>
        <w:pStyle w:val="51Abs"/>
      </w:pPr>
      <w:r>
        <w:t>„(1) Jeżeli w danym medium publikowane jest nazwisko, wizerunek lub inne dane mogące prowadzić do tego, że niebezpośrednio poinformowana większa grupa ludzi pozna tożsamość osoby, która</w:t>
      </w:r>
    </w:p>
    <w:p w14:paraId="7D64CC7E" w14:textId="77777777" w:rsidR="004C59F5" w:rsidRPr="00E61BFF" w:rsidRDefault="004C59F5" w:rsidP="000B6E75">
      <w:pPr>
        <w:pStyle w:val="52Aufzaehle1Ziffer"/>
      </w:pPr>
      <w:r>
        <w:tab/>
        <w:t>1.</w:t>
      </w:r>
      <w:r>
        <w:tab/>
        <w:t>stała się ofiarą (§ 65 pkt 1 KPK) czynu zagrożonego karą sądową, lub</w:t>
      </w:r>
    </w:p>
    <w:p w14:paraId="1F05F6C9" w14:textId="77777777" w:rsidR="004C59F5" w:rsidRPr="00E61BFF" w:rsidRDefault="004C59F5" w:rsidP="000B6E75">
      <w:pPr>
        <w:pStyle w:val="52Aufzaehle1Ziffer"/>
      </w:pPr>
      <w:r>
        <w:tab/>
        <w:t>2.</w:t>
      </w:r>
      <w:r>
        <w:tab/>
        <w:t>jest podejrzana o taki czyn lub została skazana za popełnienie go,</w:t>
      </w:r>
    </w:p>
    <w:p w14:paraId="42D93DFC" w14:textId="77777777" w:rsidR="004C59F5" w:rsidRPr="00E61BFF" w:rsidRDefault="004C59F5" w:rsidP="000B6E75">
      <w:pPr>
        <w:pStyle w:val="52Aufzaehle1Ziffer"/>
      </w:pPr>
      <w:r>
        <w:tab/>
        <w:t>3.</w:t>
      </w:r>
      <w:r>
        <w:tab/>
        <w:t>została przesłuchana jako informator przed komisją śledczą Austriackiej Rady Narodowej,</w:t>
      </w:r>
    </w:p>
    <w:p w14:paraId="232BB288" w14:textId="77777777" w:rsidR="004C59F5" w:rsidRPr="00E61BFF" w:rsidRDefault="004C59F5" w:rsidP="000B6E75">
      <w:pPr>
        <w:pStyle w:val="58Schlussteile0Abs"/>
      </w:pPr>
      <w:r>
        <w:t>a jeżeli w ten sposób naruszone zostaną interesy tej osoby zasługującej na ochronę, osobie poszkodowanej przysługuje od właściciela mediów zadośćuczynienie za poniesioną szkodę (§ 8 ust. 1), chyba że z uwagi na nadrzędny interes publiczny przemawiający za publikacją tych informacji poszkodowanej osobie zajmującej stanowisko w przestrzeni publicznej, z powodu innego związku z życiem publicznym lub z innych powodów.”.</w:t>
      </w:r>
    </w:p>
    <w:p w14:paraId="5E6CD7E8" w14:textId="77777777" w:rsidR="004C59F5" w:rsidRPr="00E61BFF" w:rsidRDefault="004C59F5" w:rsidP="000B6E75">
      <w:pPr>
        <w:pStyle w:val="21NovAo1"/>
      </w:pPr>
      <w:r>
        <w:t>5. W § 7a po ust. 1 dodaje się ust. 1a w brzmieniu:</w:t>
      </w:r>
    </w:p>
    <w:p w14:paraId="10A3CA95" w14:textId="77777777" w:rsidR="004C59F5" w:rsidRPr="00E61BFF" w:rsidRDefault="004C59F5" w:rsidP="000B6E75">
      <w:pPr>
        <w:pStyle w:val="51Abs"/>
      </w:pPr>
      <w:r>
        <w:t>„(1a) Jeżeli w danym medium publikowane jest nazwisko lub wizerunek osoby, która</w:t>
      </w:r>
    </w:p>
    <w:p w14:paraId="769F6DCC" w14:textId="77777777" w:rsidR="004C59F5" w:rsidRPr="00E61BFF" w:rsidRDefault="004C59F5" w:rsidP="000B6E75">
      <w:pPr>
        <w:pStyle w:val="52Aufzaehle1Ziffer"/>
      </w:pPr>
      <w:r>
        <w:tab/>
        <w:t>1.</w:t>
      </w:r>
      <w:r>
        <w:tab/>
        <w:t>krewny (§ 72 KPK) osoby, o której mowa w ust. 1 pkt 1 lub 2, ale sam nie jest ofiarą na podstawie § 65 ust. 1 lit. b) kodeksu postępowania karnego, lub</w:t>
      </w:r>
    </w:p>
    <w:p w14:paraId="5D4429BD" w14:textId="77777777" w:rsidR="004C59F5" w:rsidRPr="00E61BFF" w:rsidRDefault="004C59F5" w:rsidP="000B6E75">
      <w:pPr>
        <w:pStyle w:val="52Aufzaehle1Ziffer"/>
      </w:pPr>
      <w:r>
        <w:tab/>
        <w:t>2.</w:t>
      </w:r>
      <w:r>
        <w:tab/>
        <w:t>była świadkiem czynu zagrożonego karą sądową,</w:t>
      </w:r>
    </w:p>
    <w:p w14:paraId="1B02109A" w14:textId="77777777" w:rsidR="004C59F5" w:rsidRPr="00E61BFF" w:rsidRDefault="004C59F5" w:rsidP="000B6E75">
      <w:pPr>
        <w:pStyle w:val="58Schlussteile0Abs"/>
      </w:pPr>
      <w:r>
        <w:t>i naruszane są przez to zasługujące na ochronę interesy tej osoby, pokrzywdzonemu przysługuje prawo do odszkodowania od właściciela tego medium za doznaną krzywdę (§ 8 ust. 1), chyba że z publikacją tychże danych wiązał się nadrzędny interes publiczny (ust. 1).”.</w:t>
      </w:r>
    </w:p>
    <w:p w14:paraId="3943AEB9" w14:textId="77777777" w:rsidR="004C59F5" w:rsidRPr="00E61BFF" w:rsidRDefault="004C59F5" w:rsidP="000B6E75">
      <w:pPr>
        <w:pStyle w:val="21NovAo1"/>
      </w:pPr>
      <w:r>
        <w:t>6. § 7a ust. 2 pkt 1 otrzymuje następujące brzmienie:</w:t>
      </w:r>
    </w:p>
    <w:p w14:paraId="7492D3AF" w14:textId="77777777" w:rsidR="004C59F5" w:rsidRPr="00E61BFF" w:rsidRDefault="004C59F5" w:rsidP="000B6E75">
      <w:pPr>
        <w:pStyle w:val="52Aufzaehle1Ziffer"/>
      </w:pPr>
      <w:r>
        <w:tab/>
        <w:t>„1.</w:t>
      </w:r>
      <w:r>
        <w:tab/>
        <w:t>jest odpowiedzialny, w przypadkach, o których mowa w ust. 1 pkt 1 lub ust. 1a, za ingerencję w sferę życia osobistego lub naruszenie uzasadnionych interesów bezpieczeństwa ofiary, krewnego lub świadka;”;</w:t>
      </w:r>
    </w:p>
    <w:p w14:paraId="3FCFD0AB" w14:textId="77777777" w:rsidR="004C59F5" w:rsidRPr="00E61BFF" w:rsidRDefault="004C59F5" w:rsidP="00220685">
      <w:pPr>
        <w:pStyle w:val="22NovAo2"/>
      </w:pPr>
      <w:r>
        <w:t xml:space="preserve">7. W § 7a ust. 3 pkt 3 po wyrazie </w:t>
      </w:r>
      <w:r>
        <w:rPr>
          <w:i w:val="0"/>
        </w:rPr>
        <w:t>„dotyczy”</w:t>
      </w:r>
      <w:r>
        <w:t xml:space="preserve"> dodaje się uzupełnienie.</w:t>
      </w:r>
    </w:p>
    <w:p w14:paraId="2284FFC6" w14:textId="77777777" w:rsidR="004C59F5" w:rsidRPr="00E61BFF" w:rsidRDefault="004C59F5" w:rsidP="000B6E75">
      <w:pPr>
        <w:pStyle w:val="21NovAo1"/>
      </w:pPr>
      <w:r>
        <w:lastRenderedPageBreak/>
        <w:t>8. § 7b ust. 1 otrzymuje brzmienie:</w:t>
      </w:r>
    </w:p>
    <w:p w14:paraId="635505A0" w14:textId="77777777" w:rsidR="004C59F5" w:rsidRPr="00E61BFF" w:rsidRDefault="004C59F5" w:rsidP="000B6E75">
      <w:pPr>
        <w:pStyle w:val="51Abs"/>
      </w:pPr>
      <w:r>
        <w:t>„(1) Jeżeli w danym medium osoba, która jest podejrzana o czyn zagrożony karą sądową, ale nie jest prawomocnie skazana, jest przedstawiana jako mająca udowodniona winę lub winna albo jest określana jako sprawca tego czynu zabronionego, a nie jedynie jako podejrzana o popełnienie go, pokrzywdzonemu przysługuje prawo do odszkodowania od właściciela tego medium za doznaną krzywdę (§ 8 ust. 1).”.</w:t>
      </w:r>
    </w:p>
    <w:p w14:paraId="4FC5BBE4" w14:textId="77777777" w:rsidR="004C59F5" w:rsidRPr="00E61BFF" w:rsidRDefault="004C59F5" w:rsidP="00220685">
      <w:pPr>
        <w:pStyle w:val="22NovAo2"/>
      </w:pPr>
      <w:r>
        <w:t xml:space="preserve">9. W § 7c ust. 1 wyraz </w:t>
      </w:r>
      <w:r>
        <w:rPr>
          <w:i w:val="0"/>
        </w:rPr>
        <w:t>„zniewaga”</w:t>
      </w:r>
      <w:r>
        <w:t xml:space="preserve"> zastępuje się wyrazami </w:t>
      </w:r>
      <w:r>
        <w:rPr>
          <w:i w:val="0"/>
        </w:rPr>
        <w:t>„szkoda osobista (§ 8 ust. 1)”</w:t>
      </w:r>
      <w:r>
        <w:t>; skreśla się zdanie drugie.</w:t>
      </w:r>
    </w:p>
    <w:p w14:paraId="6FC601D3" w14:textId="77777777" w:rsidR="004C59F5" w:rsidRPr="00E61BFF" w:rsidRDefault="004C59F5" w:rsidP="000B6E75">
      <w:pPr>
        <w:pStyle w:val="21NovAo1"/>
      </w:pPr>
      <w:r>
        <w:t>10. Brzmienie art. 8 ust. 1 i (2) jest następujące:</w:t>
      </w:r>
    </w:p>
    <w:p w14:paraId="1A41005A" w14:textId="77777777" w:rsidR="004C59F5" w:rsidRPr="00E61BFF" w:rsidRDefault="004C59F5" w:rsidP="000B6E75">
      <w:pPr>
        <w:pStyle w:val="51Abs"/>
      </w:pPr>
      <w:r>
        <w:t>„(1) Wysokość odszkodowania zgodnie z §§ 6, 7, 7a, 7b lub 7c oblicza się proporcjonalnie do zakresu, wartości publikacyjnej i wpływu publikacji oraz w szczególności rodzaju i zakresu rozpowszechniania medium, a w przypadku serwisów internetowych również liczbę użytkowników końcowych, którzy uzyskali dostęp do publikacji; Ogólnie uważa się, że wpływ jest mniejszy, jeżeli publikacja została wydana po wcześniejszych porównywalnych publikacjach, ale przed przyznaniem w tej sprawie pierwszej instancji odszkodowania, zgodnie z niniejszym ustępem. Jeżeli pokrzywdzonemu z powodu publikacji przysługuje prawo do odszkodowania zgodnie z kilkoma przepisami niniejszego podrozdziału, wyznaczana jest tylko jedna, odpowiednio wyższa kwota odszkodowania. Uwzględnione musi zostać zachowanie bytu ekonomicznego przez właściciela medium. Wysokość odszkodowania ustala się na co najmniej 100 euro, a kwota 40 000 euro nie może jednak przekroczyć kwoty 10 0000 euro zgodnie z §§ 6, 7 lub 7c w przypadku szczególnie poważnych konsekwencji publikacji oraz rażącego zaniedbania lub umyślnego zachowania właściciela mediów lub jego/jej pracownika.</w:t>
      </w:r>
    </w:p>
    <w:p w14:paraId="4AB74A8C" w14:textId="77777777" w:rsidR="004C59F5" w:rsidRPr="00E61BFF" w:rsidRDefault="004C59F5" w:rsidP="000B6E75">
      <w:pPr>
        <w:pStyle w:val="51Abs"/>
      </w:pPr>
      <w:r>
        <w:t>(2) Roszczenia o wypłatę kwoty odszkodowania w rozumieniu §§ 6, 7, 7a, 7b lub 7c poszkodowany może dochodzić w postępowaniu karnym, w którym właściciel medium uczestniczy jako podejrzany lub zgodnie z § 41 ust. 6, do momentu zakończenia rozprawy głównej. Jeżeli nie dojdzie do takiego postępowania karnego, roszczenia można dochodzić, składając samodzielny wniosek (§ 8a). W swoim orzeczeniu w sprawie roszczenia odszkodowawczego zgodnie z §§ 6, 7, 7a, 7b lub 7c sąd nie jest zobowiązany do oceny prawnej osoby, której dotyczy spór; poszkodowany może jednak oświadczyć, że nie powołuje się na niektóre przepisy niniejszego podrozdziału.”.</w:t>
      </w:r>
    </w:p>
    <w:p w14:paraId="74B3AC21" w14:textId="77777777" w:rsidR="004C59F5" w:rsidRPr="00E61BFF" w:rsidRDefault="004C59F5" w:rsidP="00B47DC9">
      <w:pPr>
        <w:pStyle w:val="22NovAo2"/>
      </w:pPr>
      <w:r>
        <w:t xml:space="preserve">11. W § 8a ust. 2 po wyrazach </w:t>
      </w:r>
      <w:r>
        <w:rPr>
          <w:i w:val="0"/>
        </w:rPr>
        <w:t>„sześć miesięcy”</w:t>
      </w:r>
      <w:r>
        <w:t xml:space="preserve"> dodaje się wyrazy </w:t>
      </w:r>
      <w:r>
        <w:rPr>
          <w:i w:val="0"/>
        </w:rPr>
        <w:t>„jeżeli jednak powód jest ofiarą przestępstwa w rozumieniu § 65 ust. 1 lit. a) i b) KPK, to w ciągu jednego roku”,</w:t>
      </w:r>
      <w:r>
        <w:t xml:space="preserve">, a wyraz </w:t>
      </w:r>
      <w:r>
        <w:rPr>
          <w:i w:val="0"/>
        </w:rPr>
        <w:t>„rozprawa”</w:t>
      </w:r>
      <w:r>
        <w:t xml:space="preserve"> zastępuje się wyrazem </w:t>
      </w:r>
      <w:r>
        <w:rPr>
          <w:i w:val="0"/>
        </w:rPr>
        <w:t>„rozprawa główna”</w:t>
      </w:r>
      <w:r>
        <w:t>.</w:t>
      </w:r>
    </w:p>
    <w:p w14:paraId="2BDF74F0" w14:textId="77777777" w:rsidR="004C59F5" w:rsidRPr="00E61BFF" w:rsidRDefault="004C59F5" w:rsidP="000B6E75">
      <w:pPr>
        <w:pStyle w:val="21NovAo1"/>
      </w:pPr>
      <w:r>
        <w:t>12. Dotychczasowy § 8a ust. 4 umieszcza się za § 8 ust. 3; do § 8a dodaje się ust. 4 w brzmieniu:</w:t>
      </w:r>
    </w:p>
    <w:p w14:paraId="3695D3E9" w14:textId="77777777" w:rsidR="004C59F5" w:rsidRPr="00E61BFF" w:rsidRDefault="004C59F5" w:rsidP="000B6E75">
      <w:pPr>
        <w:pStyle w:val="51Abs"/>
      </w:pPr>
      <w:r>
        <w:t>„(4) Zastosowanie znajduje § 8 ust. 4.”.</w:t>
      </w:r>
    </w:p>
    <w:p w14:paraId="2CEF5861" w14:textId="77777777" w:rsidR="004C59F5" w:rsidRPr="00E61BFF" w:rsidRDefault="004C59F5" w:rsidP="000B6E75">
      <w:pPr>
        <w:pStyle w:val="21NovAo1"/>
      </w:pPr>
      <w:r>
        <w:t>13. Przed § 9 dodaje się nazwę i tytuł w brzmieniu:</w:t>
      </w:r>
    </w:p>
    <w:p w14:paraId="751E46B2" w14:textId="77777777" w:rsidR="004C59F5" w:rsidRPr="00E61BFF" w:rsidRDefault="004C59F5" w:rsidP="000B6E75">
      <w:pPr>
        <w:pStyle w:val="41UeberschrG1"/>
      </w:pPr>
      <w:r>
        <w:t>„Podrozdział drugi</w:t>
      </w:r>
    </w:p>
    <w:p w14:paraId="258B031E" w14:textId="77777777" w:rsidR="004C59F5" w:rsidRPr="00E61BFF" w:rsidRDefault="004C59F5" w:rsidP="000B6E75">
      <w:pPr>
        <w:pStyle w:val="43UeberschrG2"/>
      </w:pPr>
      <w:r>
        <w:t>Zgłoszenie sprzeciwu i późniejsze powiadomienie o wyniku postępowania karnego”.</w:t>
      </w:r>
    </w:p>
    <w:p w14:paraId="61035177" w14:textId="77777777" w:rsidR="004C59F5" w:rsidRPr="00E61BFF" w:rsidRDefault="004C59F5" w:rsidP="00B47DC9">
      <w:pPr>
        <w:pStyle w:val="22NovAo2"/>
      </w:pPr>
      <w:r>
        <w:t xml:space="preserve">14. W § 10 ust. 1 pkt 3 słowa </w:t>
      </w:r>
      <w:r>
        <w:rPr>
          <w:i w:val="0"/>
        </w:rPr>
        <w:t>„rozprawa główna”</w:t>
      </w:r>
      <w:r>
        <w:t xml:space="preserve"> zastępuje się słowami </w:t>
      </w:r>
      <w:r>
        <w:rPr>
          <w:i w:val="0"/>
        </w:rPr>
        <w:t>„rozprawa karna”</w:t>
      </w:r>
      <w:r>
        <w:t>.</w:t>
      </w:r>
    </w:p>
    <w:p w14:paraId="57592B94" w14:textId="77777777" w:rsidR="004C59F5" w:rsidRPr="00E61BFF" w:rsidRDefault="004C59F5" w:rsidP="00B47DC9">
      <w:pPr>
        <w:pStyle w:val="22NovAo2"/>
      </w:pPr>
      <w:r>
        <w:t xml:space="preserve">15. W § 11 ust. 1 pkt (10) wyrazy </w:t>
      </w:r>
      <w:r>
        <w:rPr>
          <w:i w:val="0"/>
        </w:rPr>
        <w:t>„od cofnięcia skargi”</w:t>
      </w:r>
      <w:r>
        <w:t xml:space="preserve"> zastępuje się wyrazami </w:t>
      </w:r>
      <w:r>
        <w:rPr>
          <w:i w:val="0"/>
        </w:rPr>
        <w:t>„od zaniechania ścigania”</w:t>
      </w:r>
      <w:r>
        <w:t>.</w:t>
      </w:r>
    </w:p>
    <w:p w14:paraId="12E9B572" w14:textId="77777777" w:rsidR="004C59F5" w:rsidRPr="00E61BFF" w:rsidRDefault="004C59F5" w:rsidP="00B47DC9">
      <w:pPr>
        <w:pStyle w:val="22NovAo2"/>
      </w:pPr>
      <w:r>
        <w:t xml:space="preserve">16. W § 13 ust. 7 słowo </w:t>
      </w:r>
      <w:r>
        <w:rPr>
          <w:i w:val="0"/>
        </w:rPr>
        <w:t>„ograniczenia”</w:t>
      </w:r>
      <w:r>
        <w:t xml:space="preserve"> zastępuje się słowem </w:t>
      </w:r>
      <w:r>
        <w:rPr>
          <w:i w:val="0"/>
        </w:rPr>
        <w:t>„interwencje”</w:t>
      </w:r>
      <w:r>
        <w:t>.</w:t>
      </w:r>
    </w:p>
    <w:p w14:paraId="2AE28060" w14:textId="77777777" w:rsidR="004C59F5" w:rsidRPr="00E61BFF" w:rsidRDefault="004C59F5" w:rsidP="00B47DC9">
      <w:pPr>
        <w:pStyle w:val="22NovAo2"/>
      </w:pPr>
      <w:r>
        <w:t xml:space="preserve">17. W § 14 ust. 2 po słowach </w:t>
      </w:r>
      <w:r>
        <w:rPr>
          <w:i w:val="0"/>
        </w:rPr>
        <w:t>„orzekającego jednoosobowo sędziego”</w:t>
      </w:r>
      <w:r>
        <w:t xml:space="preserve"> dodaje się słowa </w:t>
      </w:r>
      <w:r>
        <w:rPr>
          <w:i w:val="0"/>
        </w:rPr>
        <w:t>„sądu okręgowego”</w:t>
      </w:r>
      <w:r>
        <w:t>.</w:t>
      </w:r>
    </w:p>
    <w:p w14:paraId="4E63B1EC" w14:textId="77777777" w:rsidR="004C59F5" w:rsidRPr="00E61BFF" w:rsidRDefault="004C59F5" w:rsidP="00B47DC9">
      <w:pPr>
        <w:pStyle w:val="22NovAo2"/>
      </w:pPr>
      <w:r>
        <w:t xml:space="preserve">18. Na końcu § 14 ust. 3 po słowach </w:t>
      </w:r>
      <w:r>
        <w:rPr>
          <w:i w:val="0"/>
        </w:rPr>
        <w:t>„dozwolone”</w:t>
      </w:r>
      <w:r>
        <w:t xml:space="preserve"> dodaje się zdanie w brzmieniu: </w:t>
      </w:r>
      <w:r>
        <w:rPr>
          <w:i w:val="0"/>
        </w:rPr>
        <w:t>„a wniosek oczywiście bezzasadny może zostać odrzucony jedynie po jawnej rozprawie, chyba że wnioskodawca wyraźnie zrezygnuje z takiej rozprawy”</w:t>
      </w:r>
    </w:p>
    <w:p w14:paraId="61AD9CC6" w14:textId="77777777" w:rsidR="004C59F5" w:rsidRPr="00E61BFF" w:rsidRDefault="004C59F5" w:rsidP="000B6E75">
      <w:pPr>
        <w:pStyle w:val="21NovAo1"/>
      </w:pPr>
      <w:r>
        <w:t>19. § 15 ust. 1 otrzymuje brzmienie:</w:t>
      </w:r>
    </w:p>
    <w:p w14:paraId="5C64434D" w14:textId="77777777" w:rsidR="004C59F5" w:rsidRPr="00E61BFF" w:rsidRDefault="004C59F5" w:rsidP="000B6E75">
      <w:pPr>
        <w:pStyle w:val="51Abs"/>
      </w:pPr>
      <w:r>
        <w:t>„(1) Jeżeli w ustawowym terminie nie zostały wniesione zastrzeżenia, sąd podejmie decyzję w ciągu pięciu dni roboczych od dnia upływu tego terminu. Żądanie zostaje uwzględnione bez rozprawy; jeżeli jednak wniosek jest nieuzasadniony, decyzja zostaje wydana po jawnym postępowaniu ustnym, chyba że powód wyraźnie z niego zrezygnuje”.</w:t>
      </w:r>
    </w:p>
    <w:p w14:paraId="0D76C5FB" w14:textId="77777777" w:rsidR="004C59F5" w:rsidRPr="00E61BFF" w:rsidRDefault="004C59F5" w:rsidP="00B47DC9">
      <w:pPr>
        <w:pStyle w:val="22NovAo2"/>
      </w:pPr>
      <w:r>
        <w:lastRenderedPageBreak/>
        <w:t xml:space="preserve">20. W § 15 ust. 3 wyrazy </w:t>
      </w:r>
      <w:r>
        <w:rPr>
          <w:i w:val="0"/>
        </w:rPr>
        <w:t>„rozprawa publiczna”</w:t>
      </w:r>
      <w:r>
        <w:t xml:space="preserve"> zastępuje się wyrazami </w:t>
      </w:r>
      <w:r>
        <w:rPr>
          <w:i w:val="0"/>
        </w:rPr>
        <w:t>„przeprowadzenie rozprawy głównej”</w:t>
      </w:r>
      <w:r>
        <w:t>.</w:t>
      </w:r>
    </w:p>
    <w:p w14:paraId="2095DBF8" w14:textId="77777777" w:rsidR="004C59F5" w:rsidRPr="00E61BFF" w:rsidRDefault="004C59F5" w:rsidP="00B47DC9">
      <w:pPr>
        <w:pStyle w:val="22NovAo2"/>
      </w:pPr>
      <w:r>
        <w:t xml:space="preserve">21. W § 16 ust. 1 wyrazy </w:t>
      </w:r>
      <w:r>
        <w:rPr>
          <w:i w:val="0"/>
        </w:rPr>
        <w:t>„rozprawa publiczna”</w:t>
      </w:r>
      <w:r>
        <w:t xml:space="preserve"> zastępuje się wyrazami </w:t>
      </w:r>
      <w:r>
        <w:rPr>
          <w:i w:val="0"/>
        </w:rPr>
        <w:t>„przeprowadzenie rozprawy głównej”.</w:t>
      </w:r>
    </w:p>
    <w:p w14:paraId="30246BE5" w14:textId="77777777" w:rsidR="004C59F5" w:rsidRPr="00E61BFF" w:rsidRDefault="004C59F5" w:rsidP="00B47DC9">
      <w:pPr>
        <w:pStyle w:val="22NovAo2"/>
      </w:pPr>
      <w:r>
        <w:t xml:space="preserve">22. W § 20 ust. 2 wyraz </w:t>
      </w:r>
      <w:r>
        <w:rPr>
          <w:i w:val="0"/>
        </w:rPr>
        <w:t>„Żądanie publikacji”</w:t>
      </w:r>
      <w:r>
        <w:t xml:space="preserve">; zastępuje się wyrazem </w:t>
      </w:r>
      <w:r>
        <w:rPr>
          <w:i w:val="0"/>
        </w:rPr>
        <w:t>„Nakaz publikacji”</w:t>
      </w:r>
      <w:r>
        <w:t>.</w:t>
      </w:r>
    </w:p>
    <w:p w14:paraId="004C0FE1" w14:textId="77777777" w:rsidR="004C59F5" w:rsidRPr="00E61BFF" w:rsidRDefault="004C59F5" w:rsidP="000B6E75">
      <w:pPr>
        <w:pStyle w:val="21NovAo1"/>
      </w:pPr>
      <w:r>
        <w:t>23. Przed § 22 dodaje się nazwę i tytuł w brzmieniu:</w:t>
      </w:r>
    </w:p>
    <w:p w14:paraId="0109DC7F" w14:textId="77777777" w:rsidR="004C59F5" w:rsidRPr="00E61BFF" w:rsidRDefault="004C59F5" w:rsidP="000B6E75">
      <w:pPr>
        <w:pStyle w:val="41UeberschrG1"/>
      </w:pPr>
      <w:r>
        <w:t>„Podrozdział trzeci</w:t>
      </w:r>
    </w:p>
    <w:p w14:paraId="725C98A0" w14:textId="77777777" w:rsidR="004C59F5" w:rsidRPr="00E61BFF" w:rsidRDefault="004C59F5" w:rsidP="000B6E75">
      <w:pPr>
        <w:pStyle w:val="43UeberschrG2"/>
      </w:pPr>
      <w:r>
        <w:t>Rejestrowanie i przesyłanie obrazu i dźwięku”.</w:t>
      </w:r>
    </w:p>
    <w:p w14:paraId="65582BF2" w14:textId="77777777" w:rsidR="004C59F5" w:rsidRPr="00E61BFF" w:rsidRDefault="004C59F5" w:rsidP="000B6E75">
      <w:pPr>
        <w:pStyle w:val="21NovAo1"/>
      </w:pPr>
      <w:r>
        <w:t>24. Przed § 23 dodaje się nazwę i tytuł w brzmieniu:</w:t>
      </w:r>
    </w:p>
    <w:p w14:paraId="029ABEDB" w14:textId="77777777" w:rsidR="004C59F5" w:rsidRPr="00E61BFF" w:rsidRDefault="004C59F5" w:rsidP="000B6E75">
      <w:pPr>
        <w:pStyle w:val="41UeberschrG1"/>
      </w:pPr>
      <w:r>
        <w:t>„Podrozdział czwarty</w:t>
      </w:r>
    </w:p>
    <w:p w14:paraId="0598862B" w14:textId="77777777" w:rsidR="004C59F5" w:rsidRPr="00E61BFF" w:rsidRDefault="004C59F5" w:rsidP="000B6E75">
      <w:pPr>
        <w:pStyle w:val="43UeberschrG2"/>
      </w:pPr>
      <w:r>
        <w:t>Zabronione wywieranie wpływu na postępowanie karne”.</w:t>
      </w:r>
    </w:p>
    <w:p w14:paraId="475FD25A" w14:textId="77777777" w:rsidR="004C59F5" w:rsidRPr="00E61BFF" w:rsidRDefault="004C59F5" w:rsidP="00B47DC9">
      <w:pPr>
        <w:pStyle w:val="22NovAo2"/>
      </w:pPr>
      <w:r>
        <w:t xml:space="preserve">25. W § 30 wyraz </w:t>
      </w:r>
      <w:r>
        <w:rPr>
          <w:i w:val="0"/>
        </w:rPr>
        <w:t>„jeden”</w:t>
      </w:r>
      <w:r>
        <w:t xml:space="preserve">; zastępuje się wyrazem </w:t>
      </w:r>
      <w:r>
        <w:rPr>
          <w:i w:val="0"/>
        </w:rPr>
        <w:t>„jeden”</w:t>
      </w:r>
      <w:r>
        <w:t>.</w:t>
      </w:r>
    </w:p>
    <w:p w14:paraId="4215900A" w14:textId="77777777" w:rsidR="004C59F5" w:rsidRPr="00E61BFF" w:rsidRDefault="004C59F5" w:rsidP="00B47DC9">
      <w:pPr>
        <w:pStyle w:val="22NovAo2"/>
      </w:pPr>
      <w:r>
        <w:t xml:space="preserve">26. W § 32, zdanie drugie po wyrazie </w:t>
      </w:r>
      <w:r>
        <w:rPr>
          <w:i w:val="0"/>
        </w:rPr>
        <w:t>„grozi”</w:t>
      </w:r>
      <w:r>
        <w:t xml:space="preserve"> </w:t>
      </w:r>
      <w:r>
        <w:rPr>
          <w:i w:val="0"/>
        </w:rPr>
        <w:t xml:space="preserve">dodaje się wyrażenie </w:t>
      </w:r>
      <w:r>
        <w:t>„lub zostało popełnione przez zawartość okresowego elektronicznego nośnika informacji, który można odzyskać”.</w:t>
      </w:r>
    </w:p>
    <w:p w14:paraId="5043B9E1" w14:textId="77777777" w:rsidR="004C59F5" w:rsidRPr="00E61BFF" w:rsidRDefault="004C59F5" w:rsidP="00B47DC9">
      <w:pPr>
        <w:pStyle w:val="22NovAo2"/>
      </w:pPr>
      <w:r>
        <w:t xml:space="preserve">27. W § 33 ust. 2 zdanie pierwsze zastępuje się wyrażenie </w:t>
      </w:r>
      <w:r>
        <w:rPr>
          <w:i w:val="0"/>
        </w:rPr>
        <w:t>„niemożliwe z przyczyn innych niż ukaranie”</w:t>
      </w:r>
      <w:r>
        <w:t xml:space="preserve"> wyrażeniem </w:t>
      </w:r>
      <w:r>
        <w:rPr>
          <w:i w:val="0"/>
        </w:rPr>
        <w:t>„z przyczyn wyłączających karę, np. z powodu przedawnienia przestępstwa”</w:t>
      </w:r>
      <w:r>
        <w:t>.</w:t>
      </w:r>
    </w:p>
    <w:p w14:paraId="513EDC4E" w14:textId="77777777" w:rsidR="004C59F5" w:rsidRPr="00E61BFF" w:rsidRDefault="004C59F5" w:rsidP="00B47DC9">
      <w:pPr>
        <w:pStyle w:val="22NovAo2"/>
      </w:pPr>
      <w:r>
        <w:t>28. Uchyla się § 33 ust. 3.</w:t>
      </w:r>
    </w:p>
    <w:p w14:paraId="739687EE" w14:textId="77777777" w:rsidR="004C59F5" w:rsidRPr="00E61BFF" w:rsidRDefault="004C59F5" w:rsidP="000B6E75">
      <w:pPr>
        <w:pStyle w:val="21NovAo1"/>
      </w:pPr>
      <w:r>
        <w:t>29. Po § 33 dodaje się § 33a wraz z nagłówkiem w brzmieniu:</w:t>
      </w:r>
    </w:p>
    <w:p w14:paraId="70E9AF5E" w14:textId="77777777" w:rsidR="004C59F5" w:rsidRPr="00E61BFF" w:rsidRDefault="004C59F5" w:rsidP="000B6E75">
      <w:pPr>
        <w:pStyle w:val="45UeberschrPara"/>
      </w:pPr>
      <w:r>
        <w:t>„Konfiskata z powodu pokrzywdzenia pracodawcy</w:t>
      </w:r>
    </w:p>
    <w:p w14:paraId="4FF9975E" w14:textId="77777777" w:rsidR="004C59F5" w:rsidRPr="00E61BFF" w:rsidRDefault="004C59F5" w:rsidP="000B6E75">
      <w:pPr>
        <w:pStyle w:val="51Abs"/>
      </w:pPr>
      <w:r>
        <w:rPr>
          <w:rStyle w:val="991GldSymbol"/>
        </w:rPr>
        <w:t>§ 33a</w:t>
      </w:r>
      <w:r>
        <w:t> (1) Jeżeli w medium odnoszącym się do działalności pracownika lub zatrudnionego powstają obiektywne fakty wypominania, znieważania, wyśmiewania lub zniesławiania lub grożące niebezpieczeństwem (§ 74 ust. 1 pkt 5 kodeksu karnego) i jeżeli takie zachowanie może w istotny sposób wpłynąć na możliwość wykorzystania pracownika lub zatrudnionego przez pracodawcę lub poważnie zaszkodzić wizerunkowi pracodawcy lub zatrudniającego, jest on uprawniony do złożenia wniosku o odebranie nośników przeznaczonych do rozpowszechniania lub usunięcia odpowiednich części strony internetowej. To samo dotyczy wolontariuszy i organów organizacji. Dochodzenie roszczenia przez pracodawcę nie jest powiązane ze zgodą pracownika. Nie istnieje obowiązek sądowego dochodzenia roszczenia przez pracodawcę w odniesieniu do naruszenia dobra osobistego dotyczącego pracownika w szczególności na podstawie obowiązku opieki określonego prawem pracy.</w:t>
      </w:r>
    </w:p>
    <w:p w14:paraId="3530D27B" w14:textId="77777777" w:rsidR="004C59F5" w:rsidRPr="00E61BFF" w:rsidRDefault="00730F15" w:rsidP="00730F15">
      <w:pPr>
        <w:pStyle w:val="51Abs"/>
      </w:pPr>
      <w:r>
        <w:t>(2) Prawo do konfiskaty nie przysługuje w przypadku zarzutu, jeżeli istnieje podstawa wykluczenia na podstawie § 6 ust. 2 pkt 2 lub 4. Zastosowanie znajduje § 33 ust. 2 zdanie drugie.</w:t>
      </w:r>
    </w:p>
    <w:p w14:paraId="2D0790A7" w14:textId="77777777" w:rsidR="004C59F5" w:rsidRPr="00E61BFF" w:rsidRDefault="004C59F5" w:rsidP="000B6E75">
      <w:pPr>
        <w:pStyle w:val="51Abs"/>
      </w:pPr>
      <w:r>
        <w:t>(3) Pracodawca może wnioskować o konfiskatę w postępowaniu karnym do końca rozprawy głównej lub na niezależny wniosek. Do postępowania w sprawie takiego wniosku stosuje się § 33 ust. 4 i 5.</w:t>
      </w:r>
    </w:p>
    <w:p w14:paraId="16451396" w14:textId="77777777" w:rsidR="004C59F5" w:rsidRPr="00E61BFF" w:rsidRDefault="004C59F5" w:rsidP="000B6E75">
      <w:pPr>
        <w:pStyle w:val="51Abs"/>
      </w:pPr>
      <w:r>
        <w:t>(4) Wniosek może również zostać złożony w samodzielnym postępowaniu, które jest prowadzone w sprawie wniosku poszkodowanego z powodu tej samej publikacji, i odwrotnie.”.</w:t>
      </w:r>
    </w:p>
    <w:p w14:paraId="730D2ED1" w14:textId="77777777" w:rsidR="004C59F5" w:rsidRPr="00E61BFF" w:rsidRDefault="004C59F5" w:rsidP="00B47DC9">
      <w:pPr>
        <w:pStyle w:val="22NovAo2"/>
      </w:pPr>
      <w:r>
        <w:t xml:space="preserve">30. W § 34 ust. 3 w zdaniu pierwszym wyrażenie </w:t>
      </w:r>
      <w:r>
        <w:rPr>
          <w:i w:val="0"/>
        </w:rPr>
        <w:t>„niemożliwe z przyczyn innych niż ukaranie”</w:t>
      </w:r>
      <w:r>
        <w:t xml:space="preserve"> zastępuje się wyrażeniem </w:t>
      </w:r>
      <w:r>
        <w:rPr>
          <w:i w:val="0"/>
        </w:rPr>
        <w:t>„z przyczyn wyłączających karę, takich przedawnienie niekaralności przestępstwa”</w:t>
      </w:r>
      <w:r>
        <w:t xml:space="preserve">; w zdaniu drugim wyrazy </w:t>
      </w:r>
      <w:r>
        <w:rPr>
          <w:i w:val="0"/>
        </w:rPr>
        <w:t>„i ust. 3”</w:t>
      </w:r>
      <w:r>
        <w:t xml:space="preserve"> zastępuje się wyrazem </w:t>
      </w:r>
      <w:r>
        <w:rPr>
          <w:i w:val="0"/>
        </w:rPr>
        <w:t>„jest”</w:t>
      </w:r>
      <w:r>
        <w:t>.</w:t>
      </w:r>
    </w:p>
    <w:p w14:paraId="5BC9F326" w14:textId="77777777" w:rsidR="004C59F5" w:rsidRPr="00E61BFF" w:rsidRDefault="004C59F5" w:rsidP="00B47DC9">
      <w:pPr>
        <w:pStyle w:val="22NovAo2"/>
      </w:pPr>
      <w:r>
        <w:t xml:space="preserve">31. W § 36 ust. 1 wyrażenie </w:t>
      </w:r>
      <w:r>
        <w:rPr>
          <w:i w:val="0"/>
        </w:rPr>
        <w:t>„§ 33”</w:t>
      </w:r>
      <w:r>
        <w:t xml:space="preserve"> zastępuje się wyrażeniem </w:t>
      </w:r>
      <w:r>
        <w:rPr>
          <w:i w:val="0"/>
        </w:rPr>
        <w:t>„§§ 33 lub 33a”</w:t>
      </w:r>
      <w:r>
        <w:t>.</w:t>
      </w:r>
    </w:p>
    <w:p w14:paraId="6D81CFF2" w14:textId="77777777" w:rsidR="004C59F5" w:rsidRPr="00E61BFF" w:rsidRDefault="004C59F5" w:rsidP="00B47DC9">
      <w:pPr>
        <w:pStyle w:val="22NovAo2"/>
      </w:pPr>
      <w:r>
        <w:t xml:space="preserve">32. W § 36 ust. 2 po wyrazach </w:t>
      </w:r>
      <w:r>
        <w:rPr>
          <w:i w:val="0"/>
        </w:rPr>
        <w:t>„przestępstwa związane z treścią medialną”</w:t>
      </w:r>
      <w:r>
        <w:t xml:space="preserve"> dodaje się wyrazy </w:t>
      </w:r>
      <w:r>
        <w:rPr>
          <w:i w:val="0"/>
        </w:rPr>
        <w:t>„lub zgodnie z § 33a”</w:t>
      </w:r>
      <w:r>
        <w:t>.</w:t>
      </w:r>
    </w:p>
    <w:p w14:paraId="28135A45" w14:textId="77777777" w:rsidR="004C59F5" w:rsidRPr="00E61BFF" w:rsidRDefault="004C59F5" w:rsidP="000B6E75">
      <w:pPr>
        <w:pStyle w:val="21NovAo1"/>
      </w:pPr>
      <w:r>
        <w:lastRenderedPageBreak/>
        <w:t>33. Po § 36a dodaje się § 36b z nagłówkiem w brzmieniu:</w:t>
      </w:r>
    </w:p>
    <w:p w14:paraId="097ADD84" w14:textId="77777777" w:rsidR="004C59F5" w:rsidRPr="00E61BFF" w:rsidRDefault="004C59F5" w:rsidP="000B6E75">
      <w:pPr>
        <w:pStyle w:val="45UeberschrPara"/>
      </w:pPr>
      <w:r>
        <w:t>„Egzekwowanie zajęcia, konfiskaty i publikacji orzeczeń sądowych na stronach internetowych przeciwko usługodawcom”</w:t>
      </w:r>
    </w:p>
    <w:p w14:paraId="4990B944" w14:textId="77777777" w:rsidR="004C59F5" w:rsidRPr="00E61BFF" w:rsidRDefault="004C59F5" w:rsidP="000B6E75">
      <w:pPr>
        <w:pStyle w:val="51Abs"/>
      </w:pPr>
      <w:r>
        <w:rPr>
          <w:rStyle w:val="991GldSymbol"/>
        </w:rPr>
        <w:t>§ 36b;</w:t>
      </w:r>
      <w:r>
        <w:t> Jeżeli właściciel mediów ma siedzibę za granicą lub właściciel mediów nie może zostać pozwany z innych powodów, sąd, na wniosek prokuratora lub powoda, nakazuje dostawcy usług hostingowych (§ 16 ustawa o e</w:t>
      </w:r>
      <w:r>
        <w:noBreakHyphen/>
        <w:t>handlu - ECG, Dziennik Ustaw I nr 152/2001) usunięcie odpowiednich elementów strony internetowej (konfiskata lub zajęcie - §§ 33, 33a, 36) lub opublikowanie części wyroku (§ 34).”.</w:t>
      </w:r>
    </w:p>
    <w:p w14:paraId="502034E7" w14:textId="77777777" w:rsidR="004C59F5" w:rsidRPr="00E61BFF" w:rsidRDefault="004C59F5" w:rsidP="00B47DC9">
      <w:pPr>
        <w:pStyle w:val="22NovAo2"/>
      </w:pPr>
      <w:r>
        <w:t xml:space="preserve">34. W § 41 ust. 1, po cytacie </w:t>
      </w:r>
      <w:r>
        <w:rPr>
          <w:i w:val="0"/>
        </w:rPr>
        <w:t>„33 ust. 2”</w:t>
      </w:r>
      <w:r>
        <w:t xml:space="preserve">, dodaje się w nawiasach cytat </w:t>
      </w:r>
      <w:r>
        <w:rPr>
          <w:i w:val="0"/>
        </w:rPr>
        <w:t>„ 33a ust. 3”</w:t>
      </w:r>
      <w:r>
        <w:t xml:space="preserve">. </w:t>
      </w:r>
    </w:p>
    <w:p w14:paraId="7E9A5B87" w14:textId="77777777" w:rsidR="004C59F5" w:rsidRPr="00E61BFF" w:rsidRDefault="004C59F5" w:rsidP="000B6E75">
      <w:pPr>
        <w:pStyle w:val="21NovAo1"/>
      </w:pPr>
      <w:r>
        <w:t>35. § 41 ust. 5 otrzymuje brzmienie:</w:t>
      </w:r>
    </w:p>
    <w:p w14:paraId="02B6538A" w14:textId="77777777" w:rsidR="004C59F5" w:rsidRPr="00E61BFF" w:rsidRDefault="004C59F5" w:rsidP="000B6E75">
      <w:pPr>
        <w:pStyle w:val="51Abs"/>
      </w:pPr>
      <w:r>
        <w:t>„(5) Do postępowania z powództwa cywilnego stosuje się § 71 KPK; podobnie przyjęte tam regulacje w zakresie samodzielnego postępowania w sprawie zarządzeń określonych prawem majątkowym stosuje się odpowiednio do samodzielnego postępowania w rozumieniu § 8a, § 33 ust. 2, § 33a ust. 3 i § 34 ust. 3. Sąd rozpatrzy akt oskarżenia lub wniosek o wszczęcie samodzielnego postępowania w rozumieniu § 485 KPK, przy czym w przypadkach określonych w § 485 ust. 1 pkt 3 w związku z § 212 pkt 1 i 2 KPK podejmuje on decyzję po ustnym etapie postępowania jawnego, o ile oskarżyciel prywatny lub wnioskodawca wyraźnie nie zrezygnuje z niego.”.</w:t>
      </w:r>
    </w:p>
    <w:p w14:paraId="27AF9499" w14:textId="77777777" w:rsidR="004C59F5" w:rsidRPr="00E61BFF" w:rsidRDefault="004C59F5" w:rsidP="000B6E75">
      <w:pPr>
        <w:pStyle w:val="21NovAo1"/>
      </w:pPr>
      <w:r>
        <w:t xml:space="preserve">36. W § 41 obecny ust. 7 otrzymuje oznaczenie handlowe </w:t>
      </w:r>
      <w:r>
        <w:rPr>
          <w:i w:val="0"/>
        </w:rPr>
        <w:t>„(8)”</w:t>
      </w:r>
      <w:r>
        <w:t xml:space="preserve"> i jest sklasyfikowany zgodnie z ust. 7; Ust. 7 otrzymuje następujące brzmienie:</w:t>
      </w:r>
    </w:p>
    <w:p w14:paraId="15E485A8" w14:textId="77777777" w:rsidR="004C59F5" w:rsidRPr="00E61BFF" w:rsidRDefault="004C59F5" w:rsidP="000B6E75">
      <w:pPr>
        <w:pStyle w:val="51Abs"/>
      </w:pPr>
      <w:r>
        <w:t>„(7) W postępowaniu, o którym mowa w ust. 1, jeżeli wystąpiono o wykonanie konfiskaty (§ 33) lub ogłoszenie wyroku (§ 34) na podstawie § 36b, dostawca usług hostingowych zostaje wezwany na rozprawę główną, ale jego niestawiennictwo nie wstrzymuje postępowania, wydania wyroku i decyzji w sprawie wniosku zgodnie z § 36b. Dostawca usług hostingowych ma prawo zasięgać opinii na temat wymogów określonych w § 36b. Jeżeli dostawca usług hostingowych jest zobowiązany do wykonania zajęcia (§ 36) zgodnie z § 36b lub jeżeli wystąpiono o wykonanie konfiskaty lub ogłoszenie wyroku i nakazano je dopiero po wydaniu prawomocnego orzeczenia w jego sprawie, dostawcę usług hostingowych powiadamia się o nakazie zajęcia lub decyzji o konfiskacie lub publikacji wyroku i nakazu wykonania orzeczenia zgodnie z § 36b.”.</w:t>
      </w:r>
    </w:p>
    <w:p w14:paraId="7AE840DD" w14:textId="77777777" w:rsidR="004C59F5" w:rsidRPr="00E61BFF" w:rsidRDefault="004C59F5" w:rsidP="000B6E75">
      <w:pPr>
        <w:pStyle w:val="21NovAo1"/>
      </w:pPr>
      <w:r>
        <w:t>37. W § 41 po ust. 8 dodaje się ust. 9 w brzmieniu:</w:t>
      </w:r>
    </w:p>
    <w:p w14:paraId="3B0D5F63" w14:textId="77777777" w:rsidR="004C59F5" w:rsidRPr="00E61BFF" w:rsidRDefault="004C59F5" w:rsidP="000B6E75">
      <w:pPr>
        <w:pStyle w:val="51Abs"/>
      </w:pPr>
      <w:r>
        <w:t>„(9) Wsparcie psychospołeczne i prawne (§ 66b ust. 2 KPK) udzielane jest na wniosek osób wymienionych w § 66b ust. 1 KPK na warunkach tam określonych, jak również w przypadku samodzielnych wniosków zgodnie z § 8a, § 33 ust. 2 i § 34 ust. 3.”.</w:t>
      </w:r>
    </w:p>
    <w:p w14:paraId="0B11319C" w14:textId="77777777" w:rsidR="004C59F5" w:rsidRPr="00E61BFF" w:rsidRDefault="004C59F5" w:rsidP="00B47DC9">
      <w:pPr>
        <w:pStyle w:val="22NovAo2"/>
      </w:pPr>
      <w:r>
        <w:t xml:space="preserve">38. W § 42, wyraz </w:t>
      </w:r>
      <w:r>
        <w:rPr>
          <w:i w:val="0"/>
        </w:rPr>
        <w:t>„prawnie”</w:t>
      </w:r>
      <w:r>
        <w:t xml:space="preserve"> dodaje się przed wyrazami </w:t>
      </w:r>
      <w:r>
        <w:rPr>
          <w:i w:val="0"/>
        </w:rPr>
        <w:t>„przestępstwo podlegające karze”</w:t>
      </w:r>
      <w:r>
        <w:t>.</w:t>
      </w:r>
    </w:p>
    <w:p w14:paraId="2DA8DC94" w14:textId="77777777" w:rsidR="004C59F5" w:rsidRPr="00E61BFF" w:rsidRDefault="004C59F5" w:rsidP="00B47DC9">
      <w:pPr>
        <w:pStyle w:val="22NovAo2"/>
      </w:pPr>
      <w:r>
        <w:t xml:space="preserve">39. W § 50 ust. 1 wyrazy </w:t>
      </w:r>
      <w:r>
        <w:rPr>
          <w:i w:val="0"/>
        </w:rPr>
        <w:t>„operator medialny”</w:t>
      </w:r>
      <w:r>
        <w:t xml:space="preserve"> zastępuje się wyrazami </w:t>
      </w:r>
      <w:r>
        <w:rPr>
          <w:i w:val="0"/>
        </w:rPr>
        <w:t>„właściciel mediów”</w:t>
      </w:r>
      <w:r>
        <w:t>.</w:t>
      </w:r>
    </w:p>
    <w:p w14:paraId="4222E85E" w14:textId="77777777" w:rsidR="004C59F5" w:rsidRPr="00E61BFF" w:rsidRDefault="004C59F5" w:rsidP="000B6E75">
      <w:pPr>
        <w:pStyle w:val="21NovAo1"/>
      </w:pPr>
      <w:r>
        <w:t>40. W § 55 dodaje się ust. 11 w brzmieniu:</w:t>
      </w:r>
    </w:p>
    <w:p w14:paraId="50392661" w14:textId="77777777" w:rsidR="004C59F5" w:rsidRPr="00E61BFF" w:rsidRDefault="004C59F5" w:rsidP="000B6E75">
      <w:pPr>
        <w:pStyle w:val="51Abs"/>
      </w:pPr>
      <w:r>
        <w:t>„(11) Nazwy i tytuły podpunktów pierwszego, drugiego, trzeciego i czwartego w § 3, § 6 ust. 1, § 7 ust. 1, § 7(a) ust. 1 pkt 1 lit. (a) i 2, § 7b ust. 1, § 7c ust. 1, § 8 ust. 1, 2 i 4, § 8a ust. 2 i 4, § 10 ust. 1 pkt 3, § 11 ust. 1 pkt 10, § 13 ust. 7, § 14 ust. 2 i 3, § 15 ust. 1 i 3, § 16 ust. 1, § 20 ust. 2, § 30, § 32, § 33 ust. 2, § 33a, § 34 ust. 3, § 36 ust. 1 i 2, § 36(b), § 41 ust. 1, § 41 ust. 1, 5, 7, 8 i 9, § 42 i § 50 ust. 1 zmienione Federalnym Dziennikiem Ustaw I nr 148/2020 wchodzą w życie z dniem 1 stycznia 2021 r; w tym samym czasie moc obowiązującą traci § 33 ust. 3.”.</w:t>
      </w:r>
    </w:p>
    <w:p w14:paraId="3B8234F9" w14:textId="77777777" w:rsidR="004C59F5" w:rsidRPr="00E61BFF" w:rsidRDefault="004C59F5" w:rsidP="000B6E75">
      <w:pPr>
        <w:pStyle w:val="21NovAo1"/>
      </w:pPr>
      <w:r>
        <w:t>41. W § 56 dodaje się ust. 3 w brzmieniu:</w:t>
      </w:r>
    </w:p>
    <w:p w14:paraId="0D371737" w14:textId="77777777" w:rsidR="004C59F5" w:rsidRPr="00E61BFF" w:rsidRDefault="004C59F5" w:rsidP="00B47DC9">
      <w:pPr>
        <w:pStyle w:val="51Abs"/>
      </w:pPr>
      <w:r>
        <w:t>„(3)§ 6 ust. 1, § 7 ust. 1, § 7a ust. 1, § 7 ust. 1 lit. a) i ust. 2, § 7b ust. 1, § 7c ust. 1, § 8 ust. 1, 2 i 4, § 8a ust. 2 i 4, § 10 ust. 1 pkt 3, § 11 ust. 1 pkt 10, § 13 ust. 7, § 14 ust. 2 i 3, 15 ust. 1 i 3, § 16 ust. 1, § 20 ust. 2, § 30, § 32, § 33 ust. 2, § 33a, § 34 ust. 3, § 36 ust. 1 i 2, § 36b, § 41 ust. 1, 5, 7, 8 i 9, § 42 oraz § 50 ust. 1 w brzmieniu zmienionym przez Federalny Dziennik Ustaw I nr 148/2020 mają zastosowanie wyłącznie do komunikatów lub wykonań rozpowszechnionych po wejściu w życie federalnego Dziennika Ustaw I nr 148/2020”.</w:t>
      </w:r>
    </w:p>
    <w:p w14:paraId="15825BE5" w14:textId="77777777" w:rsidR="004C59F5" w:rsidRPr="00E61BFF" w:rsidRDefault="004C59F5" w:rsidP="00B47DC9">
      <w:pPr>
        <w:pStyle w:val="21NovAo1"/>
      </w:pPr>
      <w:r>
        <w:lastRenderedPageBreak/>
        <w:t xml:space="preserve">42. Dotychczasowy § 57 otrzymuje oznaczenie </w:t>
      </w:r>
      <w:r>
        <w:rPr>
          <w:b/>
          <w:i w:val="0"/>
        </w:rPr>
        <w:t>„§ 58.”</w:t>
      </w:r>
      <w:r>
        <w:t>; Po art. 56 dodaje się art. 57 wraz z nagłówkiem w brzmieniu:</w:t>
      </w:r>
    </w:p>
    <w:p w14:paraId="450C1B89" w14:textId="77777777" w:rsidR="004C59F5" w:rsidRPr="00E61BFF" w:rsidRDefault="004C59F5" w:rsidP="000B6E75">
      <w:pPr>
        <w:pStyle w:val="45UeberschrPara"/>
      </w:pPr>
      <w:r>
        <w:t>„Wdrażanie dyrektyw Unii Europejskiej</w:t>
      </w:r>
    </w:p>
    <w:p w14:paraId="7C892B36" w14:textId="77777777" w:rsidR="004C59F5" w:rsidRPr="00E61BFF" w:rsidRDefault="004C59F5" w:rsidP="000B6E75">
      <w:pPr>
        <w:pStyle w:val="51Abs"/>
      </w:pPr>
      <w:r>
        <w:rPr>
          <w:rStyle w:val="991GldSymbol"/>
        </w:rPr>
        <w:t>§ 57.</w:t>
      </w:r>
      <w:r>
        <w:t> §§ 33, 33a, 36, 36a i 36b służą transpozycji</w:t>
      </w:r>
    </w:p>
    <w:p w14:paraId="354BABA8" w14:textId="77777777" w:rsidR="004C59F5" w:rsidRPr="00E61BFF" w:rsidRDefault="004C59F5" w:rsidP="000B6E75">
      <w:pPr>
        <w:pStyle w:val="52Aufzaehle1Ziffer"/>
      </w:pPr>
      <w:r>
        <w:tab/>
        <w:t>1.</w:t>
      </w:r>
      <w:r>
        <w:tab/>
        <w:t>Art. 21 dyrektywy (UE) 2017/541 w sprawie zwalczania terroryzmu i zastępującej decyzję ramową Rady 2002/475/WSiSW oraz zmieniającej decyzję Rady 2005/671/WSiSW, Dz.U. 88, 31.3.2017, str. 6, i</w:t>
      </w:r>
    </w:p>
    <w:p w14:paraId="33051B62" w14:textId="77777777" w:rsidR="004C59F5" w:rsidRPr="00E61BFF" w:rsidRDefault="004C59F5" w:rsidP="000B6E75">
      <w:pPr>
        <w:pStyle w:val="52Aufzaehle1Ziffer"/>
      </w:pPr>
      <w:r>
        <w:tab/>
        <w:t>2.</w:t>
      </w:r>
      <w:r>
        <w:tab/>
        <w:t>Art. 25 dyrektywy 2011/93/UE w sprawie zwalczania niegodziwego traktowania w celach seksualnych i wykorzystywania seksualnego dzieci oraz pornografii dziecięcej, zastępującej decyzję ramową Rady 2004/68/WSiSW, Dz.U. 335, 17.12.2011, str. 1.”</w:t>
      </w:r>
    </w:p>
    <w:p w14:paraId="65F83FCA" w14:textId="77777777" w:rsidR="004C59F5" w:rsidRPr="00E61BFF" w:rsidRDefault="004C59F5" w:rsidP="000B6E75">
      <w:pPr>
        <w:pStyle w:val="41UeberschrG1"/>
      </w:pPr>
      <w:r>
        <w:t>Artykuł 10</w:t>
      </w:r>
    </w:p>
    <w:p w14:paraId="7FB40344" w14:textId="77777777" w:rsidR="004C59F5" w:rsidRPr="00E61BFF" w:rsidRDefault="004C59F5" w:rsidP="000B6E75">
      <w:pPr>
        <w:pStyle w:val="43UeberschrG2"/>
      </w:pPr>
      <w:r>
        <w:t>Nowelizacja kodeksu postępowania karnego z 1975 r.</w:t>
      </w:r>
    </w:p>
    <w:p w14:paraId="37EE5492" w14:textId="77777777" w:rsidR="004C59F5" w:rsidRPr="00E61BFF" w:rsidRDefault="004C59F5" w:rsidP="000B6E75">
      <w:pPr>
        <w:pStyle w:val="12PromKlEinlSatz"/>
      </w:pPr>
      <w:r>
        <w:t>W kodeksie postępowania karnego z 1975 r., Federalny Dz.U. nr 631/1975, ostatnio zmienionym ustawą opublikowaną w Federalnym Dz.U. I nr 24/2020, wprowadza się następujące zmiany:</w:t>
      </w:r>
    </w:p>
    <w:p w14:paraId="4D2F2B19" w14:textId="77777777" w:rsidR="004C59F5" w:rsidRPr="00E61BFF" w:rsidRDefault="004C59F5" w:rsidP="000B6E75">
      <w:pPr>
        <w:pStyle w:val="21NovAo1"/>
      </w:pPr>
      <w:r>
        <w:t>1. W spisie treści po pozycji dotyczącej § 66a dodaje się pozycję w brzmieniu:</w:t>
      </w:r>
    </w:p>
    <w:p w14:paraId="2595318E" w14:textId="77777777" w:rsidR="004C59F5" w:rsidRPr="00E61BFF" w:rsidRDefault="005E1FCD" w:rsidP="005E1FCD">
      <w:pPr>
        <w:pStyle w:val="32InhaltEintragEinzug"/>
      </w:pPr>
      <w:r>
        <w:tab/>
        <w:t>„§ 66b Wsparcie procesowe”.</w:t>
      </w:r>
    </w:p>
    <w:p w14:paraId="679AD566" w14:textId="77777777" w:rsidR="004C59F5" w:rsidRPr="00E61BFF" w:rsidRDefault="004C59F5" w:rsidP="005E1FCD">
      <w:pPr>
        <w:pStyle w:val="22NovAo2"/>
      </w:pPr>
      <w:r>
        <w:t xml:space="preserve">2. W § 30 ust. 1 pkt 3a słowo </w:t>
      </w:r>
      <w:r>
        <w:rPr>
          <w:i w:val="0"/>
        </w:rPr>
        <w:t>„ciągły”</w:t>
      </w:r>
      <w:r>
        <w:t xml:space="preserve"> zastępuje się słowem </w:t>
      </w:r>
      <w:r>
        <w:rPr>
          <w:i w:val="0"/>
        </w:rPr>
        <w:t>„ciągły”</w:t>
      </w:r>
      <w:r>
        <w:t>.</w:t>
      </w:r>
    </w:p>
    <w:p w14:paraId="39F98877" w14:textId="77777777" w:rsidR="004C59F5" w:rsidRPr="00E61BFF" w:rsidRDefault="004C59F5" w:rsidP="000B6E75">
      <w:pPr>
        <w:pStyle w:val="21NovAo1"/>
      </w:pPr>
      <w:r>
        <w:t>3. W § 31 ust. 1 kropkę na końcu pkt 5 zastępuje się przecinkiem i dodaje się pkt 6 w brzmieniu:</w:t>
      </w:r>
    </w:p>
    <w:p w14:paraId="34F511FA" w14:textId="77777777" w:rsidR="004C59F5" w:rsidRPr="00E61BFF" w:rsidRDefault="005E1FCD" w:rsidP="005E1FCD">
      <w:pPr>
        <w:pStyle w:val="52Aufzaehle1Ziffer"/>
      </w:pPr>
      <w:r>
        <w:tab/>
        <w:t>„6.</w:t>
      </w:r>
      <w:r>
        <w:tab/>
        <w:t>postępowanie w sprawie wniosków o wydanie nakazu przeprowadzenia postępowania przygotowawczego wobec oskarżonego (§ 71 ust. 1 zdanie drugie).”.</w:t>
      </w:r>
    </w:p>
    <w:p w14:paraId="38BF6801" w14:textId="77777777" w:rsidR="004C59F5" w:rsidRPr="00E61BFF" w:rsidRDefault="004C59F5" w:rsidP="000B6E75">
      <w:pPr>
        <w:pStyle w:val="21NovAo1"/>
      </w:pPr>
      <w:r>
        <w:t xml:space="preserve">4. Aktualny § 49 otrzymuje nazwę ustępu </w:t>
      </w:r>
      <w:r>
        <w:rPr>
          <w:i w:val="0"/>
        </w:rPr>
        <w:t>„(1)”</w:t>
      </w:r>
      <w:r>
        <w:t xml:space="preserve"> oraz dodaje się ust. 2 w brzmieniu:</w:t>
      </w:r>
    </w:p>
    <w:p w14:paraId="2205D372" w14:textId="77777777" w:rsidR="004C59F5" w:rsidRPr="00E61BFF" w:rsidRDefault="004C59F5" w:rsidP="000B6E75">
      <w:pPr>
        <w:pStyle w:val="51Abs"/>
      </w:pPr>
      <w:r>
        <w:t>„(2) Oskarżony ma prawo do udzielenia dostępu do akt (§ 68) ofiarom, stronom prywatnym lub oskarżycielom prywatnym jedynie w zakresie niezbędnym do ochrony ich interesów.”.</w:t>
      </w:r>
    </w:p>
    <w:p w14:paraId="548D712A" w14:textId="77777777" w:rsidR="004C59F5" w:rsidRPr="00E61BFF" w:rsidRDefault="004C59F5" w:rsidP="001B6B96">
      <w:pPr>
        <w:pStyle w:val="22NovAo2"/>
      </w:pPr>
      <w:r>
        <w:t>5. Skreśla się § 66 ust. 2 i 4.</w:t>
      </w:r>
    </w:p>
    <w:p w14:paraId="513B2D4D" w14:textId="77777777" w:rsidR="004C59F5" w:rsidRPr="00E61BFF" w:rsidRDefault="004C59F5" w:rsidP="000B6E75">
      <w:pPr>
        <w:pStyle w:val="21NovAo1"/>
      </w:pPr>
      <w:r>
        <w:t>6. Po § 66a dodaje się § 66b z nagłówkiem w brzmieniu:8</w:t>
      </w:r>
    </w:p>
    <w:p w14:paraId="6645C307" w14:textId="77777777" w:rsidR="004C59F5" w:rsidRPr="00E61BFF" w:rsidRDefault="004C59F5" w:rsidP="000B6E75">
      <w:pPr>
        <w:pStyle w:val="45UeberschrPara"/>
      </w:pPr>
      <w:r>
        <w:t>„Wsparcie procesowe</w:t>
      </w:r>
    </w:p>
    <w:p w14:paraId="1D57DE81" w14:textId="77777777" w:rsidR="004C59F5" w:rsidRPr="00E61BFF" w:rsidRDefault="004C59F5" w:rsidP="000B6E75">
      <w:pPr>
        <w:pStyle w:val="51Abs"/>
      </w:pPr>
      <w:r>
        <w:rPr>
          <w:rStyle w:val="991GldSymbol"/>
        </w:rPr>
        <w:t>§ 66b;</w:t>
      </w:r>
      <w:r>
        <w:t xml:space="preserve"> (1) Na ich żądanie,</w:t>
      </w:r>
    </w:p>
    <w:p w14:paraId="4EFFB11C" w14:textId="77777777" w:rsidR="004C59F5" w:rsidRPr="00E61BFF" w:rsidRDefault="004C59F5" w:rsidP="000B6E75">
      <w:pPr>
        <w:pStyle w:val="52Aufzaehle2Lit"/>
      </w:pPr>
      <w:r>
        <w:tab/>
        <w:t>a)</w:t>
      </w:r>
      <w:r>
        <w:tab/>
        <w:t>ofiarom w rozumieniu § 65 pkt 1 lit. a) lub b),</w:t>
      </w:r>
    </w:p>
    <w:p w14:paraId="423A6C7E" w14:textId="77777777" w:rsidR="004C59F5" w:rsidRPr="00E61BFF" w:rsidRDefault="004C59F5" w:rsidP="000B6E75">
      <w:pPr>
        <w:pStyle w:val="52Aufzaehle2Lit"/>
      </w:pPr>
      <w:r>
        <w:tab/>
        <w:t>b)</w:t>
      </w:r>
      <w:r>
        <w:tab/>
        <w:t>ofiarom (§ 65 pkt 1) przestępstw o charakterze terrorystycznym (§ 278c KPK),</w:t>
      </w:r>
    </w:p>
    <w:p w14:paraId="5660F823" w14:textId="77777777" w:rsidR="004C59F5" w:rsidRPr="00E61BFF" w:rsidRDefault="004C59F5" w:rsidP="000B6E75">
      <w:pPr>
        <w:pStyle w:val="52Aufzaehle2Lit"/>
      </w:pPr>
      <w:r>
        <w:tab/>
        <w:t>c)</w:t>
      </w:r>
      <w:r>
        <w:tab/>
        <w:t>ofiarom (§ 65 pkt 1) uporczywego prześladowania (§ 107a KPK), notorycznego nękania drogą telekomunikacyjną lub przy użyciu systemu komputerowego (§ 107c KPK) i nawoływania do nienawiści (§ 283 KPK),</w:t>
      </w:r>
    </w:p>
    <w:p w14:paraId="611C32CD" w14:textId="77777777" w:rsidR="004C59F5" w:rsidRPr="00E61BFF" w:rsidRDefault="004C59F5" w:rsidP="000B6E75">
      <w:pPr>
        <w:pStyle w:val="52Aufzaehle2Lit"/>
      </w:pPr>
      <w:r>
        <w:tab/>
        <w:t>d)</w:t>
      </w:r>
      <w:r>
        <w:tab/>
        <w:t>ofiarom (§ 65 ust. 1 kodeksu karnego), oskarżenie o popełnienie przestępstwa (§ 111 KPK), które zostało już oddalone (§ 113 kodeksu karnego), znieważenie (§ 115 KPK) i zniesławienie (§ 297 KPK), gdy na podstawie pewnych dowodów można przyjąć, że czyn taki został popełniony za pomocą telekomunikacji lub przy użyciu systemu informatycznego; oraz</w:t>
      </w:r>
    </w:p>
    <w:p w14:paraId="11D5C562" w14:textId="77777777" w:rsidR="004C59F5" w:rsidRPr="00E61BFF" w:rsidRDefault="004C59F5" w:rsidP="000B6E75">
      <w:pPr>
        <w:pStyle w:val="52Aufzaehle2Lit"/>
      </w:pPr>
      <w:r>
        <w:tab/>
        <w:t>e)</w:t>
      </w:r>
      <w:r>
        <w:tab/>
        <w:t>małoletnim, którzy byli świadkami przemocy w najbliższym otoczeniu (przemoc w rodzinie, przemoc wobec dzieci),</w:t>
      </w:r>
    </w:p>
    <w:p w14:paraId="5101EB16" w14:textId="77777777" w:rsidR="004C59F5" w:rsidRPr="00E61BFF" w:rsidRDefault="004C59F5" w:rsidP="001B6B96">
      <w:pPr>
        <w:pStyle w:val="58Schlussteile0Abs"/>
      </w:pPr>
      <w:r>
        <w:t>udzielanie wsparcia psychospołecznego i prawnego w postępowaniu w zakresie niezbędnym do ochrony praw procesowych z najwyższym uwzględnieniem ich osobistej troski. Ofiarom, których integralność seksualna mogła zostać naruszona i które nie ukończyły jeszcze czternastego roku życia, udziela się w każdym przypadku psychospołecznego wsparcia procesowego.</w:t>
      </w:r>
    </w:p>
    <w:p w14:paraId="51A48475" w14:textId="77777777" w:rsidR="004C59F5" w:rsidRPr="00E61BFF" w:rsidRDefault="004C59F5" w:rsidP="000B6E75">
      <w:pPr>
        <w:pStyle w:val="51Abs"/>
      </w:pPr>
      <w:r>
        <w:t>(2) Psychospołeczne wsparcie procesowe obejmuje przygotowanie pokrzywdzonych do postępowania i związanych z nim obciążeń emocjonalnych oraz wsparcie podczas przesłuchań w postępowaniu przygotowawczym i głównym, a prawne wsparcie procesowe – doradztwo prawne i reprezentowanie przez adwokata.</w:t>
      </w:r>
    </w:p>
    <w:p w14:paraId="2F7A51B3" w14:textId="77777777" w:rsidR="004C59F5" w:rsidRPr="00E61BFF" w:rsidRDefault="004C59F5" w:rsidP="000B6E75">
      <w:pPr>
        <w:pStyle w:val="51Abs"/>
      </w:pPr>
      <w:r>
        <w:t xml:space="preserve">(3) Federalny Minister Sprawiedliwości jest upoważniony, po zbadaniu wymogów prawnych, do zawarcia umowy o przyznaniu osobom, o których mowa w ust. 1, dalszych szczegółowych przepisów dotyczących warunków zlecania takich instytucji oraz, w porozumieniu z Federalnym Ministrem ds. Kobiet </w:t>
      </w:r>
      <w:r>
        <w:lastRenderedPageBreak/>
        <w:t>i Integracji w Kancelarii Federalnej oraz Federalnym Ministrem ds. Pracy, Rodziny i Młodzieży, dotyczących standardów jakości monitorowania procesu, w szczególności w zakresie szkolenia i dokształcania uczestników procesu.”.</w:t>
      </w:r>
    </w:p>
    <w:p w14:paraId="029D07AA" w14:textId="77777777" w:rsidR="004C59F5" w:rsidRPr="00E61BFF" w:rsidRDefault="004C59F5" w:rsidP="001B6B96">
      <w:pPr>
        <w:pStyle w:val="22NovAo2"/>
      </w:pPr>
      <w:r>
        <w:t xml:space="preserve">7. W § 67 ust. 7 i w § 381 ust. 1 pkt 9 wyrażenie w nawiasie </w:t>
      </w:r>
      <w:r>
        <w:rPr>
          <w:i w:val="0"/>
        </w:rPr>
        <w:t>„(§ 66 ust. 2)”</w:t>
      </w:r>
      <w:r>
        <w:t xml:space="preserve"> zastępuje się za każdym razem wyrażeniem w nawiasie </w:t>
      </w:r>
      <w:r>
        <w:rPr>
          <w:i w:val="0"/>
        </w:rPr>
        <w:t>„(§ 66b)”</w:t>
      </w:r>
      <w:r>
        <w:t>.</w:t>
      </w:r>
    </w:p>
    <w:p w14:paraId="5D3BAABF" w14:textId="77777777" w:rsidR="004C59F5" w:rsidRPr="00E61BFF" w:rsidRDefault="004C59F5" w:rsidP="001B6B96">
      <w:pPr>
        <w:pStyle w:val="22NovAo2"/>
      </w:pPr>
      <w:r>
        <w:t xml:space="preserve">8. W § 70 ust. 2 wyrażenie </w:t>
      </w:r>
      <w:r>
        <w:rPr>
          <w:i w:val="0"/>
        </w:rPr>
        <w:t>„§ 65 ust. 1 lit. a) lub b) oraz ofiary (§ 65 ust. 1) przestępstw terrorystycznych (§ 278c KPK)”</w:t>
      </w:r>
      <w:r>
        <w:t xml:space="preserve"> zastępuje się wyrażeniem </w:t>
      </w:r>
      <w:r>
        <w:rPr>
          <w:i w:val="0"/>
        </w:rPr>
        <w:t>„§ 66b ust. 1 lit. a)–d)”</w:t>
      </w:r>
      <w:r>
        <w:t>.</w:t>
      </w:r>
    </w:p>
    <w:p w14:paraId="55123EC0" w14:textId="77777777" w:rsidR="004C59F5" w:rsidRPr="00E61BFF" w:rsidRDefault="004C59F5" w:rsidP="000B6E75">
      <w:pPr>
        <w:pStyle w:val="21NovAo1"/>
      </w:pPr>
      <w:r>
        <w:t>9. § 71 otrzymuje brzmienie:</w:t>
      </w:r>
    </w:p>
    <w:p w14:paraId="37FE22AB" w14:textId="77777777" w:rsidR="004C59F5" w:rsidRPr="00E61BFF" w:rsidRDefault="004C59F5" w:rsidP="000B6E75">
      <w:pPr>
        <w:pStyle w:val="51Abs"/>
      </w:pPr>
      <w:r>
        <w:t>„</w:t>
      </w:r>
      <w:r>
        <w:rPr>
          <w:rStyle w:val="991GldSymbol"/>
        </w:rPr>
        <w:t>§ 71.</w:t>
      </w:r>
      <w:r>
        <w:t xml:space="preserve"> (1) Czyny przestępcze, których popełnienie należy ścigać wyłącznie na wniosek ofiary, określa prawo. W celu przeprowadzenia dochodzenia w sprawie oskarżonego o popełnienie przestępstwa (§ 111 KPK), oskarżenie o przestępstwo, które zostało już umorzone (§ 113 KPK) lub znieważenie (§ 115 KPK) popełnione za pomocą telekomunikacji lub przy użyciu systemu komputerowego, pokrzywdzony może złożyć wniosek do sądu (§ 31 ust. 1 pkt 6) o wydanie nakazu na podstawie § 76a lub § 135 ust. 2 pkt 2, który musi spełniać wymogi wniosku dowodowego (§ 55). Pokrzywdzony jest uprawniony do złożenia wniosku, o ile nie jest to oczywiste, w uzasadnieniu. Sąd jest zobowiązany do orzekania w sprawie zarządzenia wnioskowanych środków dochodzeniowych zgodnie z odpowiednimi przepisami. Przepis § 104 ust. 1 zdanie ostatnie oraz § 210 ust. 3 zdanie drugie stosuje się odpowiednio.</w:t>
      </w:r>
    </w:p>
    <w:p w14:paraId="2B84C893" w14:textId="77777777" w:rsidR="004C59F5" w:rsidRPr="00E61BFF" w:rsidRDefault="004C59F5" w:rsidP="000B6E75">
      <w:pPr>
        <w:pStyle w:val="51Abs"/>
      </w:pPr>
      <w:r>
        <w:t>(2) W przypadku jego dochodzenia sąd niezwłocznie zawiadamia oskarżonego o orzeczeniu, o którym mowa w ust. 1, i informuje go o prawie do złożenia zażalenia (§ 87). Niezwłocznie po uprawomocnieniu się orzeczenia w stosunku do oskarżonego sąd musi powiadomić ofiarę o danych objętych dochodzeniem zgodnie z § 76a lub o wyniku przekazanym na piśmie (§ 134 ust. 5). W przeciwnym razie ofiara musi zostać poinformowana, że dochodzenie w sprawie oskarżonego nie było możliwe lub że przekazanie danych jest niedozwolone.</w:t>
      </w:r>
    </w:p>
    <w:p w14:paraId="200F69B3" w14:textId="77777777" w:rsidR="004C59F5" w:rsidRPr="00E61BFF" w:rsidRDefault="004C59F5" w:rsidP="000B6E75">
      <w:pPr>
        <w:pStyle w:val="51Abs"/>
      </w:pPr>
      <w:r>
        <w:t>(3) Postępowanie główne w sprawie przestępstw, o których mowa w ust. 1, jest prowadzone na podstawie powództwa prywatnego, które musi być zgodne z wymogami aktu oskarżenia (§ 211) lub niezależnego wniosku oskarżyciela prywatnego o wydanie nakazów kapitałowych na podstawie § 445. Powództwa prywatne wnosi się do właściwego sądu w przypadku wniosku, o którym mowa w ust. 1, w terminie 6 tygodni od daty przekazania informacji zgodnie z ust. 2 zdanie drugie. Uprawnienie do złożenia wniosku i ewentualne roszczenia prywatnoprawne należy przedstawić w uzasadnieniu, o ile nie są oczywiste. To samo dotyczy niezależnego wniosku o wydanie nakazów kapitałowych na podstawie § 445.</w:t>
      </w:r>
    </w:p>
    <w:p w14:paraId="0A56B7A5" w14:textId="77777777" w:rsidR="004C59F5" w:rsidRPr="00E61BFF" w:rsidRDefault="004C59F5" w:rsidP="000B6E75">
      <w:pPr>
        <w:pStyle w:val="51Abs"/>
      </w:pPr>
      <w:r>
        <w:t>(4) W przypadkach, o których mowa w § 117 ust. 2 i 3 kodeksu karnego, ofiara jest uprawniona do wytoczenia powództwa prywatnego, jeżeli nie udzieli lub nie cofnie upoważnienia do ścigania (§ 92). Nie jest uprawniona do oskarżenia osoba, która wyraźnie się go zrzekła lub wybaczyła popełnienie przestępstwa. § 57 i 58 kodeksu karnego pozostają bez zmian.</w:t>
      </w:r>
    </w:p>
    <w:p w14:paraId="3BCFF096" w14:textId="77777777" w:rsidR="004C59F5" w:rsidRPr="00E61BFF" w:rsidRDefault="004C59F5" w:rsidP="000B6E75">
      <w:pPr>
        <w:pStyle w:val="51Abs"/>
      </w:pPr>
      <w:r>
        <w:t>(5) Spóźnione (ust. 3) powództwa prywatne i wnioski o wydanie nakazów majątkowych na własny rachunek zgodnie z § 445 muszą zostać oddalone na mocy postanowienia sądu, a ponadto powództwo prywatne lub wniosek o wydanie nakazów kapitałowych zgodnie do § 445 należy powiadomić pozwanego lub pozwanego i strony zobowiązania z pouczeniem, że mają one prawo do przedstawienia swoich uwag w terminie 14 dni. Zgodnie z tym przepisem sąd jest zobowiązany zorganizować rozprawę główną, chyba że nastąpi to na podstawie § 451 lub § 485.</w:t>
      </w:r>
    </w:p>
    <w:p w14:paraId="334D7473" w14:textId="77777777" w:rsidR="004C59F5" w:rsidRPr="00E61BFF" w:rsidRDefault="004C59F5" w:rsidP="000B6E75">
      <w:pPr>
        <w:pStyle w:val="51Abs"/>
      </w:pPr>
      <w:r>
        <w:t>(6) W postępowaniu głównym oskarżyciel prywatny ma co do zasady takie same prawa jak prokurator; jest on jednak uprawniony do ubiegania się o środki przymusu jedynie w zakresie, w jakim jest to konieczne do zabezpieczenia dowodów lub nakazów majątkowych. Nie jest on uprawniony do ubiegania się o środki przymusu uregulowane w rozdz. IX.</w:t>
      </w:r>
    </w:p>
    <w:p w14:paraId="3D791DF8" w14:textId="77777777" w:rsidR="004C59F5" w:rsidRPr="00E61BFF" w:rsidRDefault="004C59F5" w:rsidP="000B6E75">
      <w:pPr>
        <w:pStyle w:val="51Abs"/>
      </w:pPr>
      <w:r>
        <w:t>(7) Jeżeli oskarżyciel prywatny nie uczestniczy w rozprawie głównej lub nie złoży niezbędnych wniosków, zakłada się, że odstąpił on od oskarżenia. W takich przypadkach postępowanie zostaje zakończone decyzją.”.</w:t>
      </w:r>
    </w:p>
    <w:p w14:paraId="6A7F83CA" w14:textId="77777777" w:rsidR="004C59F5" w:rsidRPr="00E61BFF" w:rsidRDefault="004C59F5" w:rsidP="001B6B96">
      <w:pPr>
        <w:pStyle w:val="22NovAo2"/>
      </w:pPr>
      <w:r>
        <w:t>10. W § 76a ust. 1 po wyrazach „</w:t>
      </w:r>
      <w:r>
        <w:rPr>
          <w:i w:val="0"/>
        </w:rPr>
        <w:t>„usługi komunikacyjne</w:t>
      </w:r>
      <w:r>
        <w:t>” dodaje się wyrazy „</w:t>
      </w:r>
      <w:r>
        <w:rPr>
          <w:i w:val="0"/>
        </w:rPr>
        <w:t xml:space="preserve">i inni usługodawcy (§ 3 ust. 2 ECG), </w:t>
      </w:r>
      <w:r>
        <w:t>” a po wyrazach „</w:t>
      </w:r>
      <w:r>
        <w:rPr>
          <w:i w:val="0"/>
        </w:rPr>
        <w:t>uczestnicy (§ 90 ust. 7 TKG)</w:t>
      </w:r>
      <w:r>
        <w:t>” dodaje się wyrazy „</w:t>
      </w:r>
      <w:r>
        <w:rPr>
          <w:i w:val="0"/>
        </w:rPr>
        <w:t xml:space="preserve"> lub użytkownicy innej usługi (§ 3 ust. 4 ECG)</w:t>
      </w:r>
      <w:r>
        <w:t>”.</w:t>
      </w:r>
    </w:p>
    <w:p w14:paraId="38EFCE46" w14:textId="77777777" w:rsidR="004C59F5" w:rsidRPr="00E61BFF" w:rsidRDefault="004C59F5" w:rsidP="000B6E75">
      <w:pPr>
        <w:pStyle w:val="21NovAo1"/>
      </w:pPr>
      <w:r>
        <w:t>11. W § 390 ust. 1 po ust. 1 dodaje się ust. 1a w brzmieniu:</w:t>
      </w:r>
    </w:p>
    <w:p w14:paraId="62C930DD" w14:textId="77777777" w:rsidR="004C59F5" w:rsidRPr="00E61BFF" w:rsidRDefault="004C59F5" w:rsidP="000B6E75">
      <w:pPr>
        <w:pStyle w:val="51Abs"/>
      </w:pPr>
      <w:r>
        <w:t xml:space="preserve">„(1a) W postępowaniu karnym w oparciu o zarzuty karne (§ 111 KPK), oskarżenie o przestępstwo już umorzone (§ 113 KPK) lub zniewagę (§ 115 kodeksu karnego) popełnione za pomocą środków </w:t>
      </w:r>
      <w:r>
        <w:lastRenderedPageBreak/>
        <w:t>telekomunikacyjnych lub korzystając z systemu informatycznego, oskarżyciel prywatny lub powód (§ 71 ust. 1) jest zobowiązany do zwrotu kosztów tylko wtedy, gdy świadomie niesłusznie podniósł zarzut.”.</w:t>
      </w:r>
    </w:p>
    <w:p w14:paraId="5B647B87" w14:textId="77777777" w:rsidR="004C59F5" w:rsidRPr="00E61BFF" w:rsidRDefault="004C59F5" w:rsidP="000B6E75">
      <w:pPr>
        <w:pStyle w:val="21NovAo1"/>
      </w:pPr>
      <w:r>
        <w:t>12. W § 393 po ust. 4 dodaje się ust. 4a w brzmieniu:</w:t>
      </w:r>
    </w:p>
    <w:p w14:paraId="38E3E3CD" w14:textId="77777777" w:rsidR="004C59F5" w:rsidRPr="00E61BFF" w:rsidRDefault="004C59F5" w:rsidP="000B6E75">
      <w:pPr>
        <w:pStyle w:val="51Abs"/>
      </w:pPr>
      <w:r>
        <w:t>„(4a) Jeżeli postępowanie karne w postępowaniu karnym kończy się na podstawie popełnienia przestępstwa (§ 111 KPK), zarzut popełnienia już umorzonego przestępstwa (§ 113 KPK) lub zniewagi (§ 115 KPK) oskarżyciel prywatny w postępowaniu głównym i odwoławczym zwraca pozwanemu wszystkie koszty obrony, chyba że nie istnieje obowiązek wypłaty odszkodowania na podstawie ust. 4.”.</w:t>
      </w:r>
    </w:p>
    <w:p w14:paraId="19A70FAF" w14:textId="77777777" w:rsidR="00870E6F" w:rsidRPr="00E61BFF" w:rsidRDefault="00870E6F" w:rsidP="00870E6F">
      <w:pPr>
        <w:pStyle w:val="22NovAo2"/>
      </w:pPr>
      <w:r>
        <w:t xml:space="preserve">12a. W § 395 ust. 1 po wyrażeniu </w:t>
      </w:r>
      <w:r>
        <w:rPr>
          <w:i w:val="0"/>
        </w:rPr>
        <w:t>„ust. 4”</w:t>
      </w:r>
      <w:r>
        <w:t xml:space="preserve"> dodaje się wyrażenie </w:t>
      </w:r>
      <w:r>
        <w:rPr>
          <w:i w:val="0"/>
        </w:rPr>
        <w:t>„ust. 4a”</w:t>
      </w:r>
      <w:r>
        <w:t>.</w:t>
      </w:r>
    </w:p>
    <w:p w14:paraId="391168BE" w14:textId="77777777" w:rsidR="004C59F5" w:rsidRPr="00E61BFF" w:rsidRDefault="004C59F5" w:rsidP="000B6E75">
      <w:pPr>
        <w:pStyle w:val="21NovAo1"/>
      </w:pPr>
      <w:r>
        <w:t>13. W § 514 dodaje się ust. 46 w brzmieniu:</w:t>
      </w:r>
    </w:p>
    <w:p w14:paraId="6BEC1564" w14:textId="77777777" w:rsidR="004C59F5" w:rsidRPr="00E61BFF" w:rsidRDefault="004C59F5" w:rsidP="000B6E75">
      <w:pPr>
        <w:pStyle w:val="51Abs"/>
      </w:pPr>
      <w:r>
        <w:t>„(46) Wpis tytułu § 66b w spisie treści oraz§ 30 ust. 1 pkt 3a, § 31 ust. 1, § 49, § 66b, § 67 ust. 7, § 70 ust. 2, § 71, § 76a ust. 1, § 381 ust. 1 pkt 9, § 390 ust. 1a, § 393a ust. 4a, § 395 ust. 1 i § 516a ust. 12 zmienione Federalnym Dziennikiem Ustaw I nr 148/2020, wchodzi w życie z dniem 1 stycznia 2021 r; jednocześnie skreśla się § 66 ust. 2 i 4. § 390 ust. 1a i § 393 ust. 4a, zmienione Federalnym Dziennikiem Ustawowym I nr 148/2020, wchodzą w życie i zostają uchylone w dniu 31 grudnia 2023 r.”.</w:t>
      </w:r>
    </w:p>
    <w:p w14:paraId="5AFD8B65" w14:textId="77777777" w:rsidR="004C59F5" w:rsidRPr="00E61BFF" w:rsidRDefault="004C59F5" w:rsidP="000B6E75">
      <w:pPr>
        <w:pStyle w:val="21NovAo1"/>
      </w:pPr>
      <w:r>
        <w:t>14. W § 516a dodaje się ust. 12 w brzmieniu:</w:t>
      </w:r>
    </w:p>
    <w:p w14:paraId="4BD99B73" w14:textId="77777777" w:rsidR="004C59F5" w:rsidRPr="00E61BFF" w:rsidRDefault="004C59F5" w:rsidP="000B6E75">
      <w:pPr>
        <w:pStyle w:val="51Abs"/>
      </w:pPr>
      <w:r>
        <w:t>„(12) § 66b w brzmieniu Federalnego Dziennika Ustaw, Federalny Dz.U. I nr 148/2020, służy transpozycji dyrektywy 2012/29/UE ustanawiającej normy minimalne w zakresie praw, wsparcia i ochrony ofiar przestępstw oraz zastępującej decyzję ramową Rady 2001/220/WSiSW, Dz.U. L 315 z 14.11.2012, s. 57.”.</w:t>
      </w:r>
    </w:p>
    <w:p w14:paraId="762D6AFB" w14:textId="77777777" w:rsidR="004C59F5" w:rsidRPr="00E61BFF" w:rsidRDefault="004C59F5" w:rsidP="000B6E75">
      <w:pPr>
        <w:pStyle w:val="41UeberschrG1"/>
      </w:pPr>
      <w:r>
        <w:t>Artykuł 11</w:t>
      </w:r>
    </w:p>
    <w:p w14:paraId="476E2814" w14:textId="77777777" w:rsidR="004C59F5" w:rsidRPr="00E61BFF" w:rsidRDefault="004C59F5" w:rsidP="000B6E75">
      <w:pPr>
        <w:pStyle w:val="43UeberschrG2"/>
      </w:pPr>
      <w:r>
        <w:t>Wejście w życie</w:t>
      </w:r>
    </w:p>
    <w:p w14:paraId="68045BB5" w14:textId="77777777" w:rsidR="004C59F5" w:rsidRPr="00E61BFF" w:rsidRDefault="004C59F5" w:rsidP="000B6E75">
      <w:pPr>
        <w:pStyle w:val="51Abs"/>
      </w:pPr>
      <w:r>
        <w:rPr>
          <w:rStyle w:val="991GldSymbol"/>
          <w:b w:val="0"/>
        </w:rPr>
        <w:t>Artykuł 8</w:t>
      </w:r>
      <w:r>
        <w:t>; zmieniony ustawą federalną, Federalny Dziennik Ustaw I nr 148/2020 wchodzi w życie z dniem 1 stycznia 2021 r.</w:t>
      </w:r>
    </w:p>
    <w:p w14:paraId="0A3F23CC" w14:textId="77777777" w:rsidR="004C59F5" w:rsidRPr="00E61BFF" w:rsidRDefault="004C59F5" w:rsidP="000B6E75">
      <w:pPr>
        <w:pStyle w:val="41UeberschrG1"/>
      </w:pPr>
      <w:r>
        <w:t>Artykuł 12</w:t>
      </w:r>
    </w:p>
    <w:p w14:paraId="334CF1F2" w14:textId="77777777" w:rsidR="004C59F5" w:rsidRPr="00E61BFF" w:rsidRDefault="004C59F5" w:rsidP="000B6E75">
      <w:pPr>
        <w:pStyle w:val="43UeberschrG2"/>
      </w:pPr>
      <w:r>
        <w:t>Notyfikacja</w:t>
      </w:r>
    </w:p>
    <w:p w14:paraId="29EAAA88" w14:textId="77777777" w:rsidR="004C59F5" w:rsidRPr="00E61BFF" w:rsidRDefault="004C59F5" w:rsidP="000B6E75">
      <w:pPr>
        <w:pStyle w:val="51Abs"/>
      </w:pPr>
      <w:r>
        <w:t>Treść tego przepisu została zgłoszona zgodnie z przepisami dyrektywy Parlamentu Europejskiego i Rady (UE) 2015/1535 z dnia 9 września 2015 r. ustanawiającej procedurę udzielania informacji w dziedzinie przepisów technicznych oraz zasad dotyczących usług społeczeństwa informacyjnego w odniesieniu do numerów powiadomień 2020/547/A i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B6032" w14:textId="77777777" w:rsidR="00CC5443" w:rsidRDefault="00CC5443">
      <w:r>
        <w:separator/>
      </w:r>
    </w:p>
  </w:endnote>
  <w:endnote w:type="continuationSeparator" w:id="0">
    <w:p w14:paraId="216949D4" w14:textId="77777777" w:rsidR="00CC5443" w:rsidRDefault="00CC5443">
      <w:r>
        <w:continuationSeparator/>
      </w:r>
    </w:p>
  </w:endnote>
  <w:endnote w:type="continuationNotice" w:id="1">
    <w:p w14:paraId="066F33BE" w14:textId="77777777" w:rsidR="00CC5443" w:rsidRDefault="00CC5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D87E" w14:textId="77777777" w:rsidR="00CC5443" w:rsidRDefault="00CC5443">
      <w:r>
        <w:separator/>
      </w:r>
    </w:p>
  </w:footnote>
  <w:footnote w:type="continuationSeparator" w:id="0">
    <w:p w14:paraId="5D168AC1" w14:textId="77777777" w:rsidR="00CC5443" w:rsidRDefault="00CC5443">
      <w:r>
        <w:continuationSeparator/>
      </w:r>
    </w:p>
  </w:footnote>
  <w:footnote w:type="continuationNotice" w:id="1">
    <w:p w14:paraId="608EA683" w14:textId="77777777" w:rsidR="00CC5443" w:rsidRDefault="00CC5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Federalny Dziennik Ustaw II - Wydanie z dnia 23 grudnia 2020 r. - nr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z</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Federalny Dziennik Ustaw II - Wydanie z dnia 23 grudnia 2020 r. - nr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z</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z</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3D85"/>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443"/>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1708"/>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pl-PL" w:eastAsia="de-DE"/>
    </w:rPr>
  </w:style>
  <w:style w:type="character" w:customStyle="1" w:styleId="Heading2Char">
    <w:name w:val="Heading 2 Char"/>
    <w:basedOn w:val="DefaultParagraphFont"/>
    <w:link w:val="Heading2"/>
    <w:uiPriority w:val="9"/>
    <w:locked/>
    <w:rPr>
      <w:rFonts w:ascii="Arial" w:hAnsi="Arial" w:cs="Times New Roman"/>
      <w:b/>
      <w:i/>
      <w:sz w:val="24"/>
      <w:lang w:val="pl-PL"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pl-PL"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pl-PL"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pl-PL"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pl-PL"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pl-PL"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pl-PL"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pl-PL"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pl-PL"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pl-PL"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pl-PL"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pl-PL"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pl-PL"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pl-PL" w:eastAsia="de-DE"/>
    </w:rPr>
  </w:style>
  <w:style w:type="character" w:customStyle="1" w:styleId="43UeberschrG2Zchn">
    <w:name w:val="43_UeberschrG2 Zchn"/>
    <w:link w:val="43UeberschrG2"/>
    <w:locked/>
    <w:rsid w:val="00397186"/>
    <w:rPr>
      <w:b/>
      <w:color w:val="000000"/>
      <w:sz w:val="22"/>
      <w:lang w:val="pl-PL" w:eastAsia="de-DE"/>
    </w:rPr>
  </w:style>
  <w:style w:type="character" w:customStyle="1" w:styleId="51AbsZchn">
    <w:name w:val="51_Abs Zchn"/>
    <w:link w:val="51Abs"/>
    <w:locked/>
    <w:rsid w:val="00A843DD"/>
    <w:rPr>
      <w:color w:val="000000"/>
      <w:lang w:val="pl-PL" w:eastAsia="de-DE"/>
    </w:rPr>
  </w:style>
  <w:style w:type="character" w:customStyle="1" w:styleId="21NovAo1Zchn">
    <w:name w:val="21_NovAo1 Zchn"/>
    <w:link w:val="21NovAo1"/>
    <w:locked/>
    <w:rsid w:val="00A843DD"/>
    <w:rPr>
      <w:i/>
      <w:color w:val="000000"/>
      <w:lang w:val="pl-PL" w:eastAsia="de-DE"/>
    </w:rPr>
  </w:style>
  <w:style w:type="character" w:customStyle="1" w:styleId="22NovAo2Zchn">
    <w:name w:val="22_NovAo2 Zchn"/>
    <w:link w:val="22NovAo2"/>
    <w:locked/>
    <w:rsid w:val="00283888"/>
    <w:rPr>
      <w:i/>
      <w:color w:val="000000"/>
      <w:lang w:val="pl-PL"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pl-PL" w:eastAsia="de-DE"/>
    </w:rPr>
  </w:style>
  <w:style w:type="character" w:customStyle="1" w:styleId="45UeberschrParaChar">
    <w:name w:val="45_UeberschrPara Char"/>
    <w:link w:val="45UeberschrPara"/>
    <w:locked/>
    <w:rsid w:val="0080155F"/>
    <w:rPr>
      <w:b/>
      <w:color w:val="000000"/>
      <w:lang w:val="pl-PL"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6131</Words>
  <Characters>33109</Characters>
  <Application>Microsoft Office Word</Application>
  <DocSecurity>0</DocSecurity>
  <Lines>551</Lines>
  <Paragraphs>304</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2021-12-16T12:38:00Z</dcterms:created>
  <dcterms:modified xsi:type="dcterms:W3CDTF">2021-12-16T12:38:00Z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