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93B53" w:rsidRPr="00293B53" w14:paraId="50CF83BF" w14:textId="77777777" w:rsidTr="00293B53">
        <w:trPr>
          <w:gridAfter w:val="1"/>
          <w:wAfter w:w="18" w:type="dxa"/>
          <w:trHeight w:val="151"/>
          <w:jc w:val="center"/>
        </w:trPr>
        <w:tc>
          <w:tcPr>
            <w:tcW w:w="4374" w:type="dxa"/>
            <w:gridSpan w:val="2"/>
          </w:tcPr>
          <w:p w14:paraId="4A92B424" w14:textId="77777777" w:rsidR="00293B53" w:rsidRPr="00293B53" w:rsidRDefault="00293B53" w:rsidP="00293B53">
            <w:pPr>
              <w:keepNext/>
              <w:spacing w:after="0" w:line="240" w:lineRule="auto"/>
              <w:jc w:val="center"/>
              <w:outlineLvl w:val="1"/>
              <w:rPr>
                <w:rFonts w:ascii="Garamond" w:eastAsia="Times New Roman" w:hAnsi="Garamond" w:cs="Times New Roman"/>
                <w:b/>
              </w:rPr>
            </w:pPr>
            <w:r>
              <w:rPr>
                <w:rFonts w:ascii="Garamond" w:hAnsi="Garamond"/>
                <w:b/>
              </w:rPr>
              <w:t>Königreich Belgien</w:t>
            </w:r>
          </w:p>
        </w:tc>
      </w:tr>
      <w:tr w:rsidR="00293B53" w:rsidRPr="00293B53" w14:paraId="4E7674DA" w14:textId="77777777" w:rsidTr="00293B53">
        <w:trPr>
          <w:gridAfter w:val="1"/>
          <w:wAfter w:w="18" w:type="dxa"/>
          <w:jc w:val="center"/>
        </w:trPr>
        <w:tc>
          <w:tcPr>
            <w:tcW w:w="4374" w:type="dxa"/>
            <w:gridSpan w:val="2"/>
          </w:tcPr>
          <w:p w14:paraId="43FE0FED" w14:textId="77777777" w:rsidR="00293B53" w:rsidRPr="00293B53" w:rsidRDefault="00293B53" w:rsidP="00293B53">
            <w:pPr>
              <w:tabs>
                <w:tab w:val="left" w:pos="2410"/>
              </w:tabs>
              <w:spacing w:after="0" w:line="240" w:lineRule="auto"/>
              <w:jc w:val="center"/>
              <w:rPr>
                <w:rFonts w:ascii="Garamond" w:eastAsia="Times New Roman" w:hAnsi="Garamond" w:cs="Times New Roman"/>
              </w:rPr>
            </w:pPr>
            <w:r>
              <w:rPr>
                <w:rFonts w:ascii="Garamond" w:hAnsi="Garamond"/>
              </w:rPr>
              <w:t>_________</w:t>
            </w:r>
          </w:p>
        </w:tc>
      </w:tr>
      <w:tr w:rsidR="00293B53" w:rsidRPr="00293B53" w14:paraId="034E8714" w14:textId="77777777" w:rsidTr="00293B53">
        <w:trPr>
          <w:gridAfter w:val="1"/>
          <w:wAfter w:w="18" w:type="dxa"/>
          <w:jc w:val="center"/>
        </w:trPr>
        <w:tc>
          <w:tcPr>
            <w:tcW w:w="4374" w:type="dxa"/>
            <w:gridSpan w:val="2"/>
          </w:tcPr>
          <w:p w14:paraId="316D9BEC" w14:textId="77777777" w:rsidR="00293B53" w:rsidRPr="00293B53" w:rsidRDefault="00293B53" w:rsidP="00293B53">
            <w:pPr>
              <w:tabs>
                <w:tab w:val="left" w:pos="2410"/>
              </w:tabs>
              <w:spacing w:after="0" w:line="240" w:lineRule="auto"/>
              <w:jc w:val="center"/>
              <w:rPr>
                <w:rFonts w:ascii="Garamond" w:eastAsia="Times New Roman" w:hAnsi="Garamond" w:cs="Times New Roman"/>
                <w:lang w:eastAsia="nl-NL"/>
              </w:rPr>
            </w:pPr>
          </w:p>
        </w:tc>
      </w:tr>
      <w:tr w:rsidR="00293B53" w:rsidRPr="00293B53" w14:paraId="573A68C9" w14:textId="77777777" w:rsidTr="00293B53">
        <w:trPr>
          <w:gridAfter w:val="1"/>
          <w:wAfter w:w="18" w:type="dxa"/>
          <w:jc w:val="center"/>
        </w:trPr>
        <w:tc>
          <w:tcPr>
            <w:tcW w:w="4374" w:type="dxa"/>
            <w:gridSpan w:val="2"/>
          </w:tcPr>
          <w:p w14:paraId="76A0BD4A" w14:textId="77777777" w:rsidR="00293B53" w:rsidRPr="00293B53" w:rsidRDefault="00293B53" w:rsidP="00293B53">
            <w:pPr>
              <w:tabs>
                <w:tab w:val="left" w:pos="2410"/>
                <w:tab w:val="left" w:pos="3616"/>
                <w:tab w:val="left" w:pos="3899"/>
              </w:tabs>
              <w:spacing w:after="0" w:line="240" w:lineRule="auto"/>
              <w:jc w:val="center"/>
              <w:rPr>
                <w:rFonts w:ascii="Garamond" w:eastAsia="Times New Roman" w:hAnsi="Garamond" w:cs="Times New Roman"/>
                <w:b/>
                <w:bCs/>
              </w:rPr>
            </w:pPr>
            <w:r>
              <w:rPr>
                <w:rFonts w:ascii="Garamond" w:hAnsi="Garamond"/>
                <w:b/>
              </w:rPr>
              <w:t>FÖDERALER ÖFFENTLICHER DIENST FÜR DIE ÖFFENTLICHE GESUNDHEIT, DIE SICHERHEIT DER LEBENSMITTELKETTE UND DIE UMWELT</w:t>
            </w:r>
          </w:p>
        </w:tc>
      </w:tr>
      <w:tr w:rsidR="00293B53" w:rsidRPr="00293B53" w14:paraId="361212FE" w14:textId="77777777" w:rsidTr="00293B53">
        <w:trPr>
          <w:gridAfter w:val="1"/>
          <w:wAfter w:w="18" w:type="dxa"/>
          <w:jc w:val="center"/>
        </w:trPr>
        <w:tc>
          <w:tcPr>
            <w:tcW w:w="4374" w:type="dxa"/>
            <w:gridSpan w:val="2"/>
          </w:tcPr>
          <w:p w14:paraId="76D2D742" w14:textId="77777777" w:rsidR="00293B53" w:rsidRPr="00293B53" w:rsidRDefault="00293B53" w:rsidP="00293B53">
            <w:pPr>
              <w:tabs>
                <w:tab w:val="left" w:pos="2410"/>
              </w:tabs>
              <w:spacing w:after="0" w:line="240" w:lineRule="auto"/>
              <w:jc w:val="center"/>
              <w:rPr>
                <w:rFonts w:ascii="Garamond" w:eastAsia="Times New Roman" w:hAnsi="Garamond" w:cs="Times New Roman"/>
                <w:bCs/>
              </w:rPr>
            </w:pPr>
            <w:r>
              <w:rPr>
                <w:rFonts w:ascii="Garamond" w:hAnsi="Garamond"/>
              </w:rPr>
              <w:t>________________________</w:t>
            </w:r>
          </w:p>
        </w:tc>
      </w:tr>
      <w:tr w:rsidR="00293B53" w:rsidRPr="00293B53" w14:paraId="4D46C327" w14:textId="77777777" w:rsidTr="00293B53">
        <w:trPr>
          <w:gridAfter w:val="1"/>
          <w:wAfter w:w="18" w:type="dxa"/>
          <w:jc w:val="center"/>
        </w:trPr>
        <w:tc>
          <w:tcPr>
            <w:tcW w:w="4374" w:type="dxa"/>
            <w:gridSpan w:val="2"/>
          </w:tcPr>
          <w:p w14:paraId="6E6F6C64"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p w14:paraId="439E3B87" w14:textId="77777777" w:rsidR="00293B53" w:rsidRPr="00293B53" w:rsidRDefault="00293B53" w:rsidP="00293B53">
            <w:pPr>
              <w:tabs>
                <w:tab w:val="left" w:pos="2410"/>
              </w:tabs>
              <w:spacing w:after="0" w:line="240" w:lineRule="auto"/>
              <w:jc w:val="center"/>
              <w:rPr>
                <w:rFonts w:ascii="Garamond" w:eastAsia="Times New Roman" w:hAnsi="Garamond" w:cs="Times New Roman"/>
                <w:lang w:val="fr-FR" w:eastAsia="nl-NL"/>
              </w:rPr>
            </w:pPr>
          </w:p>
        </w:tc>
      </w:tr>
      <w:tr w:rsidR="00293B53" w:rsidRPr="00293B53" w14:paraId="73657689" w14:textId="77777777" w:rsidTr="00293B53">
        <w:trPr>
          <w:gridAfter w:val="1"/>
          <w:wAfter w:w="18" w:type="dxa"/>
          <w:jc w:val="center"/>
        </w:trPr>
        <w:tc>
          <w:tcPr>
            <w:tcW w:w="4374" w:type="dxa"/>
            <w:gridSpan w:val="2"/>
          </w:tcPr>
          <w:p w14:paraId="2EB98842" w14:textId="77777777" w:rsidR="00293B53" w:rsidRPr="00293B53" w:rsidRDefault="00293B53" w:rsidP="00293B53">
            <w:pPr>
              <w:tabs>
                <w:tab w:val="left" w:pos="2410"/>
              </w:tabs>
              <w:spacing w:after="0" w:line="240" w:lineRule="auto"/>
              <w:jc w:val="center"/>
              <w:rPr>
                <w:rFonts w:ascii="Garamond" w:eastAsia="Times New Roman" w:hAnsi="Garamond" w:cs="Times New Roman"/>
                <w:b/>
                <w:bCs/>
              </w:rPr>
            </w:pPr>
            <w:r>
              <w:rPr>
                <w:rFonts w:ascii="Garamond" w:hAnsi="Garamond"/>
                <w:b/>
                <w:color w:val="000000"/>
              </w:rPr>
              <w:t xml:space="preserve">Königliches Dekret über das Verbot der Herstellung und des Inverkehrbringens bestimmter ähnlicher Produkte </w:t>
            </w:r>
          </w:p>
        </w:tc>
      </w:tr>
      <w:tr w:rsidR="00293B53" w:rsidRPr="00293B53" w14:paraId="4F0A5BD4" w14:textId="77777777" w:rsidTr="00293B53">
        <w:trPr>
          <w:gridAfter w:val="1"/>
          <w:wAfter w:w="18" w:type="dxa"/>
          <w:jc w:val="center"/>
        </w:trPr>
        <w:tc>
          <w:tcPr>
            <w:tcW w:w="4374" w:type="dxa"/>
            <w:gridSpan w:val="2"/>
          </w:tcPr>
          <w:p w14:paraId="1681569D" w14:textId="77777777" w:rsidR="00293B53" w:rsidRPr="00293B53" w:rsidRDefault="00293B53" w:rsidP="00293B53">
            <w:pPr>
              <w:spacing w:after="0" w:line="240" w:lineRule="auto"/>
              <w:rPr>
                <w:rFonts w:ascii="Garamond" w:eastAsia="Times New Roman" w:hAnsi="Garamond" w:cs="Times New Roman"/>
                <w:b/>
                <w:lang w:eastAsia="nl-NL"/>
              </w:rPr>
            </w:pPr>
          </w:p>
        </w:tc>
      </w:tr>
      <w:tr w:rsidR="00293B53" w:rsidRPr="00293B53" w14:paraId="6F74941D" w14:textId="77777777" w:rsidTr="00293B53">
        <w:trPr>
          <w:gridAfter w:val="1"/>
          <w:wAfter w:w="18" w:type="dxa"/>
          <w:jc w:val="center"/>
        </w:trPr>
        <w:tc>
          <w:tcPr>
            <w:tcW w:w="4374" w:type="dxa"/>
            <w:gridSpan w:val="2"/>
          </w:tcPr>
          <w:p w14:paraId="5B71A77C" w14:textId="77777777" w:rsidR="00293B53" w:rsidRPr="00293B53" w:rsidRDefault="00293B53" w:rsidP="00293B53">
            <w:pPr>
              <w:spacing w:after="0" w:line="240" w:lineRule="auto"/>
              <w:jc w:val="center"/>
              <w:rPr>
                <w:rFonts w:ascii="Garamond" w:eastAsia="Times New Roman" w:hAnsi="Garamond" w:cs="Times New Roman"/>
                <w:b/>
                <w:bCs/>
              </w:rPr>
            </w:pPr>
            <w:r>
              <w:rPr>
                <w:rFonts w:ascii="Garamond" w:hAnsi="Garamond"/>
                <w:b/>
              </w:rPr>
              <w:t xml:space="preserve">PHILIPPE, König der Belgier, </w:t>
            </w:r>
          </w:p>
        </w:tc>
      </w:tr>
      <w:tr w:rsidR="00293B53" w:rsidRPr="00293B53" w14:paraId="5E588F65" w14:textId="77777777" w:rsidTr="00293B53">
        <w:trPr>
          <w:gridAfter w:val="1"/>
          <w:wAfter w:w="18" w:type="dxa"/>
          <w:jc w:val="center"/>
        </w:trPr>
        <w:tc>
          <w:tcPr>
            <w:tcW w:w="4374" w:type="dxa"/>
            <w:gridSpan w:val="2"/>
          </w:tcPr>
          <w:p w14:paraId="666317A4" w14:textId="77777777" w:rsidR="00293B53" w:rsidRPr="00293B53" w:rsidRDefault="00293B53" w:rsidP="00293B53">
            <w:pPr>
              <w:spacing w:after="0" w:line="240" w:lineRule="auto"/>
              <w:jc w:val="center"/>
              <w:rPr>
                <w:rFonts w:ascii="Garamond" w:eastAsia="Times New Roman" w:hAnsi="Garamond" w:cs="Times New Roman"/>
                <w:bCs/>
                <w:lang w:eastAsia="nl-NL"/>
              </w:rPr>
            </w:pPr>
          </w:p>
        </w:tc>
      </w:tr>
      <w:tr w:rsidR="00293B53" w:rsidRPr="00293B53" w14:paraId="125F9B8B" w14:textId="77777777" w:rsidTr="00293B53">
        <w:trPr>
          <w:gridAfter w:val="1"/>
          <w:wAfter w:w="18" w:type="dxa"/>
          <w:jc w:val="center"/>
        </w:trPr>
        <w:tc>
          <w:tcPr>
            <w:tcW w:w="4374" w:type="dxa"/>
            <w:gridSpan w:val="2"/>
          </w:tcPr>
          <w:p w14:paraId="0682021E"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An alle Anwesenden und jene, die noch kommen werden, Grüße.</w:t>
            </w:r>
          </w:p>
        </w:tc>
      </w:tr>
      <w:tr w:rsidR="00293B53" w:rsidRPr="00293B53" w14:paraId="6EE6F2B3" w14:textId="77777777" w:rsidTr="00293B53">
        <w:trPr>
          <w:gridAfter w:val="1"/>
          <w:wAfter w:w="18" w:type="dxa"/>
          <w:jc w:val="center"/>
        </w:trPr>
        <w:tc>
          <w:tcPr>
            <w:tcW w:w="4374" w:type="dxa"/>
            <w:gridSpan w:val="2"/>
          </w:tcPr>
          <w:p w14:paraId="78DEDB8A" w14:textId="77777777" w:rsidR="00293B53" w:rsidRPr="00293B53" w:rsidRDefault="00293B53" w:rsidP="00293B53">
            <w:pPr>
              <w:keepNext/>
              <w:tabs>
                <w:tab w:val="left" w:pos="567"/>
                <w:tab w:val="left" w:pos="2410"/>
              </w:tabs>
              <w:spacing w:after="0" w:line="240" w:lineRule="auto"/>
              <w:outlineLvl w:val="0"/>
              <w:rPr>
                <w:rFonts w:ascii="Garamond" w:eastAsia="Times New Roman" w:hAnsi="Garamond" w:cs="Times New Roman"/>
                <w:lang w:eastAsia="nl-NL"/>
              </w:rPr>
            </w:pPr>
          </w:p>
        </w:tc>
      </w:tr>
      <w:tr w:rsidR="00293B53" w:rsidRPr="00293B53" w14:paraId="7E32D738" w14:textId="77777777" w:rsidTr="00293B53">
        <w:trPr>
          <w:gridAfter w:val="1"/>
          <w:wAfter w:w="18" w:type="dxa"/>
          <w:trHeight w:val="824"/>
          <w:jc w:val="center"/>
        </w:trPr>
        <w:tc>
          <w:tcPr>
            <w:tcW w:w="4374" w:type="dxa"/>
            <w:gridSpan w:val="2"/>
          </w:tcPr>
          <w:p w14:paraId="2CF9BA62" w14:textId="77777777" w:rsidR="00293B53" w:rsidRPr="00293B53" w:rsidRDefault="00293B53" w:rsidP="00293B53">
            <w:pPr>
              <w:keepNext/>
              <w:tabs>
                <w:tab w:val="left" w:pos="355"/>
                <w:tab w:val="left" w:pos="2410"/>
              </w:tabs>
              <w:spacing w:after="0" w:line="240" w:lineRule="auto"/>
              <w:jc w:val="both"/>
              <w:outlineLvl w:val="0"/>
              <w:rPr>
                <w:rFonts w:ascii="Garamond" w:eastAsia="Times New Roman" w:hAnsi="Garamond" w:cs="Times New Roman"/>
              </w:rPr>
            </w:pPr>
            <w:r>
              <w:rPr>
                <w:rFonts w:ascii="Garamond" w:hAnsi="Garamond"/>
              </w:rPr>
              <w:t>Gestützt auf Artikel 6 Absatz 1 Buchstabe a des Gesetzes vom 24. Januar 1977 über den Schutz der Gesundheit der Verbraucher bei Lebensmitteln und anderen Erzeugnissen, geändert durch das Gesetz vom 22. März 1989 und Artikel 18 Absatz 1, ersetzt durch das Gesetz vom 22. März 1989 und geändert durch das Gesetz vom 22. Dezember 2003,</w:t>
            </w:r>
          </w:p>
        </w:tc>
      </w:tr>
      <w:tr w:rsidR="00293B53" w:rsidRPr="00293B53" w14:paraId="4817417F" w14:textId="77777777" w:rsidTr="00293B53">
        <w:trPr>
          <w:gridAfter w:val="1"/>
          <w:wAfter w:w="18" w:type="dxa"/>
          <w:trHeight w:val="206"/>
          <w:jc w:val="center"/>
        </w:trPr>
        <w:tc>
          <w:tcPr>
            <w:tcW w:w="4374" w:type="dxa"/>
            <w:gridSpan w:val="2"/>
          </w:tcPr>
          <w:p w14:paraId="7F7787EF" w14:textId="77777777" w:rsidR="00293B53" w:rsidRPr="00293B53" w:rsidRDefault="00293B53" w:rsidP="00293B53">
            <w:pPr>
              <w:tabs>
                <w:tab w:val="left" w:pos="355"/>
                <w:tab w:val="left" w:pos="2410"/>
              </w:tabs>
              <w:spacing w:after="0" w:line="240" w:lineRule="auto"/>
              <w:jc w:val="both"/>
              <w:rPr>
                <w:rFonts w:ascii="Garamond" w:eastAsia="Times New Roman" w:hAnsi="Garamond" w:cs="Times New Roman"/>
                <w:bCs/>
                <w:lang w:eastAsia="nl-NL"/>
              </w:rPr>
            </w:pPr>
          </w:p>
        </w:tc>
      </w:tr>
      <w:tr w:rsidR="00293B53" w:rsidRPr="00293B53" w14:paraId="147A46B6" w14:textId="77777777" w:rsidTr="00293B53">
        <w:trPr>
          <w:gridAfter w:val="1"/>
          <w:wAfter w:w="18" w:type="dxa"/>
          <w:jc w:val="center"/>
        </w:trPr>
        <w:tc>
          <w:tcPr>
            <w:tcW w:w="4374" w:type="dxa"/>
            <w:gridSpan w:val="2"/>
          </w:tcPr>
          <w:p w14:paraId="3F3879C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Gestützt auf die Stellungnahme der Inspektion für Finanzen, herausgegeben am </w:t>
            </w:r>
            <w:r>
              <w:rPr>
                <w:rFonts w:ascii="Garamond" w:hAnsi="Garamond"/>
                <w:highlight w:val="yellow"/>
              </w:rPr>
              <w:t>xxx</w:t>
            </w:r>
            <w:r>
              <w:rPr>
                <w:rFonts w:ascii="Garamond" w:hAnsi="Garamond"/>
              </w:rPr>
              <w:t>;</w:t>
            </w:r>
          </w:p>
        </w:tc>
      </w:tr>
      <w:tr w:rsidR="00293B53" w:rsidRPr="00293B53" w14:paraId="264511E8" w14:textId="77777777" w:rsidTr="00293B53">
        <w:trPr>
          <w:gridAfter w:val="1"/>
          <w:wAfter w:w="18" w:type="dxa"/>
          <w:jc w:val="center"/>
        </w:trPr>
        <w:tc>
          <w:tcPr>
            <w:tcW w:w="4374" w:type="dxa"/>
            <w:gridSpan w:val="2"/>
          </w:tcPr>
          <w:p w14:paraId="31F7687E"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3DC097E" w14:textId="77777777" w:rsidTr="00293B53">
        <w:trPr>
          <w:gridAfter w:val="1"/>
          <w:wAfter w:w="18" w:type="dxa"/>
          <w:jc w:val="center"/>
        </w:trPr>
        <w:tc>
          <w:tcPr>
            <w:tcW w:w="4374" w:type="dxa"/>
            <w:gridSpan w:val="2"/>
          </w:tcPr>
          <w:p w14:paraId="42CCC414"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unter Berücksichtigung der Zustimmung des Staatssekretärs für den Haushalt, vom </w:t>
            </w:r>
            <w:r>
              <w:rPr>
                <w:rFonts w:ascii="Garamond" w:hAnsi="Garamond"/>
                <w:highlight w:val="yellow"/>
              </w:rPr>
              <w:t>XXX</w:t>
            </w:r>
            <w:r>
              <w:rPr>
                <w:rFonts w:ascii="Garamond" w:hAnsi="Garamond"/>
              </w:rPr>
              <w:t>;</w:t>
            </w:r>
          </w:p>
        </w:tc>
      </w:tr>
      <w:tr w:rsidR="00293B53" w:rsidRPr="00293B53" w14:paraId="72A4337F" w14:textId="77777777" w:rsidTr="00293B53">
        <w:trPr>
          <w:gridAfter w:val="1"/>
          <w:wAfter w:w="18" w:type="dxa"/>
          <w:jc w:val="center"/>
        </w:trPr>
        <w:tc>
          <w:tcPr>
            <w:tcW w:w="4374" w:type="dxa"/>
            <w:gridSpan w:val="2"/>
          </w:tcPr>
          <w:p w14:paraId="4B64F825"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28E629CC" w14:textId="77777777" w:rsidTr="00293B53">
        <w:trPr>
          <w:gridAfter w:val="1"/>
          <w:wAfter w:w="18" w:type="dxa"/>
          <w:jc w:val="center"/>
        </w:trPr>
        <w:tc>
          <w:tcPr>
            <w:tcW w:w="4374" w:type="dxa"/>
            <w:gridSpan w:val="2"/>
          </w:tcPr>
          <w:p w14:paraId="20587FC2"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Unter Hinweis auf die Folgenabschätzung der Verordnung von </w:t>
            </w:r>
            <w:r>
              <w:rPr>
                <w:rFonts w:ascii="Garamond" w:hAnsi="Garamond"/>
                <w:highlight w:val="yellow"/>
              </w:rPr>
              <w:t>XXX</w:t>
            </w:r>
            <w:r>
              <w:rPr>
                <w:rFonts w:ascii="Garamond" w:hAnsi="Garamond"/>
              </w:rPr>
              <w:t>, die gemäß den Artikeln 6 und 7 des Gesetzes vom 15. Dezember 2013 mit verschiedenen Bestimmungen zur Verwaltungsvereinfachung durchgeführt wurde,</w:t>
            </w:r>
          </w:p>
        </w:tc>
      </w:tr>
      <w:tr w:rsidR="00293B53" w:rsidRPr="00293B53" w14:paraId="6CD5DB28" w14:textId="77777777" w:rsidTr="00293B53">
        <w:trPr>
          <w:gridAfter w:val="1"/>
          <w:wAfter w:w="18" w:type="dxa"/>
          <w:jc w:val="center"/>
        </w:trPr>
        <w:tc>
          <w:tcPr>
            <w:tcW w:w="4374" w:type="dxa"/>
            <w:gridSpan w:val="2"/>
          </w:tcPr>
          <w:p w14:paraId="20DE402B"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472FB668" w14:textId="77777777" w:rsidTr="00293B53">
        <w:trPr>
          <w:gridAfter w:val="1"/>
          <w:wAfter w:w="18" w:type="dxa"/>
          <w:jc w:val="center"/>
        </w:trPr>
        <w:tc>
          <w:tcPr>
            <w:tcW w:w="4374" w:type="dxa"/>
            <w:gridSpan w:val="2"/>
          </w:tcPr>
          <w:p w14:paraId="63457A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Gestützt auf die Notifizierung an die Europäische Kommission vom </w:t>
            </w:r>
            <w:r>
              <w:rPr>
                <w:rFonts w:ascii="Garamond" w:hAnsi="Garamond"/>
                <w:highlight w:val="yellow"/>
              </w:rPr>
              <w:t>xxx</w:t>
            </w:r>
            <w:r>
              <w:rPr>
                <w:rFonts w:ascii="Garamond" w:hAnsi="Garamond"/>
              </w:rPr>
              <w:t xml:space="preserve"> gemäß Artikel 5 Absatz 1 der Richtlinie (EU) 2015/1535 des Europäischen Parlaments und des Rates vom 9. September 2015 über ein Informationsverfahren auf dem Gebiet der technischen Vorschriften und der Vorschriften für die Dienste der Informationsgesellschaft;</w:t>
            </w:r>
          </w:p>
          <w:p w14:paraId="7B89B76D"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6D4ECEED"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[Gestützt auf die Bemerkungen der Europäischen Kommission im Anschluss an die Mitteilung... vom...............;]</w:t>
            </w:r>
          </w:p>
          <w:p w14:paraId="03653D88"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p w14:paraId="5DF63F6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Gestützt auf die Stellungnahme </w:t>
            </w:r>
            <w:r>
              <w:rPr>
                <w:rFonts w:ascii="Garamond" w:hAnsi="Garamond"/>
                <w:highlight w:val="yellow"/>
              </w:rPr>
              <w:t>XX.</w:t>
            </w:r>
            <w:r>
              <w:rPr>
                <w:rFonts w:ascii="Garamond" w:hAnsi="Garamond"/>
              </w:rPr>
              <w:t xml:space="preserve"> des Staatsrats, veröffentlicht am </w:t>
            </w:r>
            <w:r>
              <w:rPr>
                <w:rFonts w:ascii="Garamond" w:hAnsi="Garamond"/>
                <w:highlight w:val="yellow"/>
              </w:rPr>
              <w:t>XXX</w:t>
            </w:r>
            <w:r>
              <w:rPr>
                <w:rFonts w:ascii="Garamond" w:hAnsi="Garamond"/>
              </w:rPr>
              <w:t xml:space="preserve">, gemäß Artikel </w:t>
            </w:r>
            <w:r>
              <w:rPr>
                <w:rFonts w:ascii="Garamond" w:hAnsi="Garamond"/>
              </w:rPr>
              <w:lastRenderedPageBreak/>
              <w:t>84 § 1 Absatz 1 Nummer 2 der am 12. Januar 1973 konsolidierten Gesetze über den Staatsrat;</w:t>
            </w:r>
          </w:p>
        </w:tc>
      </w:tr>
      <w:tr w:rsidR="00293B53" w:rsidRPr="00293B53" w14:paraId="757AB588" w14:textId="77777777" w:rsidTr="00293B53">
        <w:trPr>
          <w:gridAfter w:val="1"/>
          <w:wAfter w:w="18" w:type="dxa"/>
          <w:jc w:val="center"/>
        </w:trPr>
        <w:tc>
          <w:tcPr>
            <w:tcW w:w="4374" w:type="dxa"/>
            <w:gridSpan w:val="2"/>
          </w:tcPr>
          <w:p w14:paraId="0C758169" w14:textId="77777777" w:rsidR="00293B53" w:rsidRPr="004C1DD3" w:rsidRDefault="00293B53" w:rsidP="00293B53">
            <w:pPr>
              <w:tabs>
                <w:tab w:val="left" w:pos="2410"/>
              </w:tabs>
              <w:spacing w:after="0" w:line="240" w:lineRule="auto"/>
              <w:jc w:val="both"/>
              <w:rPr>
                <w:rFonts w:ascii="Garamond" w:eastAsia="Times New Roman" w:hAnsi="Garamond" w:cs="Times New Roman"/>
                <w:lang w:val="fr-FR" w:eastAsia="nl-NL"/>
              </w:rPr>
            </w:pPr>
          </w:p>
        </w:tc>
      </w:tr>
      <w:tr w:rsidR="00293B53" w:rsidRPr="00293B53" w14:paraId="42291B66" w14:textId="77777777" w:rsidTr="00293B53">
        <w:trPr>
          <w:gridAfter w:val="1"/>
          <w:wAfter w:w="18" w:type="dxa"/>
          <w:jc w:val="center"/>
        </w:trPr>
        <w:tc>
          <w:tcPr>
            <w:tcW w:w="4374" w:type="dxa"/>
            <w:gridSpan w:val="2"/>
          </w:tcPr>
          <w:p w14:paraId="7F9326A7" w14:textId="77777777" w:rsidR="00293B53" w:rsidRPr="00293B53" w:rsidRDefault="00293B53" w:rsidP="00293B53">
            <w:pPr>
              <w:tabs>
                <w:tab w:val="left" w:pos="355"/>
                <w:tab w:val="left" w:pos="567"/>
                <w:tab w:val="left" w:pos="2410"/>
              </w:tabs>
              <w:spacing w:after="0" w:line="240" w:lineRule="auto"/>
              <w:jc w:val="both"/>
              <w:rPr>
                <w:rFonts w:ascii="Garamond" w:eastAsia="Times New Roman" w:hAnsi="Garamond" w:cs="Times New Roman"/>
              </w:rPr>
            </w:pPr>
            <w:r>
              <w:rPr>
                <w:rFonts w:ascii="Garamond" w:hAnsi="Garamond"/>
              </w:rPr>
              <w:t xml:space="preserve">Auf Vorschlag des Ministers der öffentlichen Gesundheit, </w:t>
            </w:r>
          </w:p>
        </w:tc>
      </w:tr>
      <w:tr w:rsidR="00293B53" w:rsidRPr="00293B53" w14:paraId="3DC3CC19" w14:textId="77777777" w:rsidTr="00293B53">
        <w:trPr>
          <w:gridAfter w:val="1"/>
          <w:wAfter w:w="18" w:type="dxa"/>
          <w:jc w:val="center"/>
        </w:trPr>
        <w:tc>
          <w:tcPr>
            <w:tcW w:w="4374" w:type="dxa"/>
            <w:gridSpan w:val="2"/>
          </w:tcPr>
          <w:p w14:paraId="3E0CFD5C" w14:textId="77777777" w:rsidR="00293B53" w:rsidRPr="00293B53" w:rsidRDefault="00293B53" w:rsidP="00293B53">
            <w:pPr>
              <w:tabs>
                <w:tab w:val="left" w:pos="2410"/>
              </w:tabs>
              <w:spacing w:after="0" w:line="240" w:lineRule="auto"/>
              <w:jc w:val="both"/>
              <w:rPr>
                <w:rFonts w:ascii="Garamond" w:eastAsia="Times New Roman" w:hAnsi="Garamond" w:cs="Times New Roman"/>
                <w:lang w:eastAsia="nl-NL"/>
              </w:rPr>
            </w:pPr>
          </w:p>
        </w:tc>
      </w:tr>
      <w:tr w:rsidR="00293B53" w:rsidRPr="00293B53" w14:paraId="6546F921" w14:textId="77777777" w:rsidTr="00293B53">
        <w:trPr>
          <w:gridAfter w:val="1"/>
          <w:wAfter w:w="18" w:type="dxa"/>
          <w:jc w:val="center"/>
        </w:trPr>
        <w:tc>
          <w:tcPr>
            <w:tcW w:w="4374" w:type="dxa"/>
            <w:gridSpan w:val="2"/>
          </w:tcPr>
          <w:p w14:paraId="1B79A530" w14:textId="77777777" w:rsidR="00293B53" w:rsidRPr="00293B53" w:rsidRDefault="00293B53" w:rsidP="00293B53">
            <w:pPr>
              <w:tabs>
                <w:tab w:val="left" w:pos="355"/>
                <w:tab w:val="left" w:pos="2410"/>
              </w:tabs>
              <w:spacing w:after="0" w:line="240" w:lineRule="auto"/>
              <w:jc w:val="center"/>
              <w:rPr>
                <w:rFonts w:ascii="Garamond" w:eastAsia="Times New Roman" w:hAnsi="Garamond" w:cs="Times New Roman"/>
              </w:rPr>
            </w:pPr>
            <w:r>
              <w:rPr>
                <w:rFonts w:ascii="Garamond" w:hAnsi="Garamond"/>
              </w:rPr>
              <w:t>HABE ICH ERLASSEN UND ERLASSE HIERMIT:</w:t>
            </w:r>
          </w:p>
        </w:tc>
      </w:tr>
      <w:tr w:rsidR="00293B53" w:rsidRPr="00293B53" w14:paraId="554EB2BA" w14:textId="77777777" w:rsidTr="00293B53">
        <w:trPr>
          <w:gridAfter w:val="1"/>
          <w:wAfter w:w="18" w:type="dxa"/>
          <w:jc w:val="center"/>
        </w:trPr>
        <w:tc>
          <w:tcPr>
            <w:tcW w:w="4374" w:type="dxa"/>
            <w:gridSpan w:val="2"/>
          </w:tcPr>
          <w:p w14:paraId="6ED059A0" w14:textId="77777777" w:rsidR="00293B53" w:rsidRPr="00293B53" w:rsidRDefault="00293B53" w:rsidP="00293B53">
            <w:pPr>
              <w:tabs>
                <w:tab w:val="left" w:pos="567"/>
                <w:tab w:val="left" w:pos="2410"/>
              </w:tabs>
              <w:spacing w:after="0" w:line="240" w:lineRule="auto"/>
              <w:jc w:val="center"/>
              <w:rPr>
                <w:rFonts w:ascii="Garamond" w:eastAsia="Times New Roman" w:hAnsi="Garamond" w:cs="Times New Roman"/>
                <w:lang w:eastAsia="nl-NL"/>
              </w:rPr>
            </w:pPr>
          </w:p>
        </w:tc>
      </w:tr>
      <w:tr w:rsidR="00293B53" w:rsidRPr="00293B53" w14:paraId="4971376B" w14:textId="77777777" w:rsidTr="00293B53">
        <w:trPr>
          <w:gridAfter w:val="1"/>
          <w:wAfter w:w="18" w:type="dxa"/>
          <w:jc w:val="center"/>
        </w:trPr>
        <w:tc>
          <w:tcPr>
            <w:tcW w:w="4374" w:type="dxa"/>
            <w:gridSpan w:val="2"/>
          </w:tcPr>
          <w:p w14:paraId="472B68CE" w14:textId="77777777" w:rsidR="00293B53" w:rsidRPr="00293B53" w:rsidRDefault="00293B53" w:rsidP="00293B53">
            <w:pPr>
              <w:tabs>
                <w:tab w:val="left" w:pos="2410"/>
              </w:tabs>
              <w:spacing w:after="0" w:line="240" w:lineRule="auto"/>
              <w:jc w:val="both"/>
              <w:rPr>
                <w:rFonts w:ascii="Garamond" w:eastAsia="Times New Roman" w:hAnsi="Garamond" w:cs="Times New Roman"/>
                <w:b/>
                <w:bCs/>
              </w:rPr>
            </w:pPr>
            <w:r>
              <w:rPr>
                <w:rFonts w:ascii="Garamond" w:hAnsi="Garamond"/>
                <w:b/>
              </w:rPr>
              <w:t>Artikel 1.</w:t>
            </w:r>
            <w:r>
              <w:rPr>
                <w:rFonts w:ascii="Garamond" w:hAnsi="Garamond"/>
              </w:rPr>
              <w:t xml:space="preserve"> </w:t>
            </w:r>
            <w:r>
              <w:rPr>
                <w:rFonts w:ascii="Garamond" w:hAnsi="Garamond"/>
                <w:b/>
              </w:rPr>
              <w:t>Begriffsbestimmungen</w:t>
            </w:r>
          </w:p>
          <w:p w14:paraId="67607B8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Für die Anwendung dieses Dekrets bedeutet das Folgende:</w:t>
            </w:r>
          </w:p>
          <w:p w14:paraId="7B6EE771"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(1) Nikotinbeutel:</w:t>
            </w:r>
            <w:r>
              <w:rPr>
                <w:rFonts w:ascii="Times New Roman" w:hAnsi="Times New Roman"/>
                <w:sz w:val="20"/>
              </w:rPr>
              <w:t xml:space="preserve"> </w:t>
            </w:r>
            <w:r>
              <w:rPr>
                <w:rFonts w:ascii="Garamond" w:hAnsi="Garamond"/>
              </w:rPr>
              <w:t>alle tabakfreien Erzeugnisse zum oralen Gebrauch, die ganz oder teilweise aus synthetischem oder natürlichem Nikotin in Form von Pulver, Partikeln oder Pasten oder in Kombinationen solcher Formen bestehen, insbesondere solche, die in Beuteln oder in porösen Beuteln portioniert werden;</w:t>
            </w:r>
          </w:p>
          <w:p w14:paraId="68B1C33F" w14:textId="42A6D7BF"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(2) Cannabinoidbeutel: Erzeugnisse zum oralen Gebrauch, die aus einem oder mehreren Cannabinoiden oder Derivaten daraus bestehen oder diese enthalten, in Form von Pulvern, Partikeln oder Pasten oder in Kombinationen solcher Formen, einschließlich solcher, die in Beuteln oder in porösen Beuteln portioniert werden;</w:t>
            </w:r>
          </w:p>
          <w:p w14:paraId="069C48FE"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(3) Inverkehrbringen: den Verbrauchern in Belgien unabhängig von ihrem Herstellungsort, unabhängig davon, ob sie gegen Entgelt, auch im Fernabsatz, zur Verfügung gestellt werden;</w:t>
            </w:r>
          </w:p>
          <w:p w14:paraId="34A8EA7A"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(4) Hersteller: jede natürliche oder juristische Person, die ein Erzeugnis herstellt oder entworfen oder hergestellt hat und die das Produkt unter ihrem eigenen Namen oder ihrer eigenen Marke vermarktet;</w:t>
            </w:r>
          </w:p>
          <w:p w14:paraId="4F38189F"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(5) Importeur in Belgien: der Eigentümer oder die Person, die berechtigt ist, über die in das Hoheitsgebiet Belgiens verbrachten Erzeugnisse zu verfügen;</w:t>
            </w:r>
          </w:p>
          <w:p w14:paraId="36155E7C"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(6)</w:t>
            </w:r>
            <w:r>
              <w:rPr>
                <w:rFonts w:ascii="Times New Roman" w:hAnsi="Times New Roman"/>
                <w:sz w:val="20"/>
              </w:rPr>
              <w:t xml:space="preserve"> </w:t>
            </w:r>
            <w:r>
              <w:rPr>
                <w:rFonts w:ascii="Garamond" w:hAnsi="Garamond"/>
              </w:rPr>
              <w:t xml:space="preserve"> Einzelhändler:</w:t>
            </w:r>
            <w:r>
              <w:rPr>
                <w:rFonts w:ascii="Times New Roman" w:hAnsi="Times New Roman"/>
                <w:sz w:val="20"/>
              </w:rPr>
              <w:t xml:space="preserve"> </w:t>
            </w:r>
            <w:r>
              <w:rPr>
                <w:rFonts w:ascii="Garamond" w:hAnsi="Garamond"/>
              </w:rPr>
              <w:t>jede Verkaufsstelle, an der Produkte in Verkehr gebracht werden, auch von einer natürlichen Person.</w:t>
            </w:r>
          </w:p>
        </w:tc>
      </w:tr>
      <w:tr w:rsidR="00293B53" w:rsidRPr="00293B53" w14:paraId="75877B49" w14:textId="77777777" w:rsidTr="00293B53">
        <w:trPr>
          <w:gridAfter w:val="1"/>
          <w:wAfter w:w="18" w:type="dxa"/>
          <w:trHeight w:val="331"/>
          <w:jc w:val="center"/>
        </w:trPr>
        <w:tc>
          <w:tcPr>
            <w:tcW w:w="4374" w:type="dxa"/>
            <w:gridSpan w:val="2"/>
          </w:tcPr>
          <w:p w14:paraId="1767DBFD"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1DC59148" w14:textId="77777777" w:rsidTr="00293B53">
        <w:trPr>
          <w:gridAfter w:val="1"/>
          <w:wAfter w:w="18" w:type="dxa"/>
          <w:trHeight w:val="322"/>
          <w:jc w:val="center"/>
        </w:trPr>
        <w:tc>
          <w:tcPr>
            <w:tcW w:w="4374" w:type="dxa"/>
            <w:gridSpan w:val="2"/>
          </w:tcPr>
          <w:p w14:paraId="69918B7D"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Artikel 2.  Verboten</w:t>
            </w:r>
          </w:p>
          <w:p w14:paraId="0FA130E0"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Es ist verboten, Nikotinbeutel und Cannabinoidbeutel auf den Markt zu bringen.</w:t>
            </w:r>
          </w:p>
          <w:p w14:paraId="35DCBB85"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xml:space="preserve"> </w:t>
            </w:r>
          </w:p>
        </w:tc>
      </w:tr>
      <w:tr w:rsidR="00293B53" w:rsidRPr="00293B53" w14:paraId="5552DB58" w14:textId="77777777" w:rsidTr="00293B53">
        <w:trPr>
          <w:gridAfter w:val="1"/>
          <w:wAfter w:w="18" w:type="dxa"/>
          <w:trHeight w:val="322"/>
          <w:jc w:val="center"/>
        </w:trPr>
        <w:tc>
          <w:tcPr>
            <w:tcW w:w="4374" w:type="dxa"/>
            <w:gridSpan w:val="2"/>
          </w:tcPr>
          <w:p w14:paraId="3F633FB0"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22918896" w14:textId="77777777" w:rsidTr="00293B53">
        <w:trPr>
          <w:gridAfter w:val="1"/>
          <w:wAfter w:w="18" w:type="dxa"/>
          <w:trHeight w:val="322"/>
          <w:jc w:val="center"/>
        </w:trPr>
        <w:tc>
          <w:tcPr>
            <w:tcW w:w="4374" w:type="dxa"/>
            <w:gridSpan w:val="2"/>
          </w:tcPr>
          <w:p w14:paraId="66B5A9BD"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Artikel 3. Strafrechtliche Sanktionen</w:t>
            </w:r>
          </w:p>
          <w:p w14:paraId="623DB1A4"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1.</w:t>
            </w:r>
            <w:r>
              <w:rPr>
                <w:rFonts w:ascii="Garamond" w:hAnsi="Garamond"/>
                <w:b/>
              </w:rPr>
              <w:t xml:space="preserve"> </w:t>
            </w:r>
            <w:r>
              <w:rPr>
                <w:rFonts w:ascii="Garamond" w:hAnsi="Garamond"/>
              </w:rPr>
              <w:t>Die in Artikel 2 dieser Verordnung aufgeführten Produkte;</w:t>
            </w:r>
            <w:r>
              <w:rPr>
                <w:rFonts w:ascii="Times New Roman" w:hAnsi="Times New Roman"/>
                <w:sz w:val="20"/>
              </w:rPr>
              <w:t xml:space="preserve"> </w:t>
            </w:r>
            <w:r>
              <w:rPr>
                <w:rFonts w:ascii="Garamond" w:hAnsi="Garamond"/>
              </w:rPr>
              <w:t xml:space="preserve"> gelten als schädlich im Sinne von Artikel 18 des Gesetzes vom 24. Januar 1977 über den Schutz der Gesundheit der </w:t>
            </w:r>
            <w:r>
              <w:rPr>
                <w:rFonts w:ascii="Garamond" w:hAnsi="Garamond"/>
              </w:rPr>
              <w:lastRenderedPageBreak/>
              <w:t>Verbraucher in Bezug auf Lebensmittel und andere Produkte.</w:t>
            </w:r>
          </w:p>
          <w:p w14:paraId="73D4D5B0"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2.  Verstöße gegen diese Verordnung</w:t>
            </w:r>
            <w:r>
              <w:rPr>
                <w:rFonts w:ascii="Times New Roman" w:hAnsi="Times New Roman"/>
                <w:sz w:val="20"/>
              </w:rPr>
              <w:t xml:space="preserve"> </w:t>
            </w:r>
            <w:r>
              <w:rPr>
                <w:rFonts w:ascii="Garamond" w:hAnsi="Garamond"/>
              </w:rPr>
              <w:t xml:space="preserve"> werden gemäß den Bestimmungen des oben genannten Gesetzes vom 24. Januar 1977 geahndet, entdeckt und strafrechtlich verfolgt.</w:t>
            </w:r>
          </w:p>
          <w:p w14:paraId="4716BD78" w14:textId="77777777" w:rsidR="00293B53" w:rsidRPr="00293B53" w:rsidRDefault="00293B53" w:rsidP="00293B53">
            <w:pPr>
              <w:tabs>
                <w:tab w:val="left" w:pos="2410"/>
              </w:tabs>
              <w:spacing w:after="0" w:line="240" w:lineRule="auto"/>
              <w:jc w:val="both"/>
              <w:rPr>
                <w:rFonts w:ascii="Garamond" w:eastAsia="Times New Roman" w:hAnsi="Garamond" w:cs="Times New Roman"/>
                <w:bCs/>
              </w:rPr>
            </w:pPr>
            <w:r>
              <w:rPr>
                <w:rFonts w:ascii="Garamond" w:hAnsi="Garamond"/>
              </w:rPr>
              <w:t>§ 3. Die Sanktionen nach Artikel 13 des Gesetzes vom 24. Januar 1977 über den Schutz der Gesundheit der Verbraucher in Bezug auf Lebensmittel und andere Erzeugnisse werden verhängt, wenn Personen gegen das Verbot des Artikels 2 dieses Dekrets verstoßen.</w:t>
            </w:r>
          </w:p>
          <w:p w14:paraId="4E6F7A3C"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rPr>
              <w:t>§ 4.</w:t>
            </w:r>
            <w:r>
              <w:rPr>
                <w:rFonts w:ascii="Garamond" w:hAnsi="Garamond"/>
                <w:b/>
              </w:rPr>
              <w:t xml:space="preserve"> </w:t>
            </w:r>
            <w:r>
              <w:rPr>
                <w:rFonts w:ascii="Garamond" w:hAnsi="Garamond"/>
              </w:rPr>
              <w:t>Hersteller, Importeur in Belgien und Einzelhändler können für die Nichteinhaltung von Artikel 2 dieser Verordnung haftbar gemacht werden.</w:t>
            </w:r>
          </w:p>
        </w:tc>
      </w:tr>
      <w:tr w:rsidR="00293B53" w:rsidRPr="00293B53" w14:paraId="5529DEA8" w14:textId="77777777" w:rsidTr="00293B53">
        <w:trPr>
          <w:gridAfter w:val="1"/>
          <w:wAfter w:w="18" w:type="dxa"/>
          <w:trHeight w:val="322"/>
          <w:jc w:val="center"/>
        </w:trPr>
        <w:tc>
          <w:tcPr>
            <w:tcW w:w="4374" w:type="dxa"/>
            <w:gridSpan w:val="2"/>
          </w:tcPr>
          <w:p w14:paraId="4431B98F" w14:textId="77777777" w:rsidR="00293B53" w:rsidRPr="004C1DD3" w:rsidRDefault="00293B53" w:rsidP="00293B53">
            <w:pPr>
              <w:tabs>
                <w:tab w:val="left" w:pos="2410"/>
              </w:tabs>
              <w:spacing w:after="0" w:line="240" w:lineRule="auto"/>
              <w:jc w:val="both"/>
              <w:rPr>
                <w:rFonts w:ascii="Garamond" w:eastAsia="Times New Roman" w:hAnsi="Garamond" w:cs="Times New Roman"/>
                <w:b/>
                <w:lang w:val="fr-FR" w:eastAsia="nl-NL"/>
              </w:rPr>
            </w:pPr>
          </w:p>
        </w:tc>
      </w:tr>
      <w:tr w:rsidR="00293B53" w:rsidRPr="00293B53" w14:paraId="395EDD39" w14:textId="77777777" w:rsidTr="00293B53">
        <w:trPr>
          <w:gridAfter w:val="1"/>
          <w:wAfter w:w="18" w:type="dxa"/>
          <w:trHeight w:val="322"/>
          <w:jc w:val="center"/>
        </w:trPr>
        <w:tc>
          <w:tcPr>
            <w:tcW w:w="4374" w:type="dxa"/>
            <w:gridSpan w:val="2"/>
          </w:tcPr>
          <w:p w14:paraId="424FB9C2"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Artikel 4. Inkrafttreten</w:t>
            </w:r>
          </w:p>
          <w:p w14:paraId="07962271"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rPr>
              <w:t>Diese Verordnung tritt drei Monate nach ihrer Veröffentlichung im belgischen Monitor in Kraft, mit Ausnahme für Einzelhändler, für den diese Verordnung sechs Monate nach ihrer Veröffentlichung im belgischen Monitor in Kraft tritt.</w:t>
            </w:r>
          </w:p>
        </w:tc>
      </w:tr>
      <w:tr w:rsidR="00293B53" w:rsidRPr="00293B53" w14:paraId="75DA5B78" w14:textId="77777777" w:rsidTr="00293B53">
        <w:trPr>
          <w:gridAfter w:val="1"/>
          <w:wAfter w:w="18" w:type="dxa"/>
          <w:trHeight w:val="322"/>
          <w:jc w:val="center"/>
        </w:trPr>
        <w:tc>
          <w:tcPr>
            <w:tcW w:w="4374" w:type="dxa"/>
            <w:gridSpan w:val="2"/>
          </w:tcPr>
          <w:p w14:paraId="0759B75E" w14:textId="77777777" w:rsidR="00293B53" w:rsidRPr="004C1DD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ab/>
            </w:r>
          </w:p>
        </w:tc>
      </w:tr>
      <w:tr w:rsidR="00293B53" w:rsidRPr="00293B53" w14:paraId="14538C3B" w14:textId="77777777" w:rsidTr="00293B53">
        <w:trPr>
          <w:gridBefore w:val="1"/>
          <w:wBefore w:w="18" w:type="dxa"/>
          <w:trHeight w:val="322"/>
          <w:jc w:val="center"/>
        </w:trPr>
        <w:tc>
          <w:tcPr>
            <w:tcW w:w="4374" w:type="dxa"/>
            <w:gridSpan w:val="2"/>
          </w:tcPr>
          <w:p w14:paraId="54F409E5" w14:textId="77777777" w:rsidR="00293B53" w:rsidRPr="00293B53" w:rsidRDefault="00293B53" w:rsidP="00293B53">
            <w:pPr>
              <w:tabs>
                <w:tab w:val="left" w:pos="2410"/>
              </w:tabs>
              <w:spacing w:after="0" w:line="240" w:lineRule="auto"/>
              <w:jc w:val="both"/>
              <w:rPr>
                <w:rFonts w:ascii="Garamond" w:eastAsia="Times New Roman" w:hAnsi="Garamond" w:cs="Times New Roman"/>
                <w:b/>
              </w:rPr>
            </w:pPr>
            <w:r>
              <w:rPr>
                <w:rFonts w:ascii="Garamond" w:hAnsi="Garamond"/>
                <w:b/>
              </w:rPr>
              <w:t xml:space="preserve">Artikel 5. Schlussbestimmug </w:t>
            </w:r>
          </w:p>
          <w:p w14:paraId="312C8769" w14:textId="77777777" w:rsidR="00293B53" w:rsidRPr="00293B53" w:rsidRDefault="00293B53" w:rsidP="00293B53">
            <w:pPr>
              <w:tabs>
                <w:tab w:val="left" w:pos="2410"/>
              </w:tabs>
              <w:spacing w:after="0" w:line="240" w:lineRule="auto"/>
              <w:jc w:val="both"/>
              <w:rPr>
                <w:rFonts w:ascii="Garamond" w:eastAsia="Times New Roman" w:hAnsi="Garamond" w:cs="Times New Roman"/>
              </w:rPr>
            </w:pPr>
            <w:r>
              <w:rPr>
                <w:rFonts w:ascii="Garamond" w:hAnsi="Garamond"/>
              </w:rPr>
              <w:t xml:space="preserve">Für die Durchführung dieses Dekrets ist der Minister für öffentliche Gesundheit zuständig. </w:t>
            </w:r>
          </w:p>
        </w:tc>
      </w:tr>
      <w:tr w:rsidR="00293B53" w:rsidRPr="00293B53" w14:paraId="1A5B13FB" w14:textId="77777777" w:rsidTr="00293B53">
        <w:trPr>
          <w:gridBefore w:val="1"/>
          <w:wBefore w:w="18" w:type="dxa"/>
          <w:trHeight w:val="322"/>
          <w:jc w:val="center"/>
        </w:trPr>
        <w:tc>
          <w:tcPr>
            <w:tcW w:w="4374" w:type="dxa"/>
            <w:gridSpan w:val="2"/>
          </w:tcPr>
          <w:p w14:paraId="6437790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3F2B6B05"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FB5785A"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FD7173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29A2A95E"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4855E3"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213BE08"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5A6E0734"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4A174EF9"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7B3D94A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047D921C" w14:textId="77777777" w:rsidR="00293B53" w:rsidRPr="00293B53" w:rsidRDefault="00293B53" w:rsidP="00293B53">
            <w:pPr>
              <w:tabs>
                <w:tab w:val="left" w:pos="2410"/>
              </w:tabs>
              <w:spacing w:after="0" w:line="240" w:lineRule="auto"/>
              <w:jc w:val="center"/>
              <w:rPr>
                <w:rFonts w:ascii="Garamond" w:eastAsia="Times New Roman" w:hAnsi="Garamond" w:cs="Times New Roman"/>
                <w:szCs w:val="20"/>
                <w:lang w:eastAsia="nl-NL"/>
              </w:rPr>
            </w:pPr>
          </w:p>
          <w:p w14:paraId="605AE6F4" w14:textId="77777777" w:rsidR="00293B53" w:rsidRPr="00293B53" w:rsidRDefault="00293B53" w:rsidP="00293B53">
            <w:pPr>
              <w:tabs>
                <w:tab w:val="left" w:pos="2410"/>
              </w:tabs>
              <w:spacing w:after="0" w:line="240" w:lineRule="auto"/>
              <w:jc w:val="center"/>
              <w:rPr>
                <w:rFonts w:ascii="Garamond" w:eastAsia="Times New Roman" w:hAnsi="Garamond" w:cs="Times New Roman"/>
                <w:b/>
              </w:rPr>
            </w:pPr>
            <w:r>
              <w:rPr>
                <w:rFonts w:ascii="Garamond" w:hAnsi="Garamond"/>
              </w:rPr>
              <w:t>vom König:</w:t>
            </w:r>
          </w:p>
        </w:tc>
      </w:tr>
      <w:tr w:rsidR="00293B53" w:rsidRPr="00293B53" w14:paraId="126B4253" w14:textId="77777777" w:rsidTr="00293B53">
        <w:trPr>
          <w:gridBefore w:val="1"/>
          <w:wBefore w:w="18" w:type="dxa"/>
          <w:trHeight w:val="322"/>
          <w:jc w:val="center"/>
        </w:trPr>
        <w:tc>
          <w:tcPr>
            <w:tcW w:w="4374" w:type="dxa"/>
            <w:gridSpan w:val="2"/>
          </w:tcPr>
          <w:p w14:paraId="331A48E5" w14:textId="77777777" w:rsidR="00293B53" w:rsidRPr="00293B53" w:rsidRDefault="00293B53" w:rsidP="00293B53">
            <w:pPr>
              <w:tabs>
                <w:tab w:val="left" w:pos="2410"/>
              </w:tabs>
              <w:spacing w:after="0" w:line="240" w:lineRule="auto"/>
              <w:jc w:val="center"/>
              <w:rPr>
                <w:rFonts w:ascii="Garamond" w:eastAsia="Times New Roman" w:hAnsi="Garamond" w:cs="Times New Roman"/>
                <w:b/>
                <w:lang w:val="fr-FR" w:eastAsia="nl-NL"/>
              </w:rPr>
            </w:pPr>
          </w:p>
        </w:tc>
      </w:tr>
      <w:tr w:rsidR="00293B53" w:rsidRPr="00293B53" w14:paraId="373FB4F2" w14:textId="77777777" w:rsidTr="00293B53">
        <w:trPr>
          <w:gridBefore w:val="1"/>
          <w:wBefore w:w="18" w:type="dxa"/>
          <w:trHeight w:val="322"/>
          <w:jc w:val="center"/>
        </w:trPr>
        <w:tc>
          <w:tcPr>
            <w:tcW w:w="4374" w:type="dxa"/>
            <w:gridSpan w:val="2"/>
          </w:tcPr>
          <w:p w14:paraId="7B423D89" w14:textId="77777777" w:rsidR="00293B53" w:rsidRPr="00293B53" w:rsidRDefault="00293B53" w:rsidP="00293B53">
            <w:pPr>
              <w:tabs>
                <w:tab w:val="left" w:pos="2410"/>
              </w:tabs>
              <w:spacing w:after="0" w:line="240" w:lineRule="auto"/>
              <w:jc w:val="center"/>
              <w:rPr>
                <w:rFonts w:ascii="Garamond" w:eastAsia="Times New Roman" w:hAnsi="Garamond" w:cs="Times New Roman"/>
                <w:b/>
              </w:rPr>
            </w:pPr>
            <w:r>
              <w:rPr>
                <w:rFonts w:ascii="Garamond" w:hAnsi="Garamond"/>
                <w:sz w:val="20"/>
              </w:rPr>
              <w:t>Der Minister für Öffentliche Gesundheit,</w:t>
            </w:r>
          </w:p>
        </w:tc>
      </w:tr>
      <w:tr w:rsidR="00293B53" w:rsidRPr="00293B53" w14:paraId="26504951" w14:textId="77777777" w:rsidTr="00293B53">
        <w:trPr>
          <w:gridBefore w:val="1"/>
          <w:wBefore w:w="18" w:type="dxa"/>
          <w:trHeight w:val="322"/>
          <w:jc w:val="center"/>
        </w:trPr>
        <w:tc>
          <w:tcPr>
            <w:tcW w:w="4374" w:type="dxa"/>
            <w:gridSpan w:val="2"/>
          </w:tcPr>
          <w:p w14:paraId="74A62E6F" w14:textId="77777777" w:rsidR="00293B53" w:rsidRPr="00293B53" w:rsidRDefault="00293B53" w:rsidP="00293B53">
            <w:pPr>
              <w:tabs>
                <w:tab w:val="left" w:pos="2410"/>
              </w:tabs>
              <w:spacing w:after="0" w:line="240" w:lineRule="auto"/>
              <w:jc w:val="center"/>
              <w:rPr>
                <w:rFonts w:ascii="Garamond" w:eastAsia="Times New Roman" w:hAnsi="Garamond" w:cs="Times New Roman"/>
                <w:sz w:val="20"/>
                <w:szCs w:val="20"/>
                <w:lang w:eastAsia="nl-NL"/>
              </w:rPr>
            </w:pPr>
          </w:p>
        </w:tc>
      </w:tr>
      <w:tr w:rsidR="00293B53" w:rsidRPr="00293B53" w14:paraId="7A28C210" w14:textId="77777777" w:rsidTr="00293B53">
        <w:trPr>
          <w:gridBefore w:val="1"/>
          <w:wBefore w:w="18" w:type="dxa"/>
          <w:trHeight w:val="322"/>
          <w:jc w:val="center"/>
        </w:trPr>
        <w:tc>
          <w:tcPr>
            <w:tcW w:w="4374" w:type="dxa"/>
            <w:gridSpan w:val="2"/>
          </w:tcPr>
          <w:p w14:paraId="71197EF7" w14:textId="2550B586" w:rsidR="00293B53" w:rsidRPr="00293B53" w:rsidRDefault="00293B53" w:rsidP="00293B53">
            <w:pPr>
              <w:tabs>
                <w:tab w:val="left" w:pos="2410"/>
              </w:tabs>
              <w:spacing w:after="0" w:line="240" w:lineRule="auto"/>
              <w:jc w:val="center"/>
              <w:rPr>
                <w:rFonts w:ascii="Garamond" w:eastAsia="Times New Roman" w:hAnsi="Garamond" w:cs="Times New Roman"/>
                <w:sz w:val="20"/>
                <w:szCs w:val="20"/>
              </w:rPr>
            </w:pPr>
            <w:r>
              <w:rPr>
                <w:rFonts w:ascii="Garamond" w:hAnsi="Garamond"/>
                <w:sz w:val="20"/>
              </w:rPr>
              <w:t>Frank VANDENBROUCKE</w:t>
            </w:r>
            <w:r w:rsidR="006B0B15">
              <w:rPr>
                <w:rFonts w:ascii="Garamond" w:hAnsi="Garamond"/>
                <w:sz w:val="20"/>
              </w:rPr>
              <w:t xml:space="preserve"> </w:t>
            </w:r>
          </w:p>
        </w:tc>
      </w:tr>
    </w:tbl>
    <w:p w14:paraId="2EF75113" w14:textId="77777777" w:rsidR="00493F25" w:rsidRPr="00293B53" w:rsidRDefault="00493F25">
      <w:pPr>
        <w:rPr>
          <w:lang w:val="fr-FR"/>
        </w:rPr>
      </w:pPr>
    </w:p>
    <w:sectPr w:rsidR="00493F25" w:rsidRPr="00293B53"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3"/>
    <w:rsid w:val="00293B53"/>
    <w:rsid w:val="00493F25"/>
    <w:rsid w:val="004C1DD3"/>
    <w:rsid w:val="006B0B15"/>
    <w:rsid w:val="007A2CB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A695"/>
  <w15:chartTrackingRefBased/>
  <w15:docId w15:val="{8D0CE7A6-4027-4852-96A3-1A6BF3AC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2022-06-15T09:12:00Z</dcterms:created>
  <dcterms:modified xsi:type="dcterms:W3CDTF">2022-06-22T10:30:00Z</dcterms:modified>
</cp:coreProperties>
</file>