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392" w:type="dxa"/>
        <w:jc w:val="center"/>
        <w:tblLayout w:type="fixed"/>
        <w:tblCellMar>
          <w:left w:w="70" w:type="dxa"/>
          <w:right w:w="70" w:type="dxa"/>
        </w:tblCellMar>
        <w:tblLook w:val="0000" w:firstRow="0" w:lastRow="0" w:firstColumn="0" w:lastColumn="0" w:noHBand="0" w:noVBand="0"/>
      </w:tblPr>
      <w:tblGrid>
        <w:gridCol w:w="18"/>
        <w:gridCol w:w="4356"/>
        <w:gridCol w:w="18"/>
      </w:tblGrid>
      <w:tr w:rsidR="00293B53" w:rsidRPr="00293B53" w14:paraId="50CF83BF" w14:textId="77777777" w:rsidTr="00293B53">
        <w:trPr>
          <w:gridAfter w:val="1"/>
          <w:wAfter w:w="18" w:type="dxa"/>
          <w:trHeight w:val="151"/>
          <w:jc w:val="center"/>
        </w:trPr>
        <w:tc>
          <w:tcPr>
            <w:tcW w:w="4374" w:type="dxa"/>
            <w:gridSpan w:val="2"/>
          </w:tcPr>
          <w:p w14:paraId="4A92B424" w14:textId="77777777" w:rsidR="00293B53" w:rsidRPr="00293B53" w:rsidRDefault="00293B53" w:rsidP="00293B53">
            <w:pPr>
              <w:keepNext/>
              <w:spacing w:after="0" w:line="240" w:lineRule="auto"/>
              <w:jc w:val="center"/>
              <w:outlineLvl w:val="1"/>
              <w:rPr>
                <w:b/>
                <w:rFonts w:ascii="Garamond" w:eastAsia="Times New Roman" w:hAnsi="Garamond" w:cs="Times New Roman"/>
              </w:rPr>
            </w:pPr>
            <w:r>
              <w:rPr>
                <w:b/>
                <w:rFonts w:ascii="Garamond" w:hAnsi="Garamond"/>
              </w:rPr>
              <w:t xml:space="preserve">Regno del Belgio</w:t>
            </w:r>
          </w:p>
        </w:tc>
      </w:tr>
      <w:tr w:rsidR="00293B53" w:rsidRPr="00293B53" w14:paraId="4E7674DA" w14:textId="77777777" w:rsidTr="00293B53">
        <w:trPr>
          <w:gridAfter w:val="1"/>
          <w:wAfter w:w="18" w:type="dxa"/>
          <w:jc w:val="center"/>
        </w:trPr>
        <w:tc>
          <w:tcPr>
            <w:tcW w:w="4374" w:type="dxa"/>
            <w:gridSpan w:val="2"/>
          </w:tcPr>
          <w:p w14:paraId="43FE0FED" w14:textId="77777777" w:rsidR="00293B53" w:rsidRPr="00293B53" w:rsidRDefault="00293B53" w:rsidP="00293B53">
            <w:pPr>
              <w:tabs>
                <w:tab w:val="left" w:pos="2410"/>
              </w:tabs>
              <w:spacing w:after="0" w:line="240" w:lineRule="auto"/>
              <w:jc w:val="center"/>
              <w:rPr>
                <w:rFonts w:ascii="Garamond" w:eastAsia="Times New Roman" w:hAnsi="Garamond" w:cs="Times New Roman"/>
              </w:rPr>
            </w:pPr>
            <w:r>
              <w:rPr>
                <w:rFonts w:ascii="Garamond" w:hAnsi="Garamond"/>
              </w:rPr>
              <w:t xml:space="preserve">_________</w:t>
            </w:r>
          </w:p>
        </w:tc>
      </w:tr>
      <w:tr w:rsidR="00293B53" w:rsidRPr="00293B53" w14:paraId="034E8714" w14:textId="77777777" w:rsidTr="00293B53">
        <w:trPr>
          <w:gridAfter w:val="1"/>
          <w:wAfter w:w="18" w:type="dxa"/>
          <w:jc w:val="center"/>
        </w:trPr>
        <w:tc>
          <w:tcPr>
            <w:tcW w:w="4374" w:type="dxa"/>
            <w:gridSpan w:val="2"/>
          </w:tcPr>
          <w:p w14:paraId="316D9BEC" w14:textId="77777777" w:rsidR="00293B53" w:rsidRPr="00293B53" w:rsidRDefault="00293B53" w:rsidP="00293B53">
            <w:pPr>
              <w:tabs>
                <w:tab w:val="left" w:pos="2410"/>
              </w:tabs>
              <w:spacing w:after="0" w:line="240" w:lineRule="auto"/>
              <w:jc w:val="center"/>
              <w:rPr>
                <w:rFonts w:ascii="Garamond" w:eastAsia="Times New Roman" w:hAnsi="Garamond" w:cs="Times New Roman"/>
                <w:lang w:eastAsia="nl-NL"/>
              </w:rPr>
            </w:pPr>
          </w:p>
        </w:tc>
      </w:tr>
      <w:tr w:rsidR="00293B53" w:rsidRPr="00293B53" w14:paraId="573A68C9" w14:textId="77777777" w:rsidTr="00293B53">
        <w:trPr>
          <w:gridAfter w:val="1"/>
          <w:wAfter w:w="18" w:type="dxa"/>
          <w:jc w:val="center"/>
        </w:trPr>
        <w:tc>
          <w:tcPr>
            <w:tcW w:w="4374" w:type="dxa"/>
            <w:gridSpan w:val="2"/>
          </w:tcPr>
          <w:p w14:paraId="76A0BD4A" w14:textId="77777777" w:rsidR="00293B53" w:rsidRPr="00293B53" w:rsidRDefault="00293B53" w:rsidP="00293B53">
            <w:pPr>
              <w:tabs>
                <w:tab w:val="left" w:pos="2410"/>
                <w:tab w:val="left" w:pos="3616"/>
                <w:tab w:val="left" w:pos="3899"/>
              </w:tabs>
              <w:spacing w:after="0" w:line="240" w:lineRule="auto"/>
              <w:jc w:val="center"/>
              <w:rPr>
                <w:b/>
                <w:bCs/>
                <w:rFonts w:ascii="Garamond" w:eastAsia="Times New Roman" w:hAnsi="Garamond" w:cs="Times New Roman"/>
              </w:rPr>
            </w:pPr>
            <w:r>
              <w:rPr>
                <w:b/>
                <w:rFonts w:ascii="Garamond" w:hAnsi="Garamond"/>
              </w:rPr>
              <w:t xml:space="preserve">SERVIZIO PUBBLICO FEDERALE PER LA SANITÀ PUBBLICA, LA SICUREZZA DELLA CATENA ALIMENTARE E L'AMBIENTE</w:t>
            </w:r>
          </w:p>
        </w:tc>
      </w:tr>
      <w:tr w:rsidR="00293B53" w:rsidRPr="00293B53" w14:paraId="361212FE" w14:textId="77777777" w:rsidTr="00293B53">
        <w:trPr>
          <w:gridAfter w:val="1"/>
          <w:wAfter w:w="18" w:type="dxa"/>
          <w:jc w:val="center"/>
        </w:trPr>
        <w:tc>
          <w:tcPr>
            <w:tcW w:w="4374" w:type="dxa"/>
            <w:gridSpan w:val="2"/>
          </w:tcPr>
          <w:p w14:paraId="76D2D742" w14:textId="77777777" w:rsidR="00293B53" w:rsidRPr="00293B53" w:rsidRDefault="00293B53" w:rsidP="00293B53">
            <w:pPr>
              <w:tabs>
                <w:tab w:val="left" w:pos="2410"/>
              </w:tabs>
              <w:spacing w:after="0" w:line="240" w:lineRule="auto"/>
              <w:jc w:val="center"/>
              <w:rPr>
                <w:bCs/>
                <w:rFonts w:ascii="Garamond" w:eastAsia="Times New Roman" w:hAnsi="Garamond" w:cs="Times New Roman"/>
              </w:rPr>
            </w:pPr>
            <w:r>
              <w:rPr>
                <w:rFonts w:ascii="Garamond" w:hAnsi="Garamond"/>
              </w:rPr>
              <w:t xml:space="preserve">________________________</w:t>
            </w:r>
          </w:p>
        </w:tc>
      </w:tr>
      <w:tr w:rsidR="00293B53" w:rsidRPr="00293B53" w14:paraId="4D46C327" w14:textId="77777777" w:rsidTr="00293B53">
        <w:trPr>
          <w:gridAfter w:val="1"/>
          <w:wAfter w:w="18" w:type="dxa"/>
          <w:jc w:val="center"/>
        </w:trPr>
        <w:tc>
          <w:tcPr>
            <w:tcW w:w="4374" w:type="dxa"/>
            <w:gridSpan w:val="2"/>
          </w:tcPr>
          <w:p w14:paraId="6E6F6C64" w14:textId="77777777" w:rsidR="00293B53" w:rsidRPr="00293B53" w:rsidRDefault="00293B53" w:rsidP="00293B53">
            <w:pPr>
              <w:tabs>
                <w:tab w:val="left" w:pos="2410"/>
              </w:tabs>
              <w:spacing w:after="0" w:line="240" w:lineRule="auto"/>
              <w:jc w:val="center"/>
              <w:rPr>
                <w:rFonts w:ascii="Garamond" w:eastAsia="Times New Roman" w:hAnsi="Garamond" w:cs="Times New Roman"/>
                <w:lang w:val="fr-FR" w:eastAsia="nl-NL"/>
              </w:rPr>
            </w:pPr>
          </w:p>
          <w:p w14:paraId="439E3B87" w14:textId="77777777" w:rsidR="00293B53" w:rsidRPr="00293B53" w:rsidRDefault="00293B53" w:rsidP="00293B53">
            <w:pPr>
              <w:tabs>
                <w:tab w:val="left" w:pos="2410"/>
              </w:tabs>
              <w:spacing w:after="0" w:line="240" w:lineRule="auto"/>
              <w:jc w:val="center"/>
              <w:rPr>
                <w:rFonts w:ascii="Garamond" w:eastAsia="Times New Roman" w:hAnsi="Garamond" w:cs="Times New Roman"/>
                <w:lang w:val="fr-FR" w:eastAsia="nl-NL"/>
              </w:rPr>
            </w:pPr>
          </w:p>
        </w:tc>
      </w:tr>
      <w:tr w:rsidR="00293B53" w:rsidRPr="00293B53" w14:paraId="73657689" w14:textId="77777777" w:rsidTr="00293B53">
        <w:trPr>
          <w:gridAfter w:val="1"/>
          <w:wAfter w:w="18" w:type="dxa"/>
          <w:jc w:val="center"/>
        </w:trPr>
        <w:tc>
          <w:tcPr>
            <w:tcW w:w="4374" w:type="dxa"/>
            <w:gridSpan w:val="2"/>
          </w:tcPr>
          <w:p w14:paraId="2EB98842" w14:textId="77777777" w:rsidR="00293B53" w:rsidRPr="00293B53" w:rsidRDefault="00293B53" w:rsidP="00293B53">
            <w:pPr>
              <w:tabs>
                <w:tab w:val="left" w:pos="2410"/>
              </w:tabs>
              <w:spacing w:after="0" w:line="240" w:lineRule="auto"/>
              <w:jc w:val="center"/>
              <w:rPr>
                <w:b/>
                <w:bCs/>
                <w:rFonts w:ascii="Garamond" w:eastAsia="Times New Roman" w:hAnsi="Garamond" w:cs="Times New Roman"/>
              </w:rPr>
            </w:pPr>
            <w:r>
              <w:rPr>
                <w:b/>
                <w:color w:val="000000"/>
                <w:rFonts w:ascii="Garamond" w:hAnsi="Garamond"/>
              </w:rPr>
              <w:t xml:space="preserve">Regio decreto che vieta la fabbricazione e l'immissione sul mercato di taluni prodotti simili</w:t>
            </w:r>
            <w:r>
              <w:rPr>
                <w:b/>
                <w:color w:val="000000"/>
                <w:rFonts w:ascii="Garamond" w:hAnsi="Garamond"/>
              </w:rPr>
              <w:t xml:space="preserve"> </w:t>
            </w:r>
          </w:p>
        </w:tc>
      </w:tr>
      <w:tr w:rsidR="00293B53" w:rsidRPr="00293B53" w14:paraId="4F0A5BD4" w14:textId="77777777" w:rsidTr="00293B53">
        <w:trPr>
          <w:gridAfter w:val="1"/>
          <w:wAfter w:w="18" w:type="dxa"/>
          <w:jc w:val="center"/>
        </w:trPr>
        <w:tc>
          <w:tcPr>
            <w:tcW w:w="4374" w:type="dxa"/>
            <w:gridSpan w:val="2"/>
          </w:tcPr>
          <w:p w14:paraId="1681569D" w14:textId="77777777" w:rsidR="00293B53" w:rsidRPr="00293B53" w:rsidRDefault="00293B53" w:rsidP="00293B53">
            <w:pPr>
              <w:spacing w:after="0" w:line="240" w:lineRule="auto"/>
              <w:rPr>
                <w:rFonts w:ascii="Garamond" w:eastAsia="Times New Roman" w:hAnsi="Garamond" w:cs="Times New Roman"/>
                <w:b/>
                <w:lang w:eastAsia="nl-NL"/>
              </w:rPr>
            </w:pPr>
          </w:p>
        </w:tc>
      </w:tr>
      <w:tr w:rsidR="00293B53" w:rsidRPr="00293B53" w14:paraId="6F74941D" w14:textId="77777777" w:rsidTr="00293B53">
        <w:trPr>
          <w:gridAfter w:val="1"/>
          <w:wAfter w:w="18" w:type="dxa"/>
          <w:jc w:val="center"/>
        </w:trPr>
        <w:tc>
          <w:tcPr>
            <w:tcW w:w="4374" w:type="dxa"/>
            <w:gridSpan w:val="2"/>
          </w:tcPr>
          <w:p w14:paraId="5B71A77C" w14:textId="77777777" w:rsidR="00293B53" w:rsidRPr="00293B53" w:rsidRDefault="00293B53" w:rsidP="00293B53">
            <w:pPr>
              <w:spacing w:after="0" w:line="240" w:lineRule="auto"/>
              <w:jc w:val="center"/>
              <w:rPr>
                <w:b/>
                <w:bCs/>
                <w:rFonts w:ascii="Garamond" w:eastAsia="Times New Roman" w:hAnsi="Garamond" w:cs="Times New Roman"/>
              </w:rPr>
            </w:pPr>
            <w:r>
              <w:rPr>
                <w:b/>
                <w:rFonts w:ascii="Garamond" w:hAnsi="Garamond"/>
              </w:rPr>
              <w:t xml:space="preserve">FILIPPO, Re dei Belgi,</w:t>
            </w:r>
            <w:r>
              <w:rPr>
                <w:b/>
                <w:rFonts w:ascii="Garamond" w:hAnsi="Garamond"/>
              </w:rPr>
              <w:t xml:space="preserve"> </w:t>
            </w:r>
          </w:p>
        </w:tc>
      </w:tr>
      <w:tr w:rsidR="00293B53" w:rsidRPr="00293B53" w14:paraId="5E588F65" w14:textId="77777777" w:rsidTr="00293B53">
        <w:trPr>
          <w:gridAfter w:val="1"/>
          <w:wAfter w:w="18" w:type="dxa"/>
          <w:jc w:val="center"/>
        </w:trPr>
        <w:tc>
          <w:tcPr>
            <w:tcW w:w="4374" w:type="dxa"/>
            <w:gridSpan w:val="2"/>
          </w:tcPr>
          <w:p w14:paraId="666317A4" w14:textId="77777777" w:rsidR="00293B53" w:rsidRPr="00293B53" w:rsidRDefault="00293B53" w:rsidP="00293B53">
            <w:pPr>
              <w:spacing w:after="0" w:line="240" w:lineRule="auto"/>
              <w:jc w:val="center"/>
              <w:rPr>
                <w:rFonts w:ascii="Garamond" w:eastAsia="Times New Roman" w:hAnsi="Garamond" w:cs="Times New Roman"/>
                <w:bCs/>
                <w:lang w:eastAsia="nl-NL"/>
              </w:rPr>
            </w:pPr>
          </w:p>
        </w:tc>
      </w:tr>
      <w:tr w:rsidR="00293B53" w:rsidRPr="00293B53" w14:paraId="125F9B8B" w14:textId="77777777" w:rsidTr="00293B53">
        <w:trPr>
          <w:gridAfter w:val="1"/>
          <w:wAfter w:w="18" w:type="dxa"/>
          <w:jc w:val="center"/>
        </w:trPr>
        <w:tc>
          <w:tcPr>
            <w:tcW w:w="4374" w:type="dxa"/>
            <w:gridSpan w:val="2"/>
          </w:tcPr>
          <w:p w14:paraId="0682021E" w14:textId="77777777" w:rsidR="00293B53" w:rsidRPr="00293B53" w:rsidRDefault="00293B53" w:rsidP="00293B53">
            <w:pPr>
              <w:tabs>
                <w:tab w:val="left" w:pos="355"/>
                <w:tab w:val="left" w:pos="2410"/>
              </w:tabs>
              <w:spacing w:after="0" w:line="240" w:lineRule="auto"/>
              <w:jc w:val="center"/>
              <w:rPr>
                <w:rFonts w:ascii="Garamond" w:eastAsia="Times New Roman" w:hAnsi="Garamond" w:cs="Times New Roman"/>
              </w:rPr>
            </w:pPr>
            <w:r>
              <w:rPr>
                <w:rFonts w:ascii="Garamond" w:hAnsi="Garamond"/>
              </w:rPr>
              <w:t xml:space="preserve">A tutti i presenti e a quelli che verranno, saluti.</w:t>
            </w:r>
          </w:p>
        </w:tc>
      </w:tr>
      <w:tr w:rsidR="00293B53" w:rsidRPr="00293B53" w14:paraId="6EE6F2B3" w14:textId="77777777" w:rsidTr="00293B53">
        <w:trPr>
          <w:gridAfter w:val="1"/>
          <w:wAfter w:w="18" w:type="dxa"/>
          <w:jc w:val="center"/>
        </w:trPr>
        <w:tc>
          <w:tcPr>
            <w:tcW w:w="4374" w:type="dxa"/>
            <w:gridSpan w:val="2"/>
          </w:tcPr>
          <w:p w14:paraId="78DEDB8A" w14:textId="77777777" w:rsidR="00293B53" w:rsidRPr="00293B53" w:rsidRDefault="00293B53" w:rsidP="00293B53">
            <w:pPr>
              <w:keepNext/>
              <w:tabs>
                <w:tab w:val="left" w:pos="567"/>
                <w:tab w:val="left" w:pos="2410"/>
              </w:tabs>
              <w:spacing w:after="0" w:line="240" w:lineRule="auto"/>
              <w:outlineLvl w:val="0"/>
              <w:rPr>
                <w:rFonts w:ascii="Garamond" w:eastAsia="Times New Roman" w:hAnsi="Garamond" w:cs="Times New Roman"/>
                <w:lang w:eastAsia="nl-NL"/>
              </w:rPr>
            </w:pPr>
          </w:p>
        </w:tc>
      </w:tr>
      <w:tr w:rsidR="00293B53" w:rsidRPr="00293B53" w14:paraId="7E32D738" w14:textId="77777777" w:rsidTr="00293B53">
        <w:trPr>
          <w:gridAfter w:val="1"/>
          <w:wAfter w:w="18" w:type="dxa"/>
          <w:trHeight w:val="824"/>
          <w:jc w:val="center"/>
        </w:trPr>
        <w:tc>
          <w:tcPr>
            <w:tcW w:w="4374" w:type="dxa"/>
            <w:gridSpan w:val="2"/>
          </w:tcPr>
          <w:p w14:paraId="2CF9BA62" w14:textId="77777777" w:rsidR="00293B53" w:rsidRPr="00293B53" w:rsidRDefault="00293B53" w:rsidP="00293B53">
            <w:pPr>
              <w:keepNext/>
              <w:tabs>
                <w:tab w:val="left" w:pos="355"/>
                <w:tab w:val="left" w:pos="2410"/>
              </w:tabs>
              <w:spacing w:after="0" w:line="240" w:lineRule="auto"/>
              <w:jc w:val="both"/>
              <w:outlineLvl w:val="0"/>
              <w:rPr>
                <w:rFonts w:ascii="Garamond" w:eastAsia="Times New Roman" w:hAnsi="Garamond" w:cs="Times New Roman"/>
              </w:rPr>
            </w:pPr>
            <w:r>
              <w:rPr>
                <w:rFonts w:ascii="Garamond" w:hAnsi="Garamond"/>
              </w:rPr>
              <w:t xml:space="preserve">Visto l'articolo 6, paragrafo 1, lettera a), della legge del 24 gennaio 1977 sulla tutela della salute dei consumatori in materia di alimenti e di altri prodotti, modificata dalla legge del 22 marzo 1989, e l'articolo 18, paragrafo 1, sostituito dalla legge del 22 marzo 1989 e modificato dalla legge del 22 dicembre 2003;</w:t>
            </w:r>
          </w:p>
        </w:tc>
      </w:tr>
      <w:tr w:rsidR="00293B53" w:rsidRPr="00293B53" w14:paraId="4817417F" w14:textId="77777777" w:rsidTr="00293B53">
        <w:trPr>
          <w:gridAfter w:val="1"/>
          <w:wAfter w:w="18" w:type="dxa"/>
          <w:trHeight w:val="206"/>
          <w:jc w:val="center"/>
        </w:trPr>
        <w:tc>
          <w:tcPr>
            <w:tcW w:w="4374" w:type="dxa"/>
            <w:gridSpan w:val="2"/>
          </w:tcPr>
          <w:p w14:paraId="7F7787EF" w14:textId="77777777" w:rsidR="00293B53" w:rsidRPr="00293B53" w:rsidRDefault="00293B53" w:rsidP="00293B53">
            <w:pPr>
              <w:tabs>
                <w:tab w:val="left" w:pos="355"/>
                <w:tab w:val="left" w:pos="2410"/>
              </w:tabs>
              <w:spacing w:after="0" w:line="240" w:lineRule="auto"/>
              <w:jc w:val="both"/>
              <w:rPr>
                <w:rFonts w:ascii="Garamond" w:eastAsia="Times New Roman" w:hAnsi="Garamond" w:cs="Times New Roman"/>
                <w:bCs/>
                <w:lang w:eastAsia="nl-NL"/>
              </w:rPr>
            </w:pPr>
          </w:p>
        </w:tc>
      </w:tr>
      <w:tr w:rsidR="00293B53" w:rsidRPr="00293B53" w14:paraId="147A46B6" w14:textId="77777777" w:rsidTr="00293B53">
        <w:trPr>
          <w:gridAfter w:val="1"/>
          <w:wAfter w:w="18" w:type="dxa"/>
          <w:jc w:val="center"/>
        </w:trPr>
        <w:tc>
          <w:tcPr>
            <w:tcW w:w="4374" w:type="dxa"/>
            <w:gridSpan w:val="2"/>
          </w:tcPr>
          <w:p w14:paraId="3F3879CE"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visto il parere dell'Ispettorato delle finanze, emanato il </w:t>
            </w:r>
            <w:r>
              <w:rPr>
                <w:highlight w:val="yellow"/>
                <w:rFonts w:ascii="Garamond" w:hAnsi="Garamond"/>
              </w:rPr>
              <w:t xml:space="preserve">XXX</w:t>
            </w:r>
            <w:r>
              <w:rPr>
                <w:rFonts w:ascii="Garamond" w:hAnsi="Garamond"/>
              </w:rPr>
              <w:t xml:space="preserve">;</w:t>
            </w:r>
          </w:p>
        </w:tc>
      </w:tr>
      <w:tr w:rsidR="00293B53" w:rsidRPr="00293B53" w14:paraId="264511E8" w14:textId="77777777" w:rsidTr="00293B53">
        <w:trPr>
          <w:gridAfter w:val="1"/>
          <w:wAfter w:w="18" w:type="dxa"/>
          <w:jc w:val="center"/>
        </w:trPr>
        <w:tc>
          <w:tcPr>
            <w:tcW w:w="4374" w:type="dxa"/>
            <w:gridSpan w:val="2"/>
          </w:tcPr>
          <w:p w14:paraId="31F7687E"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23DC097E" w14:textId="77777777" w:rsidTr="00293B53">
        <w:trPr>
          <w:gridAfter w:val="1"/>
          <w:wAfter w:w="18" w:type="dxa"/>
          <w:jc w:val="center"/>
        </w:trPr>
        <w:tc>
          <w:tcPr>
            <w:tcW w:w="4374" w:type="dxa"/>
            <w:gridSpan w:val="2"/>
          </w:tcPr>
          <w:p w14:paraId="42CCC414"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visto l'accordo del segretario di Stato al Bilancio, emesso il </w:t>
            </w:r>
            <w:r>
              <w:rPr>
                <w:highlight w:val="yellow"/>
                <w:rFonts w:ascii="Garamond" w:hAnsi="Garamond"/>
              </w:rPr>
              <w:t xml:space="preserve">XXX</w:t>
            </w:r>
            <w:r>
              <w:rPr>
                <w:rFonts w:ascii="Garamond" w:hAnsi="Garamond"/>
              </w:rPr>
              <w:t xml:space="preserve">;</w:t>
            </w:r>
          </w:p>
        </w:tc>
      </w:tr>
      <w:tr w:rsidR="00293B53" w:rsidRPr="00293B53" w14:paraId="72A4337F" w14:textId="77777777" w:rsidTr="00293B53">
        <w:trPr>
          <w:gridAfter w:val="1"/>
          <w:wAfter w:w="18" w:type="dxa"/>
          <w:jc w:val="center"/>
        </w:trPr>
        <w:tc>
          <w:tcPr>
            <w:tcW w:w="4374" w:type="dxa"/>
            <w:gridSpan w:val="2"/>
          </w:tcPr>
          <w:p w14:paraId="4B64F825"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28E629CC" w14:textId="77777777" w:rsidTr="00293B53">
        <w:trPr>
          <w:gridAfter w:val="1"/>
          <w:wAfter w:w="18" w:type="dxa"/>
          <w:jc w:val="center"/>
        </w:trPr>
        <w:tc>
          <w:tcPr>
            <w:tcW w:w="4374" w:type="dxa"/>
            <w:gridSpan w:val="2"/>
          </w:tcPr>
          <w:p w14:paraId="20587FC2"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vista la valutazione d'impatto del regolamento del </w:t>
            </w:r>
            <w:r>
              <w:rPr>
                <w:highlight w:val="yellow"/>
                <w:rFonts w:ascii="Garamond" w:hAnsi="Garamond"/>
              </w:rPr>
              <w:t xml:space="preserve">XXX</w:t>
            </w:r>
            <w:r>
              <w:rPr>
                <w:rFonts w:ascii="Garamond" w:hAnsi="Garamond"/>
              </w:rPr>
              <w:t xml:space="preserve">, effettuata conformemente agli articoli 6 e 7 della legge del 15 dicembre 2013, contenente varie disposizioni in materia di semplificazione amministrativa;</w:t>
            </w:r>
          </w:p>
        </w:tc>
      </w:tr>
      <w:tr w:rsidR="00293B53" w:rsidRPr="00293B53" w14:paraId="6CD5DB28" w14:textId="77777777" w:rsidTr="00293B53">
        <w:trPr>
          <w:gridAfter w:val="1"/>
          <w:wAfter w:w="18" w:type="dxa"/>
          <w:jc w:val="center"/>
        </w:trPr>
        <w:tc>
          <w:tcPr>
            <w:tcW w:w="4374" w:type="dxa"/>
            <w:gridSpan w:val="2"/>
          </w:tcPr>
          <w:p w14:paraId="20DE402B"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472FB668" w14:textId="77777777" w:rsidTr="00293B53">
        <w:trPr>
          <w:gridAfter w:val="1"/>
          <w:wAfter w:w="18" w:type="dxa"/>
          <w:jc w:val="center"/>
        </w:trPr>
        <w:tc>
          <w:tcPr>
            <w:tcW w:w="4374" w:type="dxa"/>
            <w:gridSpan w:val="2"/>
          </w:tcPr>
          <w:p w14:paraId="63457AED"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vista la comunicazione alla Commissione europea del </w:t>
            </w:r>
            <w:r>
              <w:rPr>
                <w:highlight w:val="yellow"/>
                <w:rFonts w:ascii="Garamond" w:hAnsi="Garamond"/>
              </w:rPr>
              <w:t xml:space="preserve">XXX</w:t>
            </w:r>
            <w:r>
              <w:rPr>
                <w:rFonts w:ascii="Garamond" w:hAnsi="Garamond"/>
              </w:rPr>
              <w:t xml:space="preserve">, in applicazione dell'articolo 5, paragrafo 1, della direttiva (UE) 2015/1535 del Parlamento europeo e del Consiglio, del 9 settembre 2015, che prevede una procedura d'informazione nel settore delle regolamentazioni tecniche e delle regole relative ai servizi della società dell'informazione;</w:t>
            </w:r>
          </w:p>
          <w:p w14:paraId="7B89B76D"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p w14:paraId="6D4ECEED"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[vista l'osservazione della Commissione europea a seguito della comunicazione......... del...............;]</w:t>
            </w:r>
          </w:p>
          <w:p w14:paraId="03653D88"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p w14:paraId="5DF63F6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visto il parere </w:t>
            </w:r>
            <w:r>
              <w:rPr>
                <w:highlight w:val="yellow"/>
                <w:rFonts w:ascii="Garamond" w:hAnsi="Garamond"/>
              </w:rPr>
              <w:t xml:space="preserve">XX</w:t>
            </w:r>
            <w:r>
              <w:rPr>
                <w:rFonts w:ascii="Garamond" w:hAnsi="Garamond"/>
              </w:rPr>
              <w:t xml:space="preserve"> del Consiglio di Stato, pubblicato il </w:t>
            </w:r>
            <w:r>
              <w:rPr>
                <w:highlight w:val="yellow"/>
                <w:rFonts w:ascii="Garamond" w:hAnsi="Garamond"/>
              </w:rPr>
              <w:t xml:space="preserve">XXX</w:t>
            </w:r>
            <w:r>
              <w:rPr>
                <w:rFonts w:ascii="Garamond" w:hAnsi="Garamond"/>
              </w:rPr>
              <w:t xml:space="preserve">, ai sensi dell'articolo 84, paragrafo 1, comma 2, delle leggi sul Consiglio di Stato, consolidate il 12 gennaio 1973;</w:t>
            </w:r>
          </w:p>
        </w:tc>
      </w:tr>
      <w:tr w:rsidR="00293B53" w:rsidRPr="00293B53" w14:paraId="757AB588" w14:textId="77777777" w:rsidTr="00293B53">
        <w:trPr>
          <w:gridAfter w:val="1"/>
          <w:wAfter w:w="18" w:type="dxa"/>
          <w:jc w:val="center"/>
        </w:trPr>
        <w:tc>
          <w:tcPr>
            <w:tcW w:w="4374" w:type="dxa"/>
            <w:gridSpan w:val="2"/>
          </w:tcPr>
          <w:p w14:paraId="0C758169" w14:textId="77777777" w:rsidR="00293B53" w:rsidRPr="004C1DD3" w:rsidRDefault="00293B53" w:rsidP="00293B53">
            <w:pPr>
              <w:tabs>
                <w:tab w:val="left" w:pos="2410"/>
              </w:tabs>
              <w:spacing w:after="0" w:line="240" w:lineRule="auto"/>
              <w:jc w:val="both"/>
              <w:rPr>
                <w:rFonts w:ascii="Garamond" w:eastAsia="Times New Roman" w:hAnsi="Garamond" w:cs="Times New Roman"/>
                <w:lang w:val="fr-FR" w:eastAsia="nl-NL"/>
              </w:rPr>
            </w:pPr>
          </w:p>
        </w:tc>
      </w:tr>
      <w:tr w:rsidR="00293B53" w:rsidRPr="00293B53" w14:paraId="42291B66" w14:textId="77777777" w:rsidTr="00293B53">
        <w:trPr>
          <w:gridAfter w:val="1"/>
          <w:wAfter w:w="18" w:type="dxa"/>
          <w:jc w:val="center"/>
        </w:trPr>
        <w:tc>
          <w:tcPr>
            <w:tcW w:w="4374" w:type="dxa"/>
            <w:gridSpan w:val="2"/>
          </w:tcPr>
          <w:p w14:paraId="7F9326A7" w14:textId="77777777" w:rsidR="00293B53" w:rsidRPr="00293B53" w:rsidRDefault="00293B53" w:rsidP="00293B53">
            <w:pPr>
              <w:tabs>
                <w:tab w:val="left" w:pos="355"/>
                <w:tab w:val="left" w:pos="567"/>
                <w:tab w:val="left" w:pos="2410"/>
              </w:tabs>
              <w:spacing w:after="0" w:line="240" w:lineRule="auto"/>
              <w:jc w:val="both"/>
              <w:rPr>
                <w:rFonts w:ascii="Garamond" w:eastAsia="Times New Roman" w:hAnsi="Garamond" w:cs="Times New Roman"/>
              </w:rPr>
            </w:pPr>
            <w:r>
              <w:rPr>
                <w:rFonts w:ascii="Garamond" w:hAnsi="Garamond"/>
              </w:rPr>
              <w:t xml:space="preserve">su proposta del ministro della Salute pubblica,</w:t>
            </w:r>
            <w:r>
              <w:rPr>
                <w:rFonts w:ascii="Garamond" w:hAnsi="Garamond"/>
              </w:rPr>
              <w:t xml:space="preserve"> </w:t>
            </w:r>
          </w:p>
        </w:tc>
      </w:tr>
      <w:tr w:rsidR="00293B53" w:rsidRPr="00293B53" w14:paraId="3DC3CC19" w14:textId="77777777" w:rsidTr="00293B53">
        <w:trPr>
          <w:gridAfter w:val="1"/>
          <w:wAfter w:w="18" w:type="dxa"/>
          <w:jc w:val="center"/>
        </w:trPr>
        <w:tc>
          <w:tcPr>
            <w:tcW w:w="4374" w:type="dxa"/>
            <w:gridSpan w:val="2"/>
          </w:tcPr>
          <w:p w14:paraId="3E0CFD5C"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6546F921" w14:textId="77777777" w:rsidTr="00293B53">
        <w:trPr>
          <w:gridAfter w:val="1"/>
          <w:wAfter w:w="18" w:type="dxa"/>
          <w:jc w:val="center"/>
        </w:trPr>
        <w:tc>
          <w:tcPr>
            <w:tcW w:w="4374" w:type="dxa"/>
            <w:gridSpan w:val="2"/>
          </w:tcPr>
          <w:p w14:paraId="1B79A530" w14:textId="77777777" w:rsidR="00293B53" w:rsidRPr="00293B53" w:rsidRDefault="00293B53" w:rsidP="00293B53">
            <w:pPr>
              <w:tabs>
                <w:tab w:val="left" w:pos="355"/>
                <w:tab w:val="left" w:pos="2410"/>
              </w:tabs>
              <w:spacing w:after="0" w:line="240" w:lineRule="auto"/>
              <w:jc w:val="center"/>
              <w:rPr>
                <w:rFonts w:ascii="Garamond" w:eastAsia="Times New Roman" w:hAnsi="Garamond" w:cs="Times New Roman"/>
              </w:rPr>
            </w:pPr>
            <w:r>
              <w:rPr>
                <w:rFonts w:ascii="Garamond" w:hAnsi="Garamond"/>
              </w:rPr>
              <w:t xml:space="preserve">HO DECRETATO E DECRETO QUANTO SEGUE:</w:t>
            </w:r>
          </w:p>
        </w:tc>
      </w:tr>
      <w:tr w:rsidR="00293B53" w:rsidRPr="00293B53" w14:paraId="554EB2BA" w14:textId="77777777" w:rsidTr="00293B53">
        <w:trPr>
          <w:gridAfter w:val="1"/>
          <w:wAfter w:w="18" w:type="dxa"/>
          <w:jc w:val="center"/>
        </w:trPr>
        <w:tc>
          <w:tcPr>
            <w:tcW w:w="4374" w:type="dxa"/>
            <w:gridSpan w:val="2"/>
          </w:tcPr>
          <w:p w14:paraId="6ED059A0" w14:textId="77777777" w:rsidR="00293B53" w:rsidRPr="00293B53" w:rsidRDefault="00293B53" w:rsidP="00293B53">
            <w:pPr>
              <w:tabs>
                <w:tab w:val="left" w:pos="567"/>
                <w:tab w:val="left" w:pos="2410"/>
              </w:tabs>
              <w:spacing w:after="0" w:line="240" w:lineRule="auto"/>
              <w:jc w:val="center"/>
              <w:rPr>
                <w:rFonts w:ascii="Garamond" w:eastAsia="Times New Roman" w:hAnsi="Garamond" w:cs="Times New Roman"/>
                <w:lang w:eastAsia="nl-NL"/>
              </w:rPr>
            </w:pPr>
          </w:p>
        </w:tc>
      </w:tr>
      <w:tr w:rsidR="00293B53" w:rsidRPr="00293B53" w14:paraId="4971376B" w14:textId="77777777" w:rsidTr="00293B53">
        <w:trPr>
          <w:gridAfter w:val="1"/>
          <w:wAfter w:w="18" w:type="dxa"/>
          <w:jc w:val="center"/>
        </w:trPr>
        <w:tc>
          <w:tcPr>
            <w:tcW w:w="4374" w:type="dxa"/>
            <w:gridSpan w:val="2"/>
          </w:tcPr>
          <w:p w14:paraId="472B68CE" w14:textId="77777777" w:rsidR="00293B53" w:rsidRPr="00293B53" w:rsidRDefault="00293B53" w:rsidP="00293B53">
            <w:pPr>
              <w:tabs>
                <w:tab w:val="left" w:pos="2410"/>
              </w:tabs>
              <w:spacing w:after="0" w:line="240" w:lineRule="auto"/>
              <w:jc w:val="both"/>
              <w:rPr>
                <w:b/>
                <w:bCs/>
                <w:rFonts w:ascii="Garamond" w:eastAsia="Times New Roman" w:hAnsi="Garamond" w:cs="Times New Roman"/>
              </w:rPr>
            </w:pPr>
            <w:r>
              <w:rPr>
                <w:b/>
                <w:rFonts w:ascii="Garamond" w:hAnsi="Garamond"/>
              </w:rPr>
              <w:t xml:space="preserve">Articolo 1.</w:t>
            </w:r>
            <w:r>
              <w:rPr>
                <w:rFonts w:ascii="Garamond" w:hAnsi="Garamond"/>
              </w:rPr>
              <w:t xml:space="preserve"> </w:t>
            </w:r>
            <w:r>
              <w:rPr>
                <w:b/>
                <w:rFonts w:ascii="Garamond" w:hAnsi="Garamond"/>
              </w:rPr>
              <w:t xml:space="preserve">Definizioni</w:t>
            </w:r>
          </w:p>
          <w:p w14:paraId="67607B8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Per l'applicazione del presente decreto si intende quanto segue:</w:t>
            </w:r>
          </w:p>
          <w:p w14:paraId="7B6EE77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(1) sacchetti di nicotina:</w:t>
            </w:r>
            <w:r>
              <w:rPr>
                <w:sz w:val="20"/>
                <w:rFonts w:ascii="Times New Roman" w:hAnsi="Times New Roman"/>
              </w:rPr>
              <w:t xml:space="preserve"> </w:t>
            </w:r>
            <w:r>
              <w:rPr>
                <w:rFonts w:ascii="Garamond" w:hAnsi="Garamond"/>
              </w:rPr>
              <w:t xml:space="preserve">qualsivoglia prodotto senza tabacco per uso orale costituito in tutto o in parte da nicotina sintetica o naturale sotto forma di polvere, particelle o pasta o in qualsiasi combinazione di dette forme, in particolare quelle porzionate in bustine o in bustine porose;</w:t>
            </w:r>
          </w:p>
          <w:p w14:paraId="68B1C33F" w14:textId="42A6D7BF"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(2) sacchetto di cannabinoidi: qualsivoglia prodotto per uso orale costituito da o contenente uno o più cannabinoidi o derivati, sotto forma di polvere, particelle o pasta o in qualsivoglia combinazione di dette forme, compresi quelli porzionati in bustine o in bustine porose;</w:t>
            </w:r>
          </w:p>
          <w:p w14:paraId="069C48FE"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3) immissione sul mercato: la messa a disposizione dei consumatori in Belgio, a prescindere dal luogo di produzione, di prodotti a pagamento o meno, anche attraverso la vendita a distanza;</w:t>
            </w:r>
          </w:p>
          <w:p w14:paraId="34A8EA7A"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(4) fabbricante: qualsivoglia persona fisica o giuridica che fabbrica un prodotto o lo fa progettare o fabbricare e che lo commercializza con il proprio nome o marchio;</w:t>
            </w:r>
          </w:p>
          <w:p w14:paraId="4F38189F"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(5) importatore in Belgio: il proprietario o la persona autorizzata a smaltire i prodotti introdotti nel territorio del Belgio;</w:t>
            </w:r>
          </w:p>
          <w:p w14:paraId="36155E7C"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(6)</w:t>
            </w:r>
            <w:r>
              <w:rPr>
                <w:sz w:val="20"/>
                <w:rFonts w:ascii="Times New Roman" w:hAnsi="Times New Roman"/>
              </w:rPr>
              <w:t xml:space="preserve"> </w:t>
            </w:r>
            <w:r>
              <w:rPr>
                <w:rFonts w:ascii="Garamond" w:hAnsi="Garamond"/>
              </w:rPr>
              <w:t xml:space="preserve">rivenditore:</w:t>
            </w:r>
            <w:r>
              <w:rPr>
                <w:sz w:val="20"/>
                <w:rFonts w:ascii="Times New Roman" w:hAnsi="Times New Roman"/>
              </w:rPr>
              <w:t xml:space="preserve"> </w:t>
            </w:r>
            <w:r>
              <w:rPr>
                <w:rFonts w:ascii="Garamond" w:hAnsi="Garamond"/>
              </w:rPr>
              <w:t xml:space="preserve">qualsivoglia punto di vendita presso il quale i prodotti sono immessi sul mercato, anche da una persona fisica.</w:t>
            </w:r>
          </w:p>
        </w:tc>
      </w:tr>
      <w:tr w:rsidR="00293B53" w:rsidRPr="00293B53" w14:paraId="75877B49" w14:textId="77777777" w:rsidTr="00293B53">
        <w:trPr>
          <w:gridAfter w:val="1"/>
          <w:wAfter w:w="18" w:type="dxa"/>
          <w:trHeight w:val="331"/>
          <w:jc w:val="center"/>
        </w:trPr>
        <w:tc>
          <w:tcPr>
            <w:tcW w:w="4374" w:type="dxa"/>
            <w:gridSpan w:val="2"/>
          </w:tcPr>
          <w:p w14:paraId="1767DBFD"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1DC59148" w14:textId="77777777" w:rsidTr="00293B53">
        <w:trPr>
          <w:gridAfter w:val="1"/>
          <w:wAfter w:w="18" w:type="dxa"/>
          <w:trHeight w:val="322"/>
          <w:jc w:val="center"/>
        </w:trPr>
        <w:tc>
          <w:tcPr>
            <w:tcW w:w="4374" w:type="dxa"/>
            <w:gridSpan w:val="2"/>
          </w:tcPr>
          <w:p w14:paraId="69918B7D"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Articolo 2.</w:t>
            </w:r>
            <w:r>
              <w:rPr>
                <w:b/>
                <w:rFonts w:ascii="Garamond" w:hAnsi="Garamond"/>
              </w:rPr>
              <w:t xml:space="preserve">  </w:t>
            </w:r>
            <w:r>
              <w:rPr>
                <w:b/>
                <w:rFonts w:ascii="Garamond" w:hAnsi="Garamond"/>
              </w:rPr>
              <w:t xml:space="preserve">Divieto</w:t>
            </w:r>
          </w:p>
          <w:p w14:paraId="0FA130E0"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È vietato immettere sul mercato sacchetti di nicotina e sacchetti di cannabinoidi.</w:t>
            </w:r>
          </w:p>
          <w:p w14:paraId="35DCBB85"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 </w:t>
            </w:r>
          </w:p>
        </w:tc>
      </w:tr>
      <w:tr w:rsidR="00293B53" w:rsidRPr="00293B53" w14:paraId="5552DB58" w14:textId="77777777" w:rsidTr="00293B53">
        <w:trPr>
          <w:gridAfter w:val="1"/>
          <w:wAfter w:w="18" w:type="dxa"/>
          <w:trHeight w:val="322"/>
          <w:jc w:val="center"/>
        </w:trPr>
        <w:tc>
          <w:tcPr>
            <w:tcW w:w="4374" w:type="dxa"/>
            <w:gridSpan w:val="2"/>
          </w:tcPr>
          <w:p w14:paraId="3F633FB0"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22918896" w14:textId="77777777" w:rsidTr="00293B53">
        <w:trPr>
          <w:gridAfter w:val="1"/>
          <w:wAfter w:w="18" w:type="dxa"/>
          <w:trHeight w:val="322"/>
          <w:jc w:val="center"/>
        </w:trPr>
        <w:tc>
          <w:tcPr>
            <w:tcW w:w="4374" w:type="dxa"/>
            <w:gridSpan w:val="2"/>
          </w:tcPr>
          <w:p w14:paraId="66B5A9BD"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Articolo 3.</w:t>
            </w:r>
            <w:r>
              <w:rPr>
                <w:b/>
                <w:rFonts w:ascii="Garamond" w:hAnsi="Garamond"/>
              </w:rPr>
              <w:t xml:space="preserve"> </w:t>
            </w:r>
            <w:r>
              <w:rPr>
                <w:b/>
                <w:rFonts w:ascii="Garamond" w:hAnsi="Garamond"/>
              </w:rPr>
              <w:t xml:space="preserve">Sanzioni penali</w:t>
            </w:r>
          </w:p>
          <w:p w14:paraId="623DB1A4"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Articolo 1.</w:t>
            </w:r>
            <w:r>
              <w:rPr>
                <w:b/>
                <w:rFonts w:ascii="Garamond" w:hAnsi="Garamond"/>
              </w:rPr>
              <w:t xml:space="preserve"> </w:t>
            </w:r>
            <w:r>
              <w:rPr>
                <w:rFonts w:ascii="Garamond" w:hAnsi="Garamond"/>
              </w:rPr>
              <w:t xml:space="preserve">I prodotti elencati all'articolo 2 del presente decreto sono da considerarsi nocivi, ai sensi dell'articolo 18 della legge del 24 gennaio 1977 sulla tutela della salute dei consumatori in relazione agli alimenti e ad altri prodotti.</w:t>
            </w:r>
          </w:p>
          <w:p w14:paraId="73D4D5B0"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Articolo 2.</w:t>
            </w:r>
            <w:r>
              <w:rPr>
                <w:rFonts w:ascii="Garamond" w:hAnsi="Garamond"/>
              </w:rPr>
              <w:t xml:space="preserve"> </w:t>
            </w:r>
            <w:r>
              <w:rPr>
                <w:rFonts w:ascii="Garamond" w:hAnsi="Garamond"/>
              </w:rPr>
              <w:t xml:space="preserve">Le violazioni del presente decreto sono ricercate, individuate e perseguite in conformità alle disposizioni della legge del 24 gennaio 1977 sopra citata.</w:t>
            </w:r>
          </w:p>
          <w:p w14:paraId="4716BD78"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Articolo 3.</w:t>
            </w:r>
            <w:r>
              <w:rPr>
                <w:rFonts w:ascii="Garamond" w:hAnsi="Garamond"/>
              </w:rPr>
              <w:t xml:space="preserve"> </w:t>
            </w:r>
            <w:r>
              <w:rPr>
                <w:rFonts w:ascii="Garamond" w:hAnsi="Garamond"/>
              </w:rPr>
              <w:t xml:space="preserve">Le sanzioni di cui all'articolo 13 della legge del 24 gennaio 1977 sulla tutela della salute dei consumatori in materia di alimenti e di altri prodotti sono punite in caso di violazione del divieto di cui all'articolo 2 del presente decreto.</w:t>
            </w:r>
          </w:p>
          <w:p w14:paraId="4E6F7A3C"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rFonts w:ascii="Garamond" w:hAnsi="Garamond"/>
              </w:rPr>
              <w:t xml:space="preserve">Articolo 4.</w:t>
            </w:r>
            <w:r>
              <w:rPr>
                <w:b/>
                <w:rFonts w:ascii="Garamond" w:hAnsi="Garamond"/>
              </w:rPr>
              <w:t xml:space="preserve"> </w:t>
            </w:r>
            <w:r>
              <w:rPr>
                <w:rFonts w:ascii="Garamond" w:hAnsi="Garamond"/>
              </w:rPr>
              <w:t xml:space="preserve">Il fabbricante, l'importatore in Belgio e il rivenditore possono essere ritenuti responsabili per il mancato rispetto dell'articolo 2 del presente decreto.</w:t>
            </w:r>
          </w:p>
        </w:tc>
      </w:tr>
      <w:tr w:rsidR="00293B53" w:rsidRPr="00293B53" w14:paraId="5529DEA8" w14:textId="77777777" w:rsidTr="00293B53">
        <w:trPr>
          <w:gridAfter w:val="1"/>
          <w:wAfter w:w="18" w:type="dxa"/>
          <w:trHeight w:val="322"/>
          <w:jc w:val="center"/>
        </w:trPr>
        <w:tc>
          <w:tcPr>
            <w:tcW w:w="4374" w:type="dxa"/>
            <w:gridSpan w:val="2"/>
          </w:tcPr>
          <w:p w14:paraId="4431B98F"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395EDD39" w14:textId="77777777" w:rsidTr="00293B53">
        <w:trPr>
          <w:gridAfter w:val="1"/>
          <w:wAfter w:w="18" w:type="dxa"/>
          <w:trHeight w:val="322"/>
          <w:jc w:val="center"/>
        </w:trPr>
        <w:tc>
          <w:tcPr>
            <w:tcW w:w="4374" w:type="dxa"/>
            <w:gridSpan w:val="2"/>
          </w:tcPr>
          <w:p w14:paraId="424FB9C2"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Articolo 4.</w:t>
            </w:r>
            <w:r>
              <w:rPr>
                <w:b/>
                <w:rFonts w:ascii="Garamond" w:hAnsi="Garamond"/>
              </w:rPr>
              <w:t xml:space="preserve"> </w:t>
            </w:r>
            <w:r>
              <w:rPr>
                <w:b/>
                <w:rFonts w:ascii="Garamond" w:hAnsi="Garamond"/>
              </w:rPr>
              <w:t xml:space="preserve">Entrata in vigore</w:t>
            </w:r>
          </w:p>
          <w:p w14:paraId="07962271"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rFonts w:ascii="Garamond" w:hAnsi="Garamond"/>
              </w:rPr>
              <w:t xml:space="preserve">Il presente decreto entra in vigore tre mesi dopo la pubblicazione sul Moniteur belge (Gazzetta ufficiale belga), fatta eccezione per il rivenditore per il quale il presente decreto entra in vigore sei mesi dopo la pubblicazione nel Moniteur belge (Gazzetta ufficiale belga).</w:t>
            </w:r>
          </w:p>
        </w:tc>
      </w:tr>
      <w:tr w:rsidR="00293B53" w:rsidRPr="00293B53" w14:paraId="75DA5B78" w14:textId="77777777" w:rsidTr="00293B53">
        <w:trPr>
          <w:gridAfter w:val="1"/>
          <w:wAfter w:w="18" w:type="dxa"/>
          <w:trHeight w:val="322"/>
          <w:jc w:val="center"/>
        </w:trPr>
        <w:tc>
          <w:tcPr>
            <w:tcW w:w="4374" w:type="dxa"/>
            <w:gridSpan w:val="2"/>
          </w:tcPr>
          <w:p w14:paraId="0759B75E" w14:textId="77777777" w:rsidR="00293B53" w:rsidRPr="004C1DD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ab/>
            </w:r>
          </w:p>
        </w:tc>
      </w:tr>
      <w:tr w:rsidR="00293B53" w:rsidRPr="00293B53" w14:paraId="14538C3B" w14:textId="77777777" w:rsidTr="00293B53">
        <w:trPr>
          <w:gridBefore w:val="1"/>
          <w:wBefore w:w="18" w:type="dxa"/>
          <w:trHeight w:val="322"/>
          <w:jc w:val="center"/>
        </w:trPr>
        <w:tc>
          <w:tcPr>
            <w:tcW w:w="4374" w:type="dxa"/>
            <w:gridSpan w:val="2"/>
          </w:tcPr>
          <w:p w14:paraId="54F409E5"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Articolo 5.</w:t>
            </w:r>
            <w:r>
              <w:rPr>
                <w:b/>
                <w:rFonts w:ascii="Garamond" w:hAnsi="Garamond"/>
              </w:rPr>
              <w:t xml:space="preserve"> </w:t>
            </w:r>
            <w:r>
              <w:rPr>
                <w:b/>
                <w:rFonts w:ascii="Garamond" w:hAnsi="Garamond"/>
              </w:rPr>
              <w:t xml:space="preserve">Disposizione finale</w:t>
            </w:r>
            <w:r>
              <w:rPr>
                <w:b/>
                <w:rFonts w:ascii="Garamond" w:hAnsi="Garamond"/>
              </w:rPr>
              <w:t xml:space="preserve"> </w:t>
            </w:r>
          </w:p>
          <w:p w14:paraId="312C8769"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Il ministro della Sanità pubblica è responsabile dell'attuazione del presente decreto.</w:t>
            </w:r>
            <w:r>
              <w:rPr>
                <w:rFonts w:ascii="Garamond" w:hAnsi="Garamond"/>
              </w:rPr>
              <w:t xml:space="preserve"> </w:t>
            </w:r>
          </w:p>
        </w:tc>
      </w:tr>
      <w:tr w:rsidR="00293B53" w:rsidRPr="00293B53" w14:paraId="1A5B13FB" w14:textId="77777777" w:rsidTr="00293B53">
        <w:trPr>
          <w:gridBefore w:val="1"/>
          <w:wBefore w:w="18" w:type="dxa"/>
          <w:trHeight w:val="322"/>
          <w:jc w:val="center"/>
        </w:trPr>
        <w:tc>
          <w:tcPr>
            <w:tcW w:w="4374" w:type="dxa"/>
            <w:gridSpan w:val="2"/>
          </w:tcPr>
          <w:p w14:paraId="6437790A"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3F2B6B05"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7FB5785A"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FD71738"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29A2A95E"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04855E3"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5213BE08"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5A6E0734"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4A174EF9"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7B3D94AC"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047D921C"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05AE6F4" w14:textId="77777777" w:rsidR="00293B53" w:rsidRPr="00293B53" w:rsidRDefault="00293B53" w:rsidP="00293B53">
            <w:pPr>
              <w:tabs>
                <w:tab w:val="left" w:pos="2410"/>
              </w:tabs>
              <w:spacing w:after="0" w:line="240" w:lineRule="auto"/>
              <w:jc w:val="center"/>
              <w:rPr>
                <w:b/>
                <w:rFonts w:ascii="Garamond" w:eastAsia="Times New Roman" w:hAnsi="Garamond" w:cs="Times New Roman"/>
              </w:rPr>
            </w:pPr>
            <w:r>
              <w:rPr>
                <w:rFonts w:ascii="Garamond" w:hAnsi="Garamond"/>
              </w:rPr>
              <w:t xml:space="preserve">Da parte del Re:</w:t>
            </w:r>
          </w:p>
        </w:tc>
      </w:tr>
      <w:tr w:rsidR="00293B53" w:rsidRPr="00293B53" w14:paraId="126B4253" w14:textId="77777777" w:rsidTr="00293B53">
        <w:trPr>
          <w:gridBefore w:val="1"/>
          <w:wBefore w:w="18" w:type="dxa"/>
          <w:trHeight w:val="322"/>
          <w:jc w:val="center"/>
        </w:trPr>
        <w:tc>
          <w:tcPr>
            <w:tcW w:w="4374" w:type="dxa"/>
            <w:gridSpan w:val="2"/>
          </w:tcPr>
          <w:p w14:paraId="331A48E5" w14:textId="77777777" w:rsidR="00293B53" w:rsidRPr="00293B53" w:rsidRDefault="00293B53" w:rsidP="00293B53">
            <w:pPr>
              <w:tabs>
                <w:tab w:val="left" w:pos="2410"/>
              </w:tabs>
              <w:spacing w:after="0" w:line="240" w:lineRule="auto"/>
              <w:jc w:val="center"/>
              <w:rPr>
                <w:rFonts w:ascii="Garamond" w:eastAsia="Times New Roman" w:hAnsi="Garamond" w:cs="Times New Roman"/>
                <w:b/>
                <w:lang w:val="fr-FR" w:eastAsia="nl-NL"/>
              </w:rPr>
            </w:pPr>
          </w:p>
        </w:tc>
      </w:tr>
      <w:tr w:rsidR="00293B53" w:rsidRPr="00293B53" w14:paraId="373FB4F2" w14:textId="77777777" w:rsidTr="00293B53">
        <w:trPr>
          <w:gridBefore w:val="1"/>
          <w:wBefore w:w="18" w:type="dxa"/>
          <w:trHeight w:val="322"/>
          <w:jc w:val="center"/>
        </w:trPr>
        <w:tc>
          <w:tcPr>
            <w:tcW w:w="4374" w:type="dxa"/>
            <w:gridSpan w:val="2"/>
          </w:tcPr>
          <w:p w14:paraId="7B423D89" w14:textId="77777777" w:rsidR="00293B53" w:rsidRPr="00293B53" w:rsidRDefault="00293B53" w:rsidP="00293B53">
            <w:pPr>
              <w:tabs>
                <w:tab w:val="left" w:pos="2410"/>
              </w:tabs>
              <w:spacing w:after="0" w:line="240" w:lineRule="auto"/>
              <w:jc w:val="center"/>
              <w:rPr>
                <w:b/>
                <w:rFonts w:ascii="Garamond" w:eastAsia="Times New Roman" w:hAnsi="Garamond" w:cs="Times New Roman"/>
              </w:rPr>
            </w:pPr>
            <w:r>
              <w:rPr>
                <w:sz w:val="20"/>
                <w:rFonts w:ascii="Garamond" w:hAnsi="Garamond"/>
              </w:rPr>
              <w:t xml:space="preserve">il ministro della Sanità pubblica,</w:t>
            </w:r>
          </w:p>
        </w:tc>
      </w:tr>
      <w:tr w:rsidR="00293B53" w:rsidRPr="00293B53" w14:paraId="26504951" w14:textId="77777777" w:rsidTr="00293B53">
        <w:trPr>
          <w:gridBefore w:val="1"/>
          <w:wBefore w:w="18" w:type="dxa"/>
          <w:trHeight w:val="322"/>
          <w:jc w:val="center"/>
        </w:trPr>
        <w:tc>
          <w:tcPr>
            <w:tcW w:w="4374" w:type="dxa"/>
            <w:gridSpan w:val="2"/>
          </w:tcPr>
          <w:p w14:paraId="74A62E6F" w14:textId="77777777" w:rsidR="00293B53" w:rsidRPr="00293B53" w:rsidRDefault="00293B53" w:rsidP="00293B53">
            <w:pPr>
              <w:tabs>
                <w:tab w:val="left" w:pos="2410"/>
              </w:tabs>
              <w:spacing w:after="0" w:line="240" w:lineRule="auto"/>
              <w:jc w:val="center"/>
              <w:rPr>
                <w:rFonts w:ascii="Garamond" w:eastAsia="Times New Roman" w:hAnsi="Garamond" w:cs="Times New Roman"/>
                <w:sz w:val="20"/>
                <w:szCs w:val="20"/>
                <w:lang w:eastAsia="nl-NL"/>
              </w:rPr>
            </w:pPr>
          </w:p>
        </w:tc>
      </w:tr>
      <w:tr w:rsidR="00293B53" w:rsidRPr="00293B53" w14:paraId="7A28C210" w14:textId="77777777" w:rsidTr="00293B53">
        <w:trPr>
          <w:gridBefore w:val="1"/>
          <w:wBefore w:w="18" w:type="dxa"/>
          <w:trHeight w:val="322"/>
          <w:jc w:val="center"/>
        </w:trPr>
        <w:tc>
          <w:tcPr>
            <w:tcW w:w="4374" w:type="dxa"/>
            <w:gridSpan w:val="2"/>
          </w:tcPr>
          <w:p w14:paraId="71197EF7" w14:textId="3F909246" w:rsidR="00293B53" w:rsidRPr="00293B53" w:rsidRDefault="00293B53" w:rsidP="00293B53">
            <w:pPr>
              <w:tabs>
                <w:tab w:val="left" w:pos="2410"/>
              </w:tabs>
              <w:spacing w:after="0" w:line="240" w:lineRule="auto"/>
              <w:jc w:val="center"/>
              <w:rPr>
                <w:sz w:val="20"/>
                <w:szCs w:val="20"/>
                <w:rFonts w:ascii="Garamond" w:eastAsia="Times New Roman" w:hAnsi="Garamond" w:cs="Times New Roman"/>
              </w:rPr>
            </w:pPr>
            <w:r>
              <w:rPr>
                <w:sz w:val="20"/>
                <w:rFonts w:ascii="Garamond" w:hAnsi="Garamond"/>
              </w:rPr>
              <w:t xml:space="preserve">Frank VANDENBROUCKE</w:t>
            </w:r>
          </w:p>
        </w:tc>
      </w:tr>
    </w:tbl>
    <w:p w14:paraId="2EF75113" w14:textId="77777777" w:rsidR="00493F25" w:rsidRPr="00293B53" w:rsidRDefault="00493F25">
      <w:pPr>
        <w:rPr>
          <w:lang w:val="fr-FR"/>
        </w:rPr>
      </w:pPr>
    </w:p>
    <w:sectPr w:rsidR="00493F25" w:rsidRPr="00293B53"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53"/>
    <w:rsid w:val="00293B53"/>
    <w:rsid w:val="00493F25"/>
    <w:rsid w:val="004C1DD3"/>
    <w:rsid w:val="007A2CB6"/>
    <w:rsid w:val="00CD02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A695"/>
  <w15:chartTrackingRefBased/>
  <w15:docId w15:val="{8D0CE7A6-4027-4852-96A3-1A6BF3AC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Dimitris Dimitriadis</cp:lastModifiedBy>
  <cp:revision>4</cp:revision>
  <dcterms:created xsi:type="dcterms:W3CDTF">2022-06-15T09:12:00Z</dcterms:created>
  <dcterms:modified xsi:type="dcterms:W3CDTF">2022-06-15T09:57:00Z</dcterms:modified>
</cp:coreProperties>
</file>