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BF5E4E" w:rsidRDefault="004D4E99" w:rsidP="000B4DE0">
      <w:pPr>
        <w:rPr>
          <w:rFonts w:ascii="Courier New" w:hAnsi="Courier New" w:cs="Courier New"/>
          <w:sz w:val="20"/>
        </w:rPr>
      </w:pPr>
      <w:r w:rsidRPr="00BF5E4E">
        <w:rPr>
          <w:rFonts w:ascii="Courier New" w:hAnsi="Courier New"/>
          <w:sz w:val="20"/>
        </w:rPr>
        <w:t>1. ------IND- 2020 0111 D-- ET- ------ 20200318 --- --- PROJET</w:t>
      </w:r>
    </w:p>
    <w:p w14:paraId="73350666" w14:textId="25523EF7" w:rsidR="00AB116C" w:rsidRPr="00BF5E4E" w:rsidRDefault="00AB116C" w:rsidP="004D4E99">
      <w:pPr>
        <w:pStyle w:val="VorblattDokumentstatus"/>
        <w:keepNext/>
        <w:keepLines/>
      </w:pPr>
      <w:r w:rsidRPr="00BF5E4E">
        <w:t>Saksamaa toidu- ja põllumajandusministeeriumi seaduse muutmise ettepanek</w:t>
      </w:r>
    </w:p>
    <w:p w14:paraId="54437F0C" w14:textId="77777777" w:rsidR="00DB61EB" w:rsidRPr="00BF5E4E" w:rsidRDefault="00DB61EB" w:rsidP="004D4E99">
      <w:pPr>
        <w:pStyle w:val="VorblattBezeichnung"/>
        <w:keepNext/>
        <w:keepLines/>
      </w:pPr>
    </w:p>
    <w:p w14:paraId="3C6DE346" w14:textId="77777777" w:rsidR="00AB116C" w:rsidRPr="00BF5E4E" w:rsidRDefault="00AB116C" w:rsidP="004D4E99">
      <w:pPr>
        <w:pStyle w:val="VorblattBezeichnung"/>
        <w:keepNext/>
        <w:keepLines/>
      </w:pPr>
      <w:r w:rsidRPr="00BF5E4E">
        <w:t xml:space="preserve">Esimene toiduteabealase rakendusmääruse muutmise määrus </w:t>
      </w:r>
    </w:p>
    <w:p w14:paraId="5EB4CE31" w14:textId="77777777" w:rsidR="00AB116C" w:rsidRPr="00BF5E4E" w:rsidRDefault="00AB116C" w:rsidP="004D4E99">
      <w:pPr>
        <w:pStyle w:val="VorblattTitelProblemundZiel"/>
        <w:keepNext/>
        <w:keepLines/>
      </w:pPr>
      <w:r w:rsidRPr="00BF5E4E">
        <w:t>A. Probleem ja eesmärk</w:t>
      </w:r>
    </w:p>
    <w:p w14:paraId="59571EDE" w14:textId="77777777" w:rsidR="00AB116C" w:rsidRPr="00BF5E4E" w:rsidRDefault="00AB116C" w:rsidP="004D4E99">
      <w:pPr>
        <w:pStyle w:val="Text"/>
        <w:rPr>
          <w:rStyle w:val="Marker"/>
          <w:color w:val="auto"/>
        </w:rPr>
      </w:pPr>
      <w:r w:rsidRPr="00BF5E4E">
        <w:rPr>
          <w:rStyle w:val="Marker"/>
          <w:color w:val="auto"/>
        </w:rPr>
        <w:t>Saksamaal on ülekaalulisi naisi 47 protsenti, mehi 62 protsenti ning lapsi ja noorukeid 15 protsenti. Üks selle põhjuseid on ebasoodsa toitainesisaldusega toidu liiga suur tarbimine.</w:t>
      </w:r>
    </w:p>
    <w:p w14:paraId="7E480828" w14:textId="77777777" w:rsidR="00AB116C" w:rsidRPr="00BF5E4E" w:rsidRDefault="00AB116C" w:rsidP="004D4E99">
      <w:pPr>
        <w:pStyle w:val="Text"/>
        <w:rPr>
          <w:rStyle w:val="Marker"/>
          <w:color w:val="auto"/>
        </w:rPr>
      </w:pPr>
      <w:r w:rsidRPr="00BF5E4E">
        <w:rPr>
          <w:rStyle w:val="Marker"/>
          <w:color w:val="auto"/>
        </w:rPr>
        <w:t xml:space="preserve">Seda tausta arvestades on Saksamaa valitsus seadnud eesmärgiks arendada Saksamaal edasi toiteväärtuse teabe märgistust, et pakkuda toidu toitainelise koostise kohta lihtsat ja arusaadavat teavet. </w:t>
      </w:r>
    </w:p>
    <w:p w14:paraId="2C6DDABF" w14:textId="77777777" w:rsidR="00AB116C" w:rsidRPr="00BF5E4E" w:rsidRDefault="00AB116C" w:rsidP="004D4E99">
      <w:pPr>
        <w:pStyle w:val="Text"/>
        <w:rPr>
          <w:rStyle w:val="Marker"/>
          <w:color w:val="auto"/>
        </w:rPr>
      </w:pPr>
      <w:r w:rsidRPr="00BF5E4E">
        <w:rPr>
          <w:rStyle w:val="Marker"/>
          <w:color w:val="auto"/>
        </w:rPr>
        <w:t xml:space="preserve">Ulatuslikud uuringud (Max Rubneri instituudi esialgne aruanne pakendi esiküljel toitumisalase teabe esitamise valitud märgistusmudelite kirjelduse ja hindamise kohta: INFO GmbH representatiivse küsitluse ja fookusrühmade arutelude tulemused) näitavad, et „Nutri-Score“ märgistus on teaduslikult kehtiv ning tarbijate jaoks kõige paremini tajutav ja arusaadav süsteem. </w:t>
      </w:r>
    </w:p>
    <w:p w14:paraId="0D6DA0BD" w14:textId="77777777" w:rsidR="00AB116C" w:rsidRPr="00BF5E4E" w:rsidRDefault="00AB116C" w:rsidP="004D4E99">
      <w:pPr>
        <w:pStyle w:val="Text"/>
      </w:pPr>
      <w:r w:rsidRPr="00BF5E4E">
        <w:t>„Nutri-Score“ on kollektiivne kaubamärk, mille omanikuna on Euroopa Liidu Intellektuaalomandi Ametis (EUIPO) registreeritud Prantsusmaa Agènce nationale de la santé publique nimele (Santé publique France – riiklik rahvatervise amet, mis on Prantsusmaa tervishoiuministeeriumi organisatsioon). Kaubamärgi „Nutri-Score“ kasutamisel kolmandate isikute poolt tuleb esmajärjekorras täita kaubamärgiõiguse asjakohaseid nõudeid, sealhulgas kaubamärgi omaniku kehtestatud tingimusi.</w:t>
      </w:r>
    </w:p>
    <w:p w14:paraId="41BC33D9" w14:textId="77777777" w:rsidR="004E3C6A" w:rsidRPr="00BF5E4E" w:rsidRDefault="004E3C6A" w:rsidP="004D4E99">
      <w:pPr>
        <w:pStyle w:val="Text"/>
      </w:pPr>
      <w:r w:rsidRPr="00BF5E4E">
        <w:t xml:space="preserve">„Nutri-Score“ näitab toote summaarset toiteväärtust viiepunktilisel skaalal A-st kuni E-ni. Selleks arvutatakse välja kalorisisalduse ja eri toiteväärtuste omavaheline suhe. </w:t>
      </w:r>
    </w:p>
    <w:p w14:paraId="6C1DE6B8" w14:textId="77777777" w:rsidR="00AB116C" w:rsidRPr="00BF5E4E" w:rsidRDefault="00AB116C" w:rsidP="004D4E99">
      <w:pPr>
        <w:pStyle w:val="Text"/>
        <w:rPr>
          <w:rStyle w:val="Marker"/>
          <w:color w:val="auto"/>
        </w:rPr>
      </w:pPr>
      <w:r w:rsidRPr="00BF5E4E">
        <w:rPr>
          <w:rStyle w:val="Marker"/>
          <w:color w:val="auto"/>
        </w:rPr>
        <w:t>Sissejuhatava klausliga kehtestatakse määruse eelnõus toidu märgistamise õiguslikud tingimuse</w:t>
      </w:r>
      <w:r w:rsidRPr="00BF5E4E">
        <w:t xml:space="preserve">d märgistuse „Nutri-Score“ vabatahtlikuks kasutamiseks Saksamaal. </w:t>
      </w:r>
    </w:p>
    <w:p w14:paraId="52290758" w14:textId="77777777" w:rsidR="00AB116C" w:rsidRPr="00BF5E4E" w:rsidRDefault="00AB116C" w:rsidP="004D4E99">
      <w:pPr>
        <w:pStyle w:val="VorblattTitelLsung"/>
        <w:keepNext/>
        <w:keepLines/>
      </w:pPr>
      <w:r w:rsidRPr="00BF5E4E">
        <w:t>B. Lahendus</w:t>
      </w:r>
    </w:p>
    <w:p w14:paraId="0B0BA765" w14:textId="77777777" w:rsidR="00AB116C" w:rsidRPr="00BF5E4E" w:rsidRDefault="00AB116C" w:rsidP="004D4E99">
      <w:pPr>
        <w:pStyle w:val="Text"/>
      </w:pPr>
      <w:r w:rsidRPr="00BF5E4E">
        <w:rPr>
          <w:rStyle w:val="Marker"/>
          <w:color w:val="auto"/>
        </w:rPr>
        <w:t xml:space="preserve">Õiguslik alus märgistuse „Nutri-Score“ vabatahtlikuks kasutamiseks Saksamaal. </w:t>
      </w:r>
    </w:p>
    <w:p w14:paraId="59217ACC" w14:textId="77777777" w:rsidR="00AB116C" w:rsidRPr="00BF5E4E" w:rsidRDefault="00AB116C" w:rsidP="004D4E99">
      <w:pPr>
        <w:pStyle w:val="VorblattTitelAlternativen"/>
        <w:keepNext/>
        <w:keepLines/>
      </w:pPr>
      <w:r w:rsidRPr="00BF5E4E">
        <w:t>C. Alternatiivid</w:t>
      </w:r>
    </w:p>
    <w:p w14:paraId="550B39B1" w14:textId="1C85B5AF" w:rsidR="00F047E3" w:rsidRPr="00BF5E4E" w:rsidRDefault="00F047E3" w:rsidP="004D4E99">
      <w:pPr>
        <w:pStyle w:val="Text"/>
        <w:rPr>
          <w:rStyle w:val="Marker"/>
          <w:color w:val="auto"/>
        </w:rPr>
      </w:pPr>
      <w:r w:rsidRPr="00BF5E4E">
        <w:rPr>
          <w:rStyle w:val="Marker"/>
          <w:color w:val="auto"/>
        </w:rPr>
        <w:t xml:space="preserve">Punktis A nimetatud uuringutes käsitleti mitut toiteväärtuse teabega märgistamise laiendatud mudelit (sealhulgas Keyhole®, toiduainetööstuse mudel, Max Rubneri instituudi mudel). Uuringud näitavad, et „Nutri-Score“ märgistus on teaduslikult kehtiv ning tarbijate jaoks kõige paremini tajutav ja arusaadav süsteem. </w:t>
      </w:r>
    </w:p>
    <w:p w14:paraId="26338DEE" w14:textId="77777777" w:rsidR="00AB116C" w:rsidRPr="00BF5E4E" w:rsidRDefault="00AB116C" w:rsidP="004D4E99">
      <w:pPr>
        <w:pStyle w:val="VorblattTitelHaushaltsausgabenohneErfllungsaufwand"/>
        <w:keepNext/>
        <w:keepLines/>
      </w:pPr>
      <w:r w:rsidRPr="00BF5E4E">
        <w:t>D. Eelarvekulud ilma täitmiskuludeta</w:t>
      </w:r>
    </w:p>
    <w:p w14:paraId="22D8B835" w14:textId="77777777" w:rsidR="00AB116C" w:rsidRPr="00BF5E4E" w:rsidRDefault="00AB116C" w:rsidP="004D4E99">
      <w:pPr>
        <w:pStyle w:val="VorblattTitelErfllungsaufwand"/>
        <w:keepNext/>
        <w:keepLines/>
      </w:pPr>
      <w:r w:rsidRPr="00BF5E4E">
        <w:t>E. Täitmiskulud</w:t>
      </w:r>
    </w:p>
    <w:p w14:paraId="6F1F8D70" w14:textId="77777777" w:rsidR="00AB116C" w:rsidRPr="00BF5E4E" w:rsidRDefault="00AB116C" w:rsidP="004D4E99">
      <w:pPr>
        <w:pStyle w:val="VorblattTitelErfllungsaufwandBrgerinnenundBrger"/>
        <w:keepNext/>
        <w:keepLines/>
      </w:pPr>
      <w:r w:rsidRPr="00BF5E4E">
        <w:t>E.1. Täitmisest kodanikele tekkivad kulud</w:t>
      </w:r>
    </w:p>
    <w:p w14:paraId="2881E6C4" w14:textId="77777777" w:rsidR="00AB116C" w:rsidRPr="00BF5E4E" w:rsidRDefault="00AB116C" w:rsidP="004D4E99">
      <w:pPr>
        <w:pStyle w:val="Text"/>
      </w:pPr>
      <w:r w:rsidRPr="00BF5E4E">
        <w:rPr>
          <w:rStyle w:val="Marker"/>
          <w:color w:val="auto"/>
        </w:rPr>
        <w:t xml:space="preserve">Kodanikele ei teki mingeid täitmiskulusid. </w:t>
      </w:r>
    </w:p>
    <w:p w14:paraId="1A7EC865" w14:textId="77777777" w:rsidR="00AB116C" w:rsidRPr="00BF5E4E" w:rsidRDefault="00AB116C" w:rsidP="004D4E99">
      <w:pPr>
        <w:pStyle w:val="VorblattTitelErfllungsaufwandWirtschaft"/>
        <w:keepNext/>
        <w:keepLines/>
      </w:pPr>
      <w:r w:rsidRPr="00BF5E4E">
        <w:lastRenderedPageBreak/>
        <w:t>E.2 Täitmisest majandusele tekkivad kulud</w:t>
      </w:r>
    </w:p>
    <w:p w14:paraId="357A658B" w14:textId="74D68949" w:rsidR="00AB116C" w:rsidRPr="00BF5E4E" w:rsidRDefault="002F0011" w:rsidP="004D4E99">
      <w:pPr>
        <w:pStyle w:val="Text"/>
      </w:pPr>
      <w:r w:rsidRPr="00BF5E4E">
        <w:t xml:space="preserve">Täitmisest ei teki majandusele lisahalduskulusid. </w:t>
      </w:r>
    </w:p>
    <w:p w14:paraId="33965A77" w14:textId="77777777" w:rsidR="00AB116C" w:rsidRPr="00BF5E4E" w:rsidRDefault="00AB116C" w:rsidP="004D4E99">
      <w:pPr>
        <w:pStyle w:val="VorblattTitelErfllungsaufwandVerwaltung"/>
        <w:keepNext/>
        <w:keepLines/>
      </w:pPr>
      <w:r w:rsidRPr="00BF5E4E">
        <w:t>E.3 Haldusele tekkivad täitmiskulud</w:t>
      </w:r>
    </w:p>
    <w:p w14:paraId="2A196052" w14:textId="015D0325" w:rsidR="00AB116C" w:rsidRPr="00BF5E4E" w:rsidRDefault="002F0011" w:rsidP="004D4E99">
      <w:pPr>
        <w:pStyle w:val="Text"/>
      </w:pPr>
      <w:r w:rsidRPr="00BF5E4E">
        <w:rPr>
          <w:rStyle w:val="Marker"/>
          <w:color w:val="auto"/>
        </w:rPr>
        <w:t xml:space="preserve">Täitmisest ei teki haldusele lisakulusid. </w:t>
      </w:r>
    </w:p>
    <w:p w14:paraId="2A910281" w14:textId="77777777" w:rsidR="00AB116C" w:rsidRPr="00BF5E4E" w:rsidRDefault="00AB116C" w:rsidP="004D4E99">
      <w:pPr>
        <w:pStyle w:val="VorblattTitelWeitereKosten"/>
        <w:keepNext/>
        <w:keepLines/>
      </w:pPr>
      <w:r w:rsidRPr="00BF5E4E">
        <w:t>F. Muud kulud</w:t>
      </w:r>
    </w:p>
    <w:p w14:paraId="1819EB1A" w14:textId="77777777" w:rsidR="00AB116C" w:rsidRPr="00BF5E4E" w:rsidRDefault="00AB116C" w:rsidP="004D4E99">
      <w:pPr>
        <w:pStyle w:val="Text"/>
        <w:rPr>
          <w:rStyle w:val="Marker"/>
          <w:color w:val="auto"/>
        </w:rPr>
      </w:pPr>
      <w:r w:rsidRPr="00BF5E4E">
        <w:rPr>
          <w:rStyle w:val="Marker"/>
          <w:color w:val="auto"/>
        </w:rPr>
        <w:t xml:space="preserve">Väikest mõju ühikuhindadele ei saa täielikult välistada. Mõju üldisele hinnatasemele, eeskätt tarbijahinnatasemele, ei ole siiski oodata. </w:t>
      </w:r>
    </w:p>
    <w:p w14:paraId="355D0EED" w14:textId="44C49E7F" w:rsidR="002F0011" w:rsidRPr="00BF5E4E" w:rsidRDefault="002F0011" w:rsidP="004D4E99">
      <w:pPr>
        <w:pStyle w:val="Text"/>
        <w:rPr>
          <w:rStyle w:val="Marker"/>
          <w:color w:val="auto"/>
        </w:rPr>
      </w:pPr>
      <w:r w:rsidRPr="00BF5E4E">
        <w:rPr>
          <w:rStyle w:val="Marker"/>
          <w:color w:val="auto"/>
        </w:rPr>
        <w:t xml:space="preserve">„Nutri-Score“ märgise kasutuselevõtt võib tekitada ettevõtjatele lisakulusid, mida võib üldiselt siiski pidada väikeseks. </w:t>
      </w:r>
    </w:p>
    <w:p w14:paraId="5EB6A175" w14:textId="77777777" w:rsidR="00AB116C" w:rsidRPr="00BF5E4E" w:rsidRDefault="00AB116C" w:rsidP="004D4E99">
      <w:pPr>
        <w:pStyle w:val="Text"/>
        <w:rPr>
          <w:rStyle w:val="Marker"/>
          <w:color w:val="auto"/>
        </w:rPr>
      </w:pPr>
    </w:p>
    <w:p w14:paraId="4B8906C4" w14:textId="77777777" w:rsidR="00AB116C" w:rsidRPr="00BF5E4E" w:rsidRDefault="00AB116C" w:rsidP="004D4E99">
      <w:pPr>
        <w:pStyle w:val="Dokumentstatus"/>
        <w:keepNext/>
        <w:keepLines/>
        <w:pageBreakBefore/>
      </w:pPr>
      <w:r w:rsidRPr="00BF5E4E">
        <w:lastRenderedPageBreak/>
        <w:t>Saksamaa toidu- ja põllumajandusministeeriumi seaduse muutmise ettepanek</w:t>
      </w:r>
    </w:p>
    <w:p w14:paraId="62D56DB5" w14:textId="77777777" w:rsidR="00AB116C" w:rsidRPr="00BF5E4E" w:rsidRDefault="00AB116C" w:rsidP="004D4E99">
      <w:pPr>
        <w:pStyle w:val="Bezeichnungnderungsdokument"/>
        <w:keepNext/>
        <w:keepLines/>
      </w:pPr>
      <w:r w:rsidRPr="00BF5E4E">
        <w:t>Esimene toiduteabealase rakendusmääruse muutmise määrus</w:t>
      </w:r>
      <w:r w:rsidRPr="00BF5E4E">
        <w:rPr>
          <w:rStyle w:val="FootnoteReference"/>
        </w:rPr>
        <w:footnoteReference w:customMarkFollows="1" w:id="1"/>
        <w:t>*)</w:t>
      </w:r>
    </w:p>
    <w:p w14:paraId="30DEB729" w14:textId="77777777" w:rsidR="00AB116C" w:rsidRPr="00BF5E4E" w:rsidRDefault="00AB116C" w:rsidP="004D4E99">
      <w:pPr>
        <w:pStyle w:val="Ausfertigungsdatumnderungsdokument"/>
      </w:pPr>
      <w:r w:rsidRPr="00BF5E4E">
        <w:t>Välja antud [kuupäev]</w:t>
      </w:r>
    </w:p>
    <w:p w14:paraId="6B2563C7" w14:textId="33BC6EDA" w:rsidR="00AB116C" w:rsidRPr="00BF5E4E" w:rsidRDefault="00AB116C" w:rsidP="004D4E99">
      <w:pPr>
        <w:pStyle w:val="EingangsformelStandardnderungsdokument"/>
      </w:pPr>
      <w:r w:rsidRPr="00BF5E4E">
        <w:t>Toidu- ja söödaseadustiku paragrahvi 35 punkti 1 alusel 3. juunil 2013. aastal teatavaks tehtud sõnastuses (Saksamaa ametlik väljaanne I osa, lk 1426), mida muudeti 31. augusti 2015. aasta määruse artikli 67 punktiga 6 (Saksamaa ametlik väljaanne, I osa, lk 1474) määrab Saksamaa toidu- ja põllumajandusministeerium kooskõlastatult Saksamaa majandus- ja energiaministeeriumiga järgmist:</w:t>
      </w:r>
    </w:p>
    <w:p w14:paraId="4FB86449" w14:textId="6FEC2D31" w:rsidR="004D4E99" w:rsidRPr="00BF5E4E" w:rsidRDefault="004D4E99" w:rsidP="004D4E99">
      <w:pPr>
        <w:pStyle w:val="Artikelberschrift"/>
        <w:keepLines/>
        <w:spacing w:before="480"/>
      </w:pPr>
      <w:r w:rsidRPr="00BF5E4E">
        <w:t>Artikkel 1</w:t>
      </w:r>
    </w:p>
    <w:p w14:paraId="69CDBB97" w14:textId="77777777" w:rsidR="00AB116C" w:rsidRPr="00BF5E4E" w:rsidRDefault="00AB116C" w:rsidP="004D4E99">
      <w:pPr>
        <w:pStyle w:val="Artikelberschrift"/>
        <w:keepLines/>
      </w:pPr>
      <w:bookmarkStart w:id="0" w:name="_Toc20911408"/>
      <w:r w:rsidRPr="00BF5E4E">
        <w:t>Toiduteabealase rakendusmääruse muutmise määrus</w:t>
      </w:r>
      <w:bookmarkEnd w:id="0"/>
    </w:p>
    <w:p w14:paraId="14A290BC" w14:textId="77777777" w:rsidR="00AB116C" w:rsidRPr="00BF5E4E" w:rsidRDefault="00AB116C" w:rsidP="004D4E99">
      <w:pPr>
        <w:pStyle w:val="JuristischerAbsatznichtnummeriert"/>
        <w:rPr>
          <w:rStyle w:val="Marker"/>
          <w:b/>
          <w:color w:val="auto"/>
          <w:sz w:val="28"/>
        </w:rPr>
      </w:pPr>
      <w:r w:rsidRPr="00BF5E4E">
        <w:rPr>
          <w:rStyle w:val="Marker"/>
          <w:color w:val="auto"/>
        </w:rPr>
        <w:t xml:space="preserve">5. juuli 2017. aasta toiduteabealast rakendusmäärust (Saksamaa ametlik väljaanne I osa, lk 2272) muudetakse järgmiselt: </w:t>
      </w:r>
    </w:p>
    <w:p w14:paraId="3B973FF5" w14:textId="77777777" w:rsidR="00AB116C" w:rsidRPr="00BF5E4E" w:rsidRDefault="00AB116C" w:rsidP="004D4E99">
      <w:pPr>
        <w:pStyle w:val="NummerierungStufe1"/>
        <w:rPr>
          <w:rStyle w:val="Marker"/>
          <w:color w:val="auto"/>
        </w:rPr>
      </w:pPr>
      <w:r w:rsidRPr="00BF5E4E">
        <w:rPr>
          <w:rStyle w:val="Marker"/>
          <w:color w:val="auto"/>
        </w:rPr>
        <w:t>paragrahvi 4 järele lisatakse paragrahv 4a järgmises sõnastuses:</w:t>
      </w:r>
    </w:p>
    <w:p w14:paraId="347D74AB" w14:textId="77777777" w:rsidR="00AB116C" w:rsidRPr="00BF5E4E" w:rsidRDefault="00AB116C" w:rsidP="004D4E99">
      <w:pPr>
        <w:pStyle w:val="RevisionParagraphBezeichnermanuell"/>
        <w:keepLines/>
        <w:ind w:left="432" w:hanging="75"/>
        <w:rPr>
          <w:color w:val="auto"/>
        </w:rPr>
      </w:pPr>
      <w:r w:rsidRPr="00BF5E4E">
        <w:rPr>
          <w:color w:val="auto"/>
        </w:rPr>
        <w:t xml:space="preserve">„§ </w:t>
      </w:r>
      <w:r w:rsidRPr="00BF5E4E">
        <w:t>4a</w:t>
      </w:r>
    </w:p>
    <w:p w14:paraId="4BF195B8" w14:textId="77777777" w:rsidR="00AB116C" w:rsidRPr="00BF5E4E" w:rsidRDefault="00AB116C" w:rsidP="004D4E99">
      <w:pPr>
        <w:pStyle w:val="RevisionParagraphberschrift"/>
        <w:keepLines/>
        <w:ind w:left="432"/>
        <w:rPr>
          <w:color w:val="auto"/>
        </w:rPr>
      </w:pPr>
      <w:r w:rsidRPr="00BF5E4E">
        <w:rPr>
          <w:rStyle w:val="Marker"/>
          <w:color w:val="auto"/>
        </w:rPr>
        <w:t>Toiteväärtuse teabe laiendatud märgistus</w:t>
      </w:r>
    </w:p>
    <w:p w14:paraId="0E098645" w14:textId="77777777" w:rsidR="00AB116C" w:rsidRPr="00BF5E4E" w:rsidRDefault="00AB116C" w:rsidP="004D4E99">
      <w:pPr>
        <w:pStyle w:val="RevisionJuristischerAbsatz"/>
        <w:tabs>
          <w:tab w:val="clear" w:pos="850"/>
          <w:tab w:val="num" w:pos="1275"/>
        </w:tabs>
        <w:ind w:left="425"/>
        <w:rPr>
          <w:color w:val="auto"/>
        </w:rPr>
      </w:pPr>
      <w:r w:rsidRPr="00BF5E4E">
        <w:rPr>
          <w:color w:val="auto"/>
        </w:rPr>
        <w:t>Määruse (EL) nr 1169/2011 artikli 8 lõike 1 või lõike 4 teise lause kohaselt vastutav isik võib turule viia toitu, mis on märgistatud lisas esitatud märgisega „Nutri-Score“, mis on registreeritud Euroopa Liidu Intellektuaalomandi Ametis ELi kollektiivkaubamärgina.</w:t>
      </w:r>
    </w:p>
    <w:p w14:paraId="1E70B10D" w14:textId="77777777" w:rsidR="00AB116C" w:rsidRPr="00BF5E4E" w:rsidRDefault="00AB116C" w:rsidP="004D4E99">
      <w:pPr>
        <w:pStyle w:val="RevisionJuristischerAbsatz"/>
        <w:tabs>
          <w:tab w:val="clear" w:pos="850"/>
          <w:tab w:val="num" w:pos="1275"/>
        </w:tabs>
        <w:ind w:left="425"/>
        <w:rPr>
          <w:color w:val="auto"/>
        </w:rPr>
      </w:pPr>
      <w:r w:rsidRPr="00BF5E4E">
        <w:rPr>
          <w:color w:val="auto"/>
        </w:rPr>
        <w:t xml:space="preserve">Märgise „Nutri-Score“ kasutamine on vabatahtlik. </w:t>
      </w:r>
    </w:p>
    <w:p w14:paraId="64450B19" w14:textId="77777777" w:rsidR="00AB116C" w:rsidRPr="00BF5E4E" w:rsidRDefault="009E1F4C" w:rsidP="004D4E99">
      <w:pPr>
        <w:pStyle w:val="RevisionJuristischerAbsatz"/>
        <w:tabs>
          <w:tab w:val="clear" w:pos="850"/>
          <w:tab w:val="num" w:pos="1275"/>
        </w:tabs>
        <w:ind w:left="425"/>
        <w:rPr>
          <w:color w:val="auto"/>
        </w:rPr>
      </w:pPr>
      <w:r w:rsidRPr="00BF5E4E">
        <w:rPr>
          <w:color w:val="auto"/>
        </w:rPr>
        <w:t xml:space="preserve">Märgise „Nutri-Score“ kasutamise tingimuseks on, et eelkõige on määruse (EL) nr 1169/2011 artikli 8 lõike 1 või lõike 4 teise lause kohaselt vastutav isik </w:t>
      </w:r>
    </w:p>
    <w:p w14:paraId="47C7B3F2" w14:textId="77777777" w:rsidR="00AB116C" w:rsidRPr="00BF5E4E" w:rsidRDefault="00AB116C" w:rsidP="004D4E99">
      <w:pPr>
        <w:pStyle w:val="RevisionNummerierungStufe1"/>
        <w:tabs>
          <w:tab w:val="clear" w:pos="425"/>
          <w:tab w:val="num" w:pos="850"/>
        </w:tabs>
        <w:ind w:left="850"/>
        <w:rPr>
          <w:color w:val="auto"/>
        </w:rPr>
      </w:pPr>
      <w:r w:rsidRPr="00BF5E4E">
        <w:rPr>
          <w:color w:val="auto"/>
        </w:rPr>
        <w:t>saanud kaubamärgi omanikult vajaliku nõusoleku ja</w:t>
      </w:r>
    </w:p>
    <w:p w14:paraId="534F1A0A" w14:textId="77777777" w:rsidR="00AB116C" w:rsidRPr="00BF5E4E" w:rsidRDefault="00AB116C" w:rsidP="004D4E99">
      <w:pPr>
        <w:pStyle w:val="RevisionNummerierungStufe1"/>
        <w:tabs>
          <w:tab w:val="clear" w:pos="425"/>
          <w:tab w:val="num" w:pos="850"/>
        </w:tabs>
        <w:ind w:left="850"/>
        <w:rPr>
          <w:color w:val="auto"/>
        </w:rPr>
      </w:pPr>
      <w:r w:rsidRPr="00BF5E4E">
        <w:rPr>
          <w:color w:val="auto"/>
        </w:rPr>
        <w:t>ta täidab kaubamärgi omaniku poolt kaubamärgi kasutamisele kehtestatud tingimusi.</w:t>
      </w:r>
    </w:p>
    <w:p w14:paraId="1CA6C448" w14:textId="7093041E" w:rsidR="004E3C6A" w:rsidRPr="00BF5E4E" w:rsidRDefault="004E3C6A" w:rsidP="004D4E99">
      <w:pPr>
        <w:pStyle w:val="RevisionJuristischerAbsatz"/>
        <w:tabs>
          <w:tab w:val="clear" w:pos="850"/>
          <w:tab w:val="num" w:pos="1275"/>
        </w:tabs>
        <w:ind w:left="425"/>
        <w:rPr>
          <w:color w:val="auto"/>
        </w:rPr>
      </w:pPr>
      <w:r w:rsidRPr="00BF5E4E">
        <w:rPr>
          <w:color w:val="auto"/>
        </w:rPr>
        <w:t>Saksamaa Liitvabariigi toidu- ja põllumajandusministeerium võib lõike 3 punkti 1 kohase nõusoleku saamiseks avaldada Saksamaa ametlikus väljaandes järgmist:</w:t>
      </w:r>
    </w:p>
    <w:p w14:paraId="44C4BF0B" w14:textId="77777777" w:rsidR="004E3C6A" w:rsidRPr="00BF5E4E" w:rsidRDefault="004E3C6A" w:rsidP="00D01237">
      <w:pPr>
        <w:pStyle w:val="RevisionNummerierungStufe2"/>
        <w:numPr>
          <w:ilvl w:val="0"/>
          <w:numId w:val="0"/>
        </w:numPr>
        <w:ind w:left="810" w:hanging="385"/>
        <w:rPr>
          <w:color w:val="auto"/>
        </w:rPr>
      </w:pPr>
      <w:r w:rsidRPr="00BF5E4E">
        <w:rPr>
          <w:color w:val="auto"/>
        </w:rPr>
        <w:t xml:space="preserve">1. </w:t>
      </w:r>
      <w:r w:rsidRPr="00BF5E4E">
        <w:rPr>
          <w:color w:val="auto"/>
        </w:rPr>
        <w:tab/>
        <w:t>saksakeelne näidisvorm,</w:t>
      </w:r>
    </w:p>
    <w:p w14:paraId="4AE1EE60" w14:textId="7CC507F3" w:rsidR="004E3C6A" w:rsidRPr="00BF5E4E" w:rsidRDefault="004E3C6A" w:rsidP="00D01237">
      <w:pPr>
        <w:pStyle w:val="RevisionNummerierungStufe2"/>
        <w:numPr>
          <w:ilvl w:val="0"/>
          <w:numId w:val="0"/>
        </w:numPr>
        <w:ind w:left="810" w:hanging="385"/>
        <w:rPr>
          <w:color w:val="auto"/>
        </w:rPr>
      </w:pPr>
      <w:r w:rsidRPr="00BF5E4E">
        <w:rPr>
          <w:color w:val="auto"/>
        </w:rPr>
        <w:t xml:space="preserve">2. </w:t>
      </w:r>
      <w:r w:rsidR="00D01237">
        <w:rPr>
          <w:color w:val="auto"/>
        </w:rPr>
        <w:tab/>
      </w:r>
      <w:bookmarkStart w:id="1" w:name="_GoBack"/>
      <w:bookmarkEnd w:id="1"/>
      <w:r w:rsidRPr="00BF5E4E">
        <w:rPr>
          <w:color w:val="auto"/>
        </w:rPr>
        <w:t>sisestamisandmed saksa keeles ja e-posti aadress, mis on seatud nii, et saabuvad e-kirjad edastatakse automaatselt kaubamärgi omanikule.“</w:t>
      </w:r>
    </w:p>
    <w:p w14:paraId="4CE137F5" w14:textId="77777777" w:rsidR="004D4E99" w:rsidRPr="00BF5E4E" w:rsidRDefault="004D4E99" w:rsidP="004D4E99">
      <w:pPr>
        <w:pStyle w:val="RevisionNummerierungStufe2"/>
        <w:numPr>
          <w:ilvl w:val="0"/>
          <w:numId w:val="0"/>
        </w:numPr>
        <w:ind w:left="425"/>
        <w:rPr>
          <w:color w:val="auto"/>
        </w:rPr>
      </w:pPr>
    </w:p>
    <w:p w14:paraId="7784283B" w14:textId="77777777" w:rsidR="00C74E1B" w:rsidRPr="00BF5E4E" w:rsidRDefault="000604EE" w:rsidP="004D4E99">
      <w:pPr>
        <w:pStyle w:val="NummerierungStufe1"/>
        <w:keepNext/>
        <w:keepLines/>
        <w:rPr>
          <w:rStyle w:val="Marker"/>
          <w:color w:val="auto"/>
        </w:rPr>
      </w:pPr>
      <w:r w:rsidRPr="00BF5E4E">
        <w:rPr>
          <w:rStyle w:val="Marker"/>
          <w:color w:val="auto"/>
        </w:rPr>
        <w:lastRenderedPageBreak/>
        <w:t>Lisatakse järgmine lisa:</w:t>
      </w:r>
    </w:p>
    <w:p w14:paraId="24085CB7" w14:textId="77777777" w:rsidR="00C74E1B" w:rsidRPr="00BF5E4E" w:rsidRDefault="00C74E1B" w:rsidP="004D4E99">
      <w:pPr>
        <w:keepNext/>
        <w:keepLines/>
      </w:pPr>
    </w:p>
    <w:p w14:paraId="6FD9A6EE" w14:textId="77777777" w:rsidR="00AB116C" w:rsidRPr="00BF5E4E" w:rsidRDefault="00AB116C" w:rsidP="004D4E99">
      <w:pPr>
        <w:pStyle w:val="RevisionAnlageBezeichner"/>
        <w:keepNext/>
        <w:keepLines/>
        <w:rPr>
          <w:color w:val="auto"/>
        </w:rPr>
      </w:pPr>
      <w:r w:rsidRPr="00BF5E4E">
        <w:rPr>
          <w:color w:val="auto"/>
        </w:rPr>
        <w:t>„Lisa</w:t>
      </w:r>
    </w:p>
    <w:p w14:paraId="0BE5D91F" w14:textId="77777777" w:rsidR="00AB116C" w:rsidRPr="00BF5E4E" w:rsidRDefault="00AB116C" w:rsidP="004D4E99">
      <w:pPr>
        <w:pStyle w:val="RevisionAnlageVerweis"/>
        <w:keepNext/>
        <w:keepLines/>
        <w:rPr>
          <w:color w:val="auto"/>
        </w:rPr>
      </w:pPr>
      <w:r w:rsidRPr="00BF5E4E">
        <w:rPr>
          <w:color w:val="auto"/>
        </w:rPr>
        <w:t>(Paragrahvi 4a lõike 1 juurde)</w:t>
      </w:r>
    </w:p>
    <w:p w14:paraId="0BC73A07" w14:textId="77777777" w:rsidR="00AB116C" w:rsidRPr="00BF5E4E" w:rsidRDefault="00AB116C" w:rsidP="004D4E99">
      <w:pPr>
        <w:pStyle w:val="RevisionAnlageberschrift"/>
        <w:keepNext/>
        <w:keepLines/>
        <w:rPr>
          <w:color w:val="auto"/>
        </w:rPr>
      </w:pPr>
      <w:r w:rsidRPr="00BF5E4E">
        <w:rPr>
          <w:color w:val="auto"/>
        </w:rPr>
        <w:t>Märgise „Nutri-Score“ näidis</w:t>
      </w:r>
    </w:p>
    <w:p w14:paraId="7509E81F" w14:textId="77777777" w:rsidR="00AB116C" w:rsidRPr="00BF5E4E" w:rsidRDefault="00AB116C" w:rsidP="004D4E99">
      <w:pPr>
        <w:pStyle w:val="RevisionAnlageberschrift"/>
        <w:rPr>
          <w:rStyle w:val="RevisionText"/>
          <w:color w:val="auto"/>
        </w:rPr>
      </w:pPr>
      <w:r w:rsidRPr="00BF5E4E">
        <w:rPr>
          <w:noProof/>
          <w:color w:val="auto"/>
          <w:lang w:val="en-US" w:eastAsia="zh-CN"/>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BF5E4E">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BF5E4E" w14:paraId="60D3C697" w14:textId="77777777" w:rsidTr="004D4E99">
        <w:tc>
          <w:tcPr>
            <w:tcW w:w="4502" w:type="dxa"/>
          </w:tcPr>
          <w:p w14:paraId="519728B4" w14:textId="1ED52059" w:rsidR="004D4E99" w:rsidRPr="00BF5E4E" w:rsidRDefault="004D4E99" w:rsidP="004D4E99">
            <w:pPr>
              <w:spacing w:before="0" w:after="0"/>
            </w:pPr>
            <w:r w:rsidRPr="00BF5E4E">
              <w:t>NUTRI-SCORE</w:t>
            </w:r>
          </w:p>
        </w:tc>
        <w:tc>
          <w:tcPr>
            <w:tcW w:w="4503" w:type="dxa"/>
          </w:tcPr>
          <w:p w14:paraId="2F0152D7" w14:textId="3F3DB840" w:rsidR="004D4E99" w:rsidRPr="00BF5E4E" w:rsidRDefault="004D4E99" w:rsidP="004D4E99">
            <w:pPr>
              <w:spacing w:before="0" w:after="0"/>
            </w:pPr>
            <w:r w:rsidRPr="00BF5E4E">
              <w:t>NUTRI-SCORE</w:t>
            </w:r>
          </w:p>
        </w:tc>
      </w:tr>
    </w:tbl>
    <w:p w14:paraId="4124E883" w14:textId="77777777" w:rsidR="004D4E99" w:rsidRPr="00BF5E4E" w:rsidRDefault="004D4E99" w:rsidP="004D4E99"/>
    <w:p w14:paraId="181AD557" w14:textId="0348CC8A" w:rsidR="00AB116C" w:rsidRPr="00BF5E4E" w:rsidRDefault="004D4E99" w:rsidP="004D4E99">
      <w:pPr>
        <w:pStyle w:val="Artikelberschrift"/>
        <w:keepLines/>
        <w:spacing w:before="480"/>
      </w:pPr>
      <w:r w:rsidRPr="00BF5E4E">
        <w:t>Artikkel 2</w:t>
      </w:r>
    </w:p>
    <w:p w14:paraId="5877299E" w14:textId="77777777" w:rsidR="00AB116C" w:rsidRPr="00BF5E4E" w:rsidRDefault="00AB116C" w:rsidP="004D4E99">
      <w:pPr>
        <w:pStyle w:val="Artikelberschrift"/>
        <w:keepLines/>
      </w:pPr>
      <w:bookmarkStart w:id="2" w:name="_Toc20911410"/>
      <w:r w:rsidRPr="00BF5E4E">
        <w:rPr>
          <w:rStyle w:val="Marker"/>
          <w:color w:val="auto"/>
        </w:rPr>
        <w:t>Jõustumine</w:t>
      </w:r>
      <w:bookmarkEnd w:id="2"/>
    </w:p>
    <w:p w14:paraId="6E848962" w14:textId="77777777" w:rsidR="00AB116C" w:rsidRPr="00BF5E4E" w:rsidRDefault="00AB116C" w:rsidP="004D4E99">
      <w:pPr>
        <w:pStyle w:val="JuristischerAbsatznichtnummeriert"/>
      </w:pPr>
      <w:r w:rsidRPr="00BF5E4E">
        <w:rPr>
          <w:rStyle w:val="Marker"/>
          <w:color w:val="auto"/>
        </w:rPr>
        <w:t xml:space="preserve">Käesolev määrus jõustub selle väljakuulutamisele järgneval päeval. </w:t>
      </w:r>
    </w:p>
    <w:p w14:paraId="6D975F86" w14:textId="77777777" w:rsidR="00AB116C" w:rsidRPr="00BF5E4E" w:rsidRDefault="00AB116C" w:rsidP="004D4E99">
      <w:pPr>
        <w:pStyle w:val="Hinweistext"/>
        <w:rPr>
          <w:color w:val="auto"/>
        </w:rPr>
      </w:pPr>
    </w:p>
    <w:p w14:paraId="6338794F" w14:textId="77777777" w:rsidR="00AB116C" w:rsidRPr="00BF5E4E" w:rsidRDefault="00AB116C" w:rsidP="004D4E99">
      <w:pPr>
        <w:pStyle w:val="Schlussformel"/>
        <w:rPr>
          <w:rStyle w:val="Marker"/>
          <w:color w:val="auto"/>
        </w:rPr>
      </w:pPr>
      <w:r w:rsidRPr="00BF5E4E">
        <w:rPr>
          <w:rStyle w:val="Marker"/>
          <w:color w:val="auto"/>
        </w:rPr>
        <w:t>Liidunõukogus heaks kiidetud.</w:t>
      </w:r>
    </w:p>
    <w:p w14:paraId="00CDC3CE" w14:textId="77777777" w:rsidR="00AB116C" w:rsidRPr="00BF5E4E" w:rsidRDefault="00AB116C" w:rsidP="004D4E99">
      <w:pPr>
        <w:pStyle w:val="BegrndungTitel"/>
        <w:keepLines/>
        <w:pageBreakBefore/>
      </w:pPr>
      <w:r w:rsidRPr="00BF5E4E">
        <w:lastRenderedPageBreak/>
        <w:t>Põhjendus</w:t>
      </w:r>
    </w:p>
    <w:p w14:paraId="70DD5A2C" w14:textId="77777777" w:rsidR="00AB116C" w:rsidRPr="00BF5E4E" w:rsidRDefault="00AB116C" w:rsidP="004D4E99">
      <w:pPr>
        <w:pStyle w:val="BegrndungAllgemeinerTeil"/>
        <w:keepLines/>
      </w:pPr>
      <w:r w:rsidRPr="00BF5E4E">
        <w:t>A. Üldosa</w:t>
      </w:r>
    </w:p>
    <w:p w14:paraId="76D94DDB" w14:textId="77777777" w:rsidR="00AB116C" w:rsidRPr="00BF5E4E" w:rsidRDefault="00AB116C" w:rsidP="004D4E99">
      <w:pPr>
        <w:pStyle w:val="berschriftrmischBegrndung"/>
        <w:keepLines/>
      </w:pPr>
      <w:r w:rsidRPr="00BF5E4E">
        <w:t>Eeskirjade eesmärk ja vajalikkus</w:t>
      </w:r>
    </w:p>
    <w:p w14:paraId="098CCA51" w14:textId="5B7F5C28" w:rsidR="00AB116C" w:rsidRPr="00BF5E4E" w:rsidRDefault="00AB116C" w:rsidP="004D4E99">
      <w:pPr>
        <w:pStyle w:val="Text"/>
        <w:rPr>
          <w:rStyle w:val="Marker"/>
          <w:color w:val="auto"/>
        </w:rPr>
      </w:pPr>
      <w:r w:rsidRPr="00BF5E4E">
        <w:rPr>
          <w:rStyle w:val="Marker"/>
          <w:color w:val="auto"/>
        </w:rPr>
        <w:t>Saksamaal on ülekaalulisi naisi 47 protsenti, mehi 62 protsenti ning lapsi ja noorukeid 15 protsenti. Üks selle põhjuseid on ebasoodsa toitainesisaldusega toidu liiga suur tarbimine.</w:t>
      </w:r>
    </w:p>
    <w:p w14:paraId="793A2D5C" w14:textId="77777777" w:rsidR="00AB116C" w:rsidRPr="00BF5E4E" w:rsidRDefault="00AB116C" w:rsidP="004D4E99">
      <w:pPr>
        <w:pStyle w:val="Text"/>
        <w:rPr>
          <w:rStyle w:val="Marker"/>
          <w:color w:val="auto"/>
        </w:rPr>
      </w:pPr>
      <w:r w:rsidRPr="00BF5E4E">
        <w:rPr>
          <w:rStyle w:val="Marker"/>
          <w:color w:val="auto"/>
        </w:rPr>
        <w:t>Seda tausta arvestades on Saksamaa valitsus seadnud eesmärgiks arendada Saksamaal edasi toiteväärtuse teabe märgistust, et pakkuda toidu toitainelise koostise kohta lihtsat ja arusaadavat teavet. Ulatuslike uuringute kohaselt, milles käsitleti nii toitumisteaduslikke küsimusi kui ka tarbijate mõistmist ja arusaamu, tuleks Saksamaal lubada märgise „Nutri-Score“ vabatahtlikku kasutamist.</w:t>
      </w:r>
    </w:p>
    <w:p w14:paraId="47EB1B81" w14:textId="77777777" w:rsidR="00AB116C" w:rsidRPr="00BF5E4E" w:rsidRDefault="00AB116C" w:rsidP="004D4E99">
      <w:pPr>
        <w:pStyle w:val="Text"/>
        <w:rPr>
          <w:rStyle w:val="Marker"/>
          <w:color w:val="auto"/>
        </w:rPr>
      </w:pPr>
      <w:r w:rsidRPr="00BF5E4E">
        <w:rPr>
          <w:rStyle w:val="Marker"/>
          <w:color w:val="auto"/>
        </w:rPr>
        <w:t xml:space="preserve">Määrus (EÜ) nr 1924/2006 toidu kohta esitatavate toitumis- ja tervisealaste väidete kohta sisaldab üldist keeldu, välja arvatud juhul, kui on antud eelnev luba, toidu toitumis- ja tervisealase teabe kohta. Üldiselt väljakujunenud õigusliku arvamuse kohaselt peetakse märgist „Nutri-Score“ toitumisalaseks väiteks määruse (EÜ) nr 1924/2006 (toidu kohta esitatavate toitumis- ja tervisealaste väidete kohta) artikli 2 lõike 2 punkti 4 kohaselt. Sellisena vajab „Nutri-Score“ spetsiaalset heakskiitu, mida Euroopa tasandil ei ole. Toidu kohta esitatavaid toitumis- ja tervisealaseid väiteid käsitleva määruse artikli 23 lõike 1 kohaselt peab Euroopa Liidu liikmesriik, kes soovib võtta vastu uusi määruse kohaldamisalasse kuuluvaid õigusakte, teatama sellest komisjonile ja teistele liikmesriikidele. Lisaks on antud määruse eesmärk selgitada takistust, mis tuleneb määrusega (EL) nr 1169/2011 vajaduse korral kehtestatavast „välistavast mõjust“ teatavatele vabatahtliku toitumisalase teabega märgistamise vormidele. </w:t>
      </w:r>
    </w:p>
    <w:p w14:paraId="218B1216" w14:textId="77777777" w:rsidR="00AB116C" w:rsidRPr="00BF5E4E" w:rsidRDefault="00AB116C" w:rsidP="004D4E99">
      <w:pPr>
        <w:pStyle w:val="Text"/>
      </w:pPr>
      <w:r w:rsidRPr="00BF5E4E">
        <w:rPr>
          <w:rStyle w:val="Marker"/>
          <w:color w:val="auto"/>
        </w:rPr>
        <w:t>„Nutri-Score“ on ELi kollektiivkaubamärk, mis on registreeritud Euroopa Liidu Intellektuaalomandi Ametis (EUIPO) ja mille omanik on Prantsusmaa rahvatervise amet Santé publique France. Kaubamärgi „Nutri-Score“ kasutamiseks eraõiguslike kolmandate isikute</w:t>
      </w:r>
      <w:r w:rsidRPr="00BF5E4E">
        <w:t xml:space="preserve"> poolt on seega määrava tähtsusega vastavad kaubamärgiõiguse nõuded, sealhulgas kaubamärgi omaniku poolt kehtestatud tingimused kaubamärgi kasutamiseks nn volitatud isikute poolt. Kuna „Nutri-Score“ on hõlmatud intellektuaalomandi eraõigusega, tuleb kaubamärgi „Nutri-Score“ nõuetekohase kasutamise tagamisel kolmandate isikute poolt kaaluda ka kaubamärgiõiguse, õiglase kaubanduse ja üldiselt kaubamärkide kaitseks kohaldatavate karistussaeduse sätete kohaldatavust. </w:t>
      </w:r>
    </w:p>
    <w:p w14:paraId="6F4190E2" w14:textId="77777777" w:rsidR="00AB116C" w:rsidRPr="00BF5E4E" w:rsidRDefault="00AB116C" w:rsidP="004D4E99">
      <w:pPr>
        <w:pStyle w:val="Text"/>
      </w:pPr>
      <w:r w:rsidRPr="00BF5E4E">
        <w:t xml:space="preserve">„Nutri-Score“ näitab toote summaarset toiteväärtust viiepunktilisel skaalal A-st kuni E-ni. Selleks arvutatakse välja kalorisisalduse ja eri toiteväärtuste omavaheline suhe. </w:t>
      </w:r>
    </w:p>
    <w:p w14:paraId="41602576" w14:textId="77777777" w:rsidR="00AB116C" w:rsidRPr="00BF5E4E" w:rsidRDefault="00AB116C" w:rsidP="004D4E99">
      <w:pPr>
        <w:pStyle w:val="Text"/>
        <w:rPr>
          <w:rStyle w:val="Marker"/>
          <w:color w:val="auto"/>
        </w:rPr>
      </w:pPr>
      <w:r w:rsidRPr="00BF5E4E">
        <w:t xml:space="preserve">Sissejuhatava klausliga kehtestatakse määruse eelnõus toidu märgistamise õiguslikud alused märgistuse „Nutri-Score“ vabatahtlikuks kasutamiseks Saksamaal. </w:t>
      </w:r>
    </w:p>
    <w:p w14:paraId="208A0758" w14:textId="77777777" w:rsidR="00AB116C" w:rsidRPr="00BF5E4E" w:rsidRDefault="00AB116C" w:rsidP="004D4E99">
      <w:pPr>
        <w:pStyle w:val="berschriftrmischBegrndung"/>
        <w:keepLines/>
        <w:ind w:left="706" w:hanging="706"/>
      </w:pPr>
      <w:r w:rsidRPr="00BF5E4E">
        <w:t>Eelnõu põhisisu</w:t>
      </w:r>
    </w:p>
    <w:p w14:paraId="6A488EE3" w14:textId="77777777" w:rsidR="00AB116C" w:rsidRPr="00BF5E4E" w:rsidRDefault="00AB116C" w:rsidP="004D4E99">
      <w:pPr>
        <w:pStyle w:val="Text"/>
      </w:pPr>
      <w:r w:rsidRPr="00BF5E4E">
        <w:rPr>
          <w:rStyle w:val="Marker"/>
          <w:color w:val="auto"/>
        </w:rPr>
        <w:t xml:space="preserve">Käesoleva määrusega võimaldatakse märgise „Nutri-Score“ vabatahtlikku kasutamist toidu märgistamisel. </w:t>
      </w:r>
    </w:p>
    <w:p w14:paraId="7C9E8516" w14:textId="77777777" w:rsidR="00AB116C" w:rsidRPr="00BF5E4E" w:rsidRDefault="00AB116C" w:rsidP="004D4E99">
      <w:pPr>
        <w:pStyle w:val="berschriftrmischBegrndung"/>
        <w:keepLines/>
        <w:ind w:left="706" w:hanging="706"/>
      </w:pPr>
      <w:r w:rsidRPr="00BF5E4E">
        <w:t>Alternatiivid</w:t>
      </w:r>
    </w:p>
    <w:p w14:paraId="58DEC597" w14:textId="3907BAA9" w:rsidR="00F047E3" w:rsidRPr="00BF5E4E" w:rsidRDefault="00F047E3" w:rsidP="004D4E99">
      <w:pPr>
        <w:pStyle w:val="Text"/>
        <w:rPr>
          <w:rStyle w:val="Marker"/>
          <w:color w:val="auto"/>
        </w:rPr>
      </w:pPr>
      <w:r w:rsidRPr="00BF5E4E">
        <w:rPr>
          <w:rStyle w:val="Marker"/>
          <w:color w:val="auto"/>
        </w:rPr>
        <w:t xml:space="preserve">Punktis A nimetatud uuringutes käsitleti mitut toiteväärtuse teabega märgistamise laiendatud mudelit (sealhulgas Keyhole®, toiduainetööstuse mudel, Max Rubneri instituudi mudel). Uuringud näitavad, et „Nutri-Score“ märgistus on teaduslikult kehtiv ning tarbijate jaoks kõige paremini tajutav ja arusaadav süsteem. </w:t>
      </w:r>
    </w:p>
    <w:p w14:paraId="73EA1BC6" w14:textId="77777777" w:rsidR="00AB116C" w:rsidRPr="00BF5E4E" w:rsidRDefault="00AB116C" w:rsidP="004D4E99">
      <w:pPr>
        <w:pStyle w:val="berschriftrmischBegrndung"/>
        <w:keepLines/>
        <w:ind w:left="706" w:hanging="706"/>
      </w:pPr>
      <w:r w:rsidRPr="00BF5E4E">
        <w:lastRenderedPageBreak/>
        <w:t>Seadusandlik pädevus</w:t>
      </w:r>
    </w:p>
    <w:p w14:paraId="77385E48" w14:textId="77777777" w:rsidR="00AB116C" w:rsidRPr="00BF5E4E" w:rsidRDefault="00AB116C" w:rsidP="004D4E99">
      <w:pPr>
        <w:pStyle w:val="Text"/>
        <w:rPr>
          <w:rStyle w:val="Marker"/>
          <w:color w:val="auto"/>
        </w:rPr>
      </w:pPr>
      <w:r w:rsidRPr="00BF5E4E">
        <w:rPr>
          <w:rStyle w:val="Marker"/>
          <w:color w:val="auto"/>
        </w:rPr>
        <w:t xml:space="preserve">Saksamaa toidu- ja põllumajandusministeeriumi seadusandlik pädevus tuleneb toidu- ja söödaseadustiku paragrahvi 35 lõikest 1, mis põhineb põhiseaduse artikli 74 lõike 1 punktil 20. </w:t>
      </w:r>
    </w:p>
    <w:p w14:paraId="4885EAF7" w14:textId="77777777" w:rsidR="00AB116C" w:rsidRPr="00BF5E4E" w:rsidRDefault="00AB116C" w:rsidP="004D4E99">
      <w:pPr>
        <w:pStyle w:val="berschriftrmischBegrndung"/>
        <w:keepLines/>
        <w:ind w:left="706" w:hanging="706"/>
      </w:pPr>
      <w:r w:rsidRPr="00BF5E4E">
        <w:t>Kooskõla Euroopa Liidu õiguse ja rahvusvaheliste lepingutega</w:t>
      </w:r>
    </w:p>
    <w:p w14:paraId="5493D47B" w14:textId="77777777" w:rsidR="00AB116C" w:rsidRPr="00BF5E4E" w:rsidRDefault="00AB116C" w:rsidP="004D4E99">
      <w:pPr>
        <w:pStyle w:val="Text"/>
      </w:pPr>
      <w:r w:rsidRPr="00BF5E4E">
        <w:rPr>
          <w:rStyle w:val="Marker"/>
          <w:color w:val="auto"/>
        </w:rPr>
        <w:t xml:space="preserve">Vastavus Euroopa Liidu õigusele on tagatud. Sätted vastavad määruse (EL) nr 1169/2011 nõuetele seoses toitumisalase teabe laiendatud märgistusega ja määruse (EÜ) nr 1924/2006 nõuetele seoses reguleerimisega liikmesriikide tasandil. </w:t>
      </w:r>
    </w:p>
    <w:p w14:paraId="464B48DA" w14:textId="77777777" w:rsidR="00AB116C" w:rsidRPr="00BF5E4E" w:rsidRDefault="00AB116C" w:rsidP="004D4E99">
      <w:pPr>
        <w:pStyle w:val="berschriftrmischBegrndung"/>
        <w:keepLines/>
      </w:pPr>
      <w:r w:rsidRPr="00BF5E4E">
        <w:t>Seadusest tulenevad tagajärjed</w:t>
      </w:r>
    </w:p>
    <w:p w14:paraId="5136A8B0" w14:textId="77777777" w:rsidR="00AB116C" w:rsidRPr="00BF5E4E" w:rsidRDefault="00AB116C" w:rsidP="004D4E99">
      <w:pPr>
        <w:pStyle w:val="berschriftarabischBegrndung"/>
        <w:keepLines/>
      </w:pPr>
      <w:r w:rsidRPr="00BF5E4E">
        <w:t>Õiguslik ja haldusalane lihtsustamine</w:t>
      </w:r>
    </w:p>
    <w:p w14:paraId="38F24B71" w14:textId="2F2206B6" w:rsidR="00AB116C" w:rsidRPr="00BF5E4E" w:rsidRDefault="00AB116C" w:rsidP="004D4E99">
      <w:pPr>
        <w:pStyle w:val="Text"/>
        <w:rPr>
          <w:rStyle w:val="Marker"/>
          <w:color w:val="auto"/>
        </w:rPr>
      </w:pPr>
      <w:r w:rsidRPr="00BF5E4E">
        <w:rPr>
          <w:rStyle w:val="Marker"/>
          <w:color w:val="auto"/>
        </w:rPr>
        <w:t xml:space="preserve">Käesoleva määruse sätete eesmärk on võimaldada toidu vabatahtlikku märgistamist märgisega „Nutri-Score“. </w:t>
      </w:r>
    </w:p>
    <w:p w14:paraId="47684DE2" w14:textId="77777777" w:rsidR="0090263F" w:rsidRPr="00BF5E4E" w:rsidRDefault="0090263F" w:rsidP="004D4E99">
      <w:pPr>
        <w:pStyle w:val="Text"/>
      </w:pPr>
    </w:p>
    <w:p w14:paraId="42451048" w14:textId="77777777" w:rsidR="00AB116C" w:rsidRPr="00BF5E4E" w:rsidRDefault="00AB116C" w:rsidP="004D4E99">
      <w:pPr>
        <w:pStyle w:val="berschriftarabischBegrndung"/>
        <w:keepLines/>
      </w:pPr>
      <w:r w:rsidRPr="00BF5E4E">
        <w:t>Kestliku arengu aspektid</w:t>
      </w:r>
    </w:p>
    <w:p w14:paraId="6E8E7903" w14:textId="2A18BA1C" w:rsidR="00AB116C" w:rsidRPr="00BF5E4E" w:rsidRDefault="00AB116C" w:rsidP="004D4E99">
      <w:pPr>
        <w:pStyle w:val="Text"/>
        <w:rPr>
          <w:rStyle w:val="Marker"/>
          <w:color w:val="auto"/>
        </w:rPr>
      </w:pPr>
      <w:r w:rsidRPr="00BF5E4E">
        <w:rPr>
          <w:rStyle w:val="Marker"/>
          <w:color w:val="auto"/>
        </w:rPr>
        <w:t xml:space="preserve">Sätetega toetatakse eelkõige Saksamaa valitsuse 2. kestliku arengu eesmärki, mis käsitleb paremat toitumist, ning 3. eesmärki „Tagada tervislik elu ja edendada igas vanuses inimeste üldist heaolu“, pakkudes toidu toiteväärtuse kohta hõlpsasti mõistetavat ja visuaalselt tajutavat teavet, mis muudab otsustamise lihtsamaks. Toitumise seisukohast või füsioloogiliselt kasulikuma toidu saab lihtsa võrdluse abil kiiresti kindlaks teha. Seega aitab märgistamine kaasa tervislikule toitumisele ja on seepärast kooskõlas kestliku arengu põhimõttega number 4.c, mille eesmärk on tarbija tervise kaitse. </w:t>
      </w:r>
    </w:p>
    <w:p w14:paraId="11A88643" w14:textId="77777777" w:rsidR="0090263F" w:rsidRPr="00BF5E4E" w:rsidRDefault="0090263F" w:rsidP="004D4E99">
      <w:pPr>
        <w:pStyle w:val="Text"/>
      </w:pPr>
    </w:p>
    <w:p w14:paraId="6AC566A4" w14:textId="0AAF4A83" w:rsidR="00AB116C" w:rsidRPr="00BF5E4E" w:rsidRDefault="00AB116C" w:rsidP="004D4E99">
      <w:pPr>
        <w:pStyle w:val="berschriftarabischBegrndung"/>
        <w:keepLines/>
      </w:pPr>
      <w:r w:rsidRPr="00BF5E4E">
        <w:t>Eelarvekulud ilma täitmiskuludeta</w:t>
      </w:r>
    </w:p>
    <w:p w14:paraId="01CA2DC7" w14:textId="77777777" w:rsidR="0090263F" w:rsidRPr="00BF5E4E" w:rsidRDefault="0090263F" w:rsidP="004D4E99">
      <w:pPr>
        <w:pStyle w:val="Text"/>
      </w:pPr>
    </w:p>
    <w:p w14:paraId="31FF99D7" w14:textId="77777777" w:rsidR="00AB116C" w:rsidRPr="00BF5E4E" w:rsidRDefault="00AB116C" w:rsidP="004D4E99">
      <w:pPr>
        <w:pStyle w:val="berschriftarabischBegrndung"/>
        <w:keepLines/>
      </w:pPr>
      <w:r w:rsidRPr="00BF5E4E">
        <w:t>Täitmiskulud</w:t>
      </w:r>
    </w:p>
    <w:p w14:paraId="35BD951D" w14:textId="77777777" w:rsidR="00AB116C" w:rsidRPr="00BF5E4E" w:rsidRDefault="00AB116C" w:rsidP="004D4E99">
      <w:pPr>
        <w:pStyle w:val="Text"/>
        <w:keepNext/>
        <w:keepLines/>
        <w:rPr>
          <w:b/>
        </w:rPr>
      </w:pPr>
      <w:r w:rsidRPr="00BF5E4E">
        <w:rPr>
          <w:b/>
        </w:rPr>
        <w:t>a) Täitmisest tekkivad kulud kodanikele</w:t>
      </w:r>
    </w:p>
    <w:p w14:paraId="450E425E" w14:textId="643304CD" w:rsidR="00AB116C" w:rsidRPr="00BF5E4E" w:rsidRDefault="00AB116C" w:rsidP="004D4E99">
      <w:pPr>
        <w:pStyle w:val="Text"/>
      </w:pPr>
      <w:r w:rsidRPr="00BF5E4E">
        <w:rPr>
          <w:rStyle w:val="Marker"/>
          <w:color w:val="auto"/>
        </w:rPr>
        <w:t>Kodanikele ei teki mingeid täitmiskulusid.</w:t>
      </w:r>
    </w:p>
    <w:p w14:paraId="4F14D8E7" w14:textId="77777777" w:rsidR="00AB116C" w:rsidRPr="00BF5E4E" w:rsidRDefault="00AB116C" w:rsidP="004D4E99">
      <w:pPr>
        <w:pStyle w:val="Text"/>
        <w:keepNext/>
        <w:keepLines/>
        <w:rPr>
          <w:b/>
        </w:rPr>
      </w:pPr>
      <w:r w:rsidRPr="00BF5E4E">
        <w:rPr>
          <w:b/>
        </w:rPr>
        <w:t>b) Täitmisest majandusele tekkivad kulud</w:t>
      </w:r>
    </w:p>
    <w:p w14:paraId="6DD1FE11" w14:textId="6939DEE8" w:rsidR="002F0011" w:rsidRPr="00BF5E4E" w:rsidRDefault="002F0011" w:rsidP="004D4E99">
      <w:pPr>
        <w:pStyle w:val="Text"/>
      </w:pPr>
      <w:r w:rsidRPr="00BF5E4E">
        <w:t>Kuna sättega antakse üksnes luba kasutada majandustegevuses märgist „Nutri-Score“, mille tingimusi reguleerib kaubamärgiõigus, ei ole majandusel täitmisest tekkivaid kulusid.</w:t>
      </w:r>
    </w:p>
    <w:p w14:paraId="296F30FD" w14:textId="2868E15A" w:rsidR="00AB116C" w:rsidRPr="00BF5E4E" w:rsidRDefault="00AB116C" w:rsidP="004D4E99">
      <w:pPr>
        <w:pStyle w:val="Text"/>
        <w:rPr>
          <w:b/>
        </w:rPr>
      </w:pPr>
      <w:r w:rsidRPr="00BF5E4E">
        <w:rPr>
          <w:b/>
        </w:rPr>
        <w:t>c)</w:t>
      </w:r>
      <w:r w:rsidR="00E356C3">
        <w:rPr>
          <w:b/>
        </w:rPr>
        <w:t xml:space="preserve"> </w:t>
      </w:r>
      <w:r w:rsidRPr="00BF5E4E">
        <w:rPr>
          <w:b/>
        </w:rPr>
        <w:t>Täitmisest tekkivad halduskulud</w:t>
      </w:r>
    </w:p>
    <w:p w14:paraId="29B73373" w14:textId="32175B75" w:rsidR="002F0011" w:rsidRPr="00BF5E4E" w:rsidRDefault="002F0011" w:rsidP="004D4E99">
      <w:pPr>
        <w:pStyle w:val="Text"/>
      </w:pPr>
      <w:r w:rsidRPr="00BF5E4E">
        <w:t xml:space="preserve">Märgise kasutamise lubamisega ei kaasne föderaalvalitsusele, liidumaade valitsustele või omavalitsustele lisakoormust. </w:t>
      </w:r>
    </w:p>
    <w:p w14:paraId="7B07470F" w14:textId="77777777" w:rsidR="00AB116C" w:rsidRPr="00BF5E4E" w:rsidRDefault="00AB116C" w:rsidP="004D4E99">
      <w:pPr>
        <w:pStyle w:val="Text"/>
      </w:pPr>
    </w:p>
    <w:p w14:paraId="613DFD9D" w14:textId="77777777" w:rsidR="00AB116C" w:rsidRPr="00BF5E4E" w:rsidRDefault="00AB116C" w:rsidP="004D4E99">
      <w:pPr>
        <w:pStyle w:val="berschriftarabischBegrndung"/>
        <w:keepLines/>
      </w:pPr>
      <w:r w:rsidRPr="00BF5E4E">
        <w:t>Muud kulud</w:t>
      </w:r>
    </w:p>
    <w:p w14:paraId="223750EB" w14:textId="77777777" w:rsidR="00AB116C" w:rsidRPr="00BF5E4E" w:rsidRDefault="00AB116C" w:rsidP="004D4E99">
      <w:pPr>
        <w:pStyle w:val="Text"/>
        <w:rPr>
          <w:rStyle w:val="Marker"/>
          <w:color w:val="auto"/>
        </w:rPr>
      </w:pPr>
      <w:r w:rsidRPr="00BF5E4E">
        <w:rPr>
          <w:rStyle w:val="Marker"/>
          <w:color w:val="auto"/>
        </w:rPr>
        <w:t xml:space="preserve">Väikest mõju ühikuhindadele ei saa täielikult välistada; mõju üldisele hinnatasemele, eeskätt tarbijahinnatasemele, ei ole siiski oodata. </w:t>
      </w:r>
    </w:p>
    <w:p w14:paraId="3F281BE4" w14:textId="11971AB7" w:rsidR="0091346C" w:rsidRPr="00BF5E4E" w:rsidRDefault="0091346C" w:rsidP="004D4E99">
      <w:pPr>
        <w:pStyle w:val="Text"/>
        <w:rPr>
          <w:rStyle w:val="Marker"/>
          <w:color w:val="auto"/>
        </w:rPr>
      </w:pPr>
      <w:r w:rsidRPr="00BF5E4E">
        <w:rPr>
          <w:rStyle w:val="Marker"/>
          <w:color w:val="auto"/>
        </w:rPr>
        <w:t xml:space="preserve">Vabatahtlikus märgistamissüsteemis osalemise korral võivad ettevõtted kanda minimaalseid kulusid seoses registreerimise ja märgistuse arvutamiseks vajaliku teabe kindlaksmääramisega. Digitaalne taotlusmenetlus piirdub vaid mõne küsimusega märgise kasutaja ja toodete tuvastamiseks ning on üldiselt tasuta, st märgise registreerimise või pidamise eest tasu ei võeta. Täpne arvutus, mida märgistuse puhul kohaldatakse, põhineb andmetel, mis sisalduvad juba olemasolevas toiteväärtuse märgistuses ja </w:t>
      </w:r>
      <w:r w:rsidRPr="00BF5E4E">
        <w:rPr>
          <w:rStyle w:val="Marker"/>
          <w:color w:val="auto"/>
        </w:rPr>
        <w:lastRenderedPageBreak/>
        <w:t xml:space="preserve">retseptis. Seega ei ole ka vaja uusi andmeid koguda. Arvutamiseks on kättesaadavad veebikalkulaatorid. </w:t>
      </w:r>
    </w:p>
    <w:p w14:paraId="00C2CF7A" w14:textId="43AC0F46" w:rsidR="00DE7B3A" w:rsidRPr="00BF5E4E" w:rsidRDefault="00125614" w:rsidP="004D4E99">
      <w:pPr>
        <w:pStyle w:val="Text"/>
        <w:rPr>
          <w:rStyle w:val="Marker"/>
          <w:color w:val="auto"/>
        </w:rPr>
      </w:pPr>
      <w:r w:rsidRPr="00BF5E4E">
        <w:rPr>
          <w:rStyle w:val="Marker"/>
          <w:color w:val="auto"/>
        </w:rPr>
        <w:t xml:space="preserve">Majandusele võivad tekkida ühekordsed lisakulud sellest, et pakendite trükkimisel tuleb lisada „Nutri-Score“ märgis. Osa toiduainetööstustest on kinnitanud, et sellega ei kaasne mingeid kulusid. Teine osa majandussektorist on väitnud, et lisakulud tekivad, kuid ei nimetanud siiski konkreetseid summasid ega arvutusaluseid. Toiduainete märgistamisest saadud kogemus näitab, et trükimallide ühekordse ümbertegemise kulud on üldiselt üsna väikesed. </w:t>
      </w:r>
    </w:p>
    <w:p w14:paraId="4C9E2009" w14:textId="77777777" w:rsidR="0091346C" w:rsidRPr="00BF5E4E" w:rsidRDefault="0091346C" w:rsidP="004D4E99">
      <w:pPr>
        <w:pStyle w:val="Text"/>
        <w:rPr>
          <w:rStyle w:val="Marker"/>
          <w:color w:val="auto"/>
        </w:rPr>
      </w:pPr>
    </w:p>
    <w:p w14:paraId="693FD342" w14:textId="77777777" w:rsidR="00AB116C" w:rsidRPr="00BF5E4E" w:rsidRDefault="00AB116C" w:rsidP="004D4E99">
      <w:pPr>
        <w:pStyle w:val="berschriftarabischBegrndung"/>
        <w:keepLines/>
      </w:pPr>
      <w:r w:rsidRPr="00BF5E4E">
        <w:t>Muud seadusest tulenevad mõjud</w:t>
      </w:r>
    </w:p>
    <w:p w14:paraId="5098760C" w14:textId="77777777" w:rsidR="00AB116C" w:rsidRPr="00BF5E4E" w:rsidRDefault="00AB116C" w:rsidP="004D4E99">
      <w:pPr>
        <w:pStyle w:val="Text"/>
        <w:rPr>
          <w:rStyle w:val="Marker"/>
          <w:color w:val="auto"/>
        </w:rPr>
      </w:pPr>
      <w:r w:rsidRPr="00BF5E4E">
        <w:rPr>
          <w:rStyle w:val="Marker"/>
          <w:color w:val="auto"/>
        </w:rPr>
        <w:t xml:space="preserve">Määruse demograafilisi tagajärgi ja riske kontrolliti Saksamaa siseministeeriumi avaldatud demograafilise kontrolli abil. Eelnõul ei ole otseseid demograafilisi mõjusid. </w:t>
      </w:r>
    </w:p>
    <w:p w14:paraId="03F599DB" w14:textId="77777777" w:rsidR="00AB116C" w:rsidRPr="00BF5E4E" w:rsidRDefault="00AB116C" w:rsidP="004D4E99">
      <w:pPr>
        <w:pStyle w:val="Text"/>
      </w:pPr>
      <w:r w:rsidRPr="00BF5E4E">
        <w:rPr>
          <w:rStyle w:val="Marker"/>
          <w:color w:val="auto"/>
        </w:rPr>
        <w:t xml:space="preserve">Määrus ei mõjuta soolist võrdõiguslikkust. </w:t>
      </w:r>
    </w:p>
    <w:p w14:paraId="001C24D4" w14:textId="77777777" w:rsidR="00AB116C" w:rsidRPr="00BF5E4E" w:rsidRDefault="00AB116C" w:rsidP="004D4E99">
      <w:pPr>
        <w:pStyle w:val="BegrndungBesondererTeil"/>
        <w:keepLines/>
      </w:pPr>
      <w:r w:rsidRPr="00BF5E4E">
        <w:t>B. Eriosa</w:t>
      </w:r>
    </w:p>
    <w:p w14:paraId="52BD8A51" w14:textId="77777777" w:rsidR="00AB116C" w:rsidRPr="00BF5E4E" w:rsidRDefault="00AB116C" w:rsidP="004D4E99">
      <w:pPr>
        <w:pStyle w:val="Text"/>
        <w:keepNext/>
        <w:keepLines/>
        <w:rPr>
          <w:rStyle w:val="Marker"/>
          <w:b/>
          <w:color w:val="auto"/>
        </w:rPr>
      </w:pPr>
      <w:r w:rsidRPr="00BF5E4E">
        <w:rPr>
          <w:rStyle w:val="Marker"/>
          <w:b/>
          <w:color w:val="auto"/>
        </w:rPr>
        <w:t xml:space="preserve">Paragrahvi 4a kohta </w:t>
      </w:r>
    </w:p>
    <w:p w14:paraId="4C703332" w14:textId="57443956" w:rsidR="00AB116C" w:rsidRPr="00BF5E4E" w:rsidRDefault="00AB116C" w:rsidP="004D4E99">
      <w:pPr>
        <w:pStyle w:val="Text"/>
        <w:rPr>
          <w:rStyle w:val="Marker"/>
          <w:color w:val="auto"/>
        </w:rPr>
      </w:pPr>
      <w:r w:rsidRPr="00BF5E4E">
        <w:rPr>
          <w:rStyle w:val="Marker"/>
          <w:color w:val="auto"/>
        </w:rPr>
        <w:t xml:space="preserve">Uue paragrahviga 4a luuakse õiguslik alus toidu vabatahtlikuks märgistamiseks märgisega „Nutri-Score“ ja osutatakse ELi kollektiivkaubamärgi „Nutri-Score“ kasutamise kaubamärgiõigusest tulenevatele tingimustele. </w:t>
      </w:r>
    </w:p>
    <w:p w14:paraId="0768F15D" w14:textId="77777777" w:rsidR="00AB116C" w:rsidRPr="00BF5E4E" w:rsidRDefault="00AB116C" w:rsidP="004D4E99">
      <w:pPr>
        <w:pStyle w:val="Text"/>
        <w:rPr>
          <w:rStyle w:val="Marker"/>
          <w:color w:val="auto"/>
        </w:rPr>
      </w:pPr>
      <w:r w:rsidRPr="00BF5E4E">
        <w:rPr>
          <w:rStyle w:val="Marker"/>
          <w:color w:val="auto"/>
        </w:rPr>
        <w:t xml:space="preserve">Lõikes 3 selgitatakse, et märgise kasutamisel tuleb järgida Euroopa Liidu või selle liikmesriigi kehtivaid tööstusomandi õigusi, autoriõigusi või muid omandiõigusi. </w:t>
      </w:r>
    </w:p>
    <w:p w14:paraId="60003B59" w14:textId="77777777" w:rsidR="00AB116C" w:rsidRPr="00BF5E4E" w:rsidRDefault="00AB116C" w:rsidP="004D4E99">
      <w:pPr>
        <w:pStyle w:val="Text"/>
        <w:rPr>
          <w:rStyle w:val="Marker"/>
          <w:color w:val="auto"/>
        </w:rPr>
      </w:pPr>
      <w:r w:rsidRPr="00BF5E4E">
        <w:rPr>
          <w:rStyle w:val="Marker"/>
          <w:color w:val="auto"/>
        </w:rPr>
        <w:t xml:space="preserve">Kaubamärgi omanik on Santé publique France. Kaubamärgi kasutustingimuste kohaselt on nõutav registreerimine. Lisaks peab märgise kasutaja järgima kaubamärgi omaniku kehtestatud konkreetseid kasutustingimusi. </w:t>
      </w:r>
    </w:p>
    <w:p w14:paraId="5AC32D02" w14:textId="63AB5856" w:rsidR="002728DE" w:rsidRPr="004D4E99" w:rsidRDefault="00AB116C" w:rsidP="004D4E99">
      <w:pPr>
        <w:pStyle w:val="Text"/>
      </w:pPr>
      <w:r w:rsidRPr="00BF5E4E">
        <w:rPr>
          <w:rStyle w:val="Marker"/>
          <w:color w:val="auto"/>
        </w:rPr>
        <w:t xml:space="preserve">Kaubamärgi omaniku poolt kehtestanud kaubamärgi kasutamise tingimused on praegu avaldatud prantsuse ja/või inglise keeles. Märgistamise hõlbustamiseks ning väikeste ja keskmise suurusega ettevõtjate abistamiseks peab olema võimalik lihtsustada elektroonilist kontaktivõtmist Prantsuse kaubamärgi omanikuga ja näiteks avaldada Saksamaa ametlikus väljaandes sisestamisnäidiste või sisestamise andmete saksakeelseid tõlkeid. </w:t>
      </w:r>
    </w:p>
    <w:sectPr w:rsidR="002728DE" w:rsidRPr="004D4E99" w:rsidSect="00EC2DB4">
      <w:headerReference w:type="default" r:id="rId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7526" w14:textId="77777777" w:rsidR="00D72532" w:rsidRDefault="00D72532" w:rsidP="00AB116C">
      <w:pPr>
        <w:spacing w:before="0" w:after="0"/>
      </w:pPr>
      <w:r>
        <w:separator/>
      </w:r>
    </w:p>
  </w:endnote>
  <w:endnote w:type="continuationSeparator" w:id="0">
    <w:p w14:paraId="6A7BA96C" w14:textId="77777777" w:rsidR="00D72532" w:rsidRDefault="00D72532"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7D8F9" w14:textId="77777777" w:rsidR="00D72532" w:rsidRDefault="00D72532" w:rsidP="00AB116C">
      <w:pPr>
        <w:spacing w:before="0" w:after="0"/>
      </w:pPr>
      <w:r>
        <w:separator/>
      </w:r>
    </w:p>
  </w:footnote>
  <w:footnote w:type="continuationSeparator" w:id="0">
    <w:p w14:paraId="0D61ADC0" w14:textId="77777777" w:rsidR="00D72532" w:rsidRDefault="00D72532" w:rsidP="00AB116C">
      <w:pPr>
        <w:spacing w:before="0" w:after="0"/>
      </w:pPr>
      <w:r>
        <w:continuationSeparator/>
      </w:r>
    </w:p>
  </w:footnote>
  <w:footnote w:id="1">
    <w:p w14:paraId="2E589760" w14:textId="77777777" w:rsidR="00125614" w:rsidRDefault="00125614" w:rsidP="004D4E99">
      <w:r>
        <w:rPr>
          <w:rStyle w:val="FootnoteReference"/>
        </w:rPr>
        <w:t>*)</w:t>
      </w:r>
      <w:r>
        <w:tab/>
        <w:t>Teatis on esitatud Euroopa Parlamendi ja nõukogu 9. septembri 2015. aasta direktiivi (EL) 2015/1535 kohaselt, millega nähakse ette tehnilistest eeskirjadest ning infoühiskonna teenuste eeskirjadest teatamise kord (ELT L 241, 17.9.2015, lk 1).</w:t>
      </w:r>
      <w:r>
        <w:rPr>
          <w:sz w:val="18"/>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D01237">
      <w:rPr>
        <w:noProof/>
      </w:rPr>
      <w:t>3</w:t>
    </w:r>
    <w:r>
      <w:fldChar w:fldCharType="end"/>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511A1"/>
    <w:rsid w:val="00A60ABB"/>
    <w:rsid w:val="00AA011B"/>
    <w:rsid w:val="00AA6602"/>
    <w:rsid w:val="00AB116C"/>
    <w:rsid w:val="00AD161D"/>
    <w:rsid w:val="00B046D6"/>
    <w:rsid w:val="00B56042"/>
    <w:rsid w:val="00B67505"/>
    <w:rsid w:val="00B90543"/>
    <w:rsid w:val="00BA25A3"/>
    <w:rsid w:val="00BE26A1"/>
    <w:rsid w:val="00BE7A03"/>
    <w:rsid w:val="00BF5E4E"/>
    <w:rsid w:val="00C22ACA"/>
    <w:rsid w:val="00C74E1B"/>
    <w:rsid w:val="00D01237"/>
    <w:rsid w:val="00D72532"/>
    <w:rsid w:val="00DB61EB"/>
    <w:rsid w:val="00DC4889"/>
    <w:rsid w:val="00DE7B3A"/>
    <w:rsid w:val="00E356C3"/>
    <w:rsid w:val="00E76883"/>
    <w:rsid w:val="00EC2DB4"/>
    <w:rsid w:val="00EE737F"/>
    <w:rsid w:val="00F047E3"/>
    <w:rsid w:val="00F86CAF"/>
    <w:rsid w:val="00FC57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D9358"/>
  <w15:docId w15:val="{F7F4D558-1EEC-4F1D-A26F-FA366A9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1824</Words>
  <Characters>10398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Liu, Lei</cp:lastModifiedBy>
  <cp:revision>5</cp:revision>
  <cp:lastPrinted>2020-03-04T10:36:00Z</cp:lastPrinted>
  <dcterms:created xsi:type="dcterms:W3CDTF">2020-03-10T09:45:00Z</dcterms:created>
  <dcterms:modified xsi:type="dcterms:W3CDTF">2020-03-18T03:09:00Z</dcterms:modified>
</cp:coreProperties>
</file>