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1C2136" w:rsidRDefault="00833243" w:rsidP="00275360">
      <w:pPr>
        <w:pStyle w:val="18AbbildungoderObjekt"/>
        <w:jc w:val="center"/>
      </w:pPr>
      <w:r w:rsidRPr="001C2136">
        <w:rPr>
          <w:noProof/>
          <w:lang w:val="en-US" w:eastAsia="en-US"/>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1C2136" w:rsidTr="0069392C">
        <w:tc>
          <w:tcPr>
            <w:tcW w:w="4247" w:type="dxa"/>
          </w:tcPr>
          <w:p w:rsidR="0069392C" w:rsidRPr="001C2136" w:rsidRDefault="0069392C" w:rsidP="0069392C">
            <w:pPr>
              <w:pStyle w:val="51Abs"/>
              <w:ind w:firstLine="0"/>
            </w:pPr>
            <w:r w:rsidRPr="001C2136">
              <w:t>LAND TIROL</w:t>
            </w:r>
          </w:p>
        </w:tc>
        <w:tc>
          <w:tcPr>
            <w:tcW w:w="4248" w:type="dxa"/>
          </w:tcPr>
          <w:p w:rsidR="0069392C" w:rsidRPr="001C2136" w:rsidRDefault="0069392C" w:rsidP="0069392C">
            <w:pPr>
              <w:pStyle w:val="51Abs"/>
              <w:ind w:firstLine="0"/>
            </w:pPr>
            <w:r w:rsidRPr="001C2136">
              <w:t>ΟΜΟΣΠΟΝΔΟ ΚΡΑΤΙΔΙΟ ΤΙΡΟΛΟΥ</w:t>
            </w:r>
          </w:p>
        </w:tc>
      </w:tr>
      <w:tr w:rsidR="0069392C" w:rsidRPr="001C2136" w:rsidTr="0069392C">
        <w:tc>
          <w:tcPr>
            <w:tcW w:w="4247" w:type="dxa"/>
          </w:tcPr>
          <w:p w:rsidR="0069392C" w:rsidRPr="001C2136" w:rsidRDefault="0069392C" w:rsidP="0069392C">
            <w:pPr>
              <w:pStyle w:val="51Abs"/>
              <w:ind w:firstLine="0"/>
            </w:pPr>
            <w:proofErr w:type="spellStart"/>
            <w:r w:rsidRPr="001C2136">
              <w:t>Landesgesetzblatt</w:t>
            </w:r>
            <w:proofErr w:type="spellEnd"/>
            <w:r w:rsidRPr="001C2136">
              <w:t xml:space="preserve"> </w:t>
            </w:r>
            <w:proofErr w:type="spellStart"/>
            <w:r w:rsidRPr="001C2136">
              <w:t>für</w:t>
            </w:r>
            <w:proofErr w:type="spellEnd"/>
            <w:r w:rsidRPr="001C2136">
              <w:t xml:space="preserve"> </w:t>
            </w:r>
            <w:proofErr w:type="spellStart"/>
            <w:r w:rsidRPr="001C2136">
              <w:t>Tirol</w:t>
            </w:r>
            <w:proofErr w:type="spellEnd"/>
          </w:p>
        </w:tc>
        <w:tc>
          <w:tcPr>
            <w:tcW w:w="4248" w:type="dxa"/>
          </w:tcPr>
          <w:p w:rsidR="0069392C" w:rsidRPr="001C2136" w:rsidRDefault="0069392C" w:rsidP="0069392C">
            <w:pPr>
              <w:pStyle w:val="51Abs"/>
              <w:ind w:firstLine="0"/>
            </w:pPr>
            <w:r w:rsidRPr="001C2136">
              <w:t xml:space="preserve">Επίσημη Εφημερίδα του ομόσπονδου κρατιδίου του </w:t>
            </w:r>
            <w:proofErr w:type="spellStart"/>
            <w:r w:rsidRPr="001C2136">
              <w:t>Τιρόλου</w:t>
            </w:r>
            <w:proofErr w:type="spellEnd"/>
          </w:p>
        </w:tc>
      </w:tr>
    </w:tbl>
    <w:p w:rsidR="007828B1" w:rsidRPr="00F25B99" w:rsidRDefault="007828B1" w:rsidP="007828B1">
      <w:pPr>
        <w:rPr>
          <w:rFonts w:eastAsiaTheme="minorHAnsi"/>
          <w:sz w:val="20"/>
        </w:rPr>
      </w:pPr>
      <w:r w:rsidRPr="00F25B99">
        <w:rPr>
          <w:rFonts w:ascii="Courier New" w:hAnsi="Courier New"/>
          <w:sz w:val="20"/>
        </w:rPr>
        <w:t>1. ---</w:t>
      </w:r>
      <w:r w:rsidR="00F25B99">
        <w:rPr>
          <w:rFonts w:ascii="Courier New" w:hAnsi="Courier New"/>
          <w:sz w:val="20"/>
        </w:rPr>
        <w:t>-</w:t>
      </w:r>
      <w:bookmarkStart w:id="0" w:name="_GoBack"/>
      <w:bookmarkEnd w:id="0"/>
      <w:r w:rsidRPr="00F25B99">
        <w:rPr>
          <w:rFonts w:ascii="Courier New" w:hAnsi="Courier New"/>
          <w:sz w:val="20"/>
        </w:rPr>
        <w:t xml:space="preserve">--IND- 2019 0651 A-- EL- ------ </w:t>
      </w:r>
      <w:r w:rsidRPr="00F25B99">
        <w:rPr>
          <w:rFonts w:ascii="Segoe UI" w:hAnsi="Segoe UI"/>
          <w:color w:val="000000"/>
          <w:sz w:val="20"/>
        </w:rPr>
        <w:t>20200930</w:t>
      </w:r>
      <w:r w:rsidRPr="00F25B99">
        <w:rPr>
          <w:sz w:val="20"/>
        </w:rPr>
        <w:t xml:space="preserve"> </w:t>
      </w:r>
      <w:r w:rsidRPr="00F25B99">
        <w:rPr>
          <w:rFonts w:ascii="Courier New" w:hAnsi="Courier New"/>
          <w:sz w:val="20"/>
        </w:rPr>
        <w:t>--- --- FINAL</w:t>
      </w:r>
    </w:p>
    <w:p w:rsidR="0069392C" w:rsidRPr="001C2136" w:rsidRDefault="0069392C" w:rsidP="0069392C">
      <w:pPr>
        <w:pStyle w:val="51Abs"/>
      </w:pPr>
    </w:p>
    <w:p w:rsidR="00275360" w:rsidRPr="001C2136" w:rsidRDefault="00275360" w:rsidP="0069392C">
      <w:pPr>
        <w:pStyle w:val="04AusgabeDaten"/>
        <w:tabs>
          <w:tab w:val="clear" w:pos="4253"/>
        </w:tabs>
      </w:pPr>
      <w:r w:rsidRPr="001C2136">
        <w:t>Έτος 2020</w:t>
      </w:r>
      <w:r w:rsidRPr="001C2136">
        <w:tab/>
        <w:t>Δημοσιεύτηκε στις 30 Ιουνίου 2020</w:t>
      </w:r>
    </w:p>
    <w:p w:rsidR="00275360" w:rsidRPr="001C2136" w:rsidRDefault="00275360" w:rsidP="00275360">
      <w:pPr>
        <w:pStyle w:val="05Kurztitel"/>
      </w:pPr>
      <w:r w:rsidRPr="001C2136">
        <w:t>70.</w:t>
      </w:r>
      <w:r w:rsidRPr="001C2136">
        <w:tab/>
        <w:t xml:space="preserve">Τροποποίηση του κανονισμού περί εγκαταστάσεων αερίου, θέρμανσης και κλιματισμού του 2014 του ομόσπονδου κρατιδίου του </w:t>
      </w:r>
      <w:proofErr w:type="spellStart"/>
      <w:r w:rsidRPr="001C2136">
        <w:t>Τιρόλου</w:t>
      </w:r>
      <w:proofErr w:type="spellEnd"/>
    </w:p>
    <w:p w:rsidR="003B4FF6" w:rsidRPr="001C2136" w:rsidRDefault="00275360" w:rsidP="009A6CCA">
      <w:pPr>
        <w:pStyle w:val="11Titel"/>
      </w:pPr>
      <w:r w:rsidRPr="001C2136">
        <w:t xml:space="preserve">70. Κανονισμός της κυβέρνησης του ομόσπονδου κρατιδίου της 23ης Ιουνίου 2020, με τον οποίο τροποποιείται ο κανονισμός περί εγκαταστάσεων αερίου, θέρμανσης και κλιματισμού του 2014 του ομόσπονδου κρατιδίου του </w:t>
      </w:r>
      <w:proofErr w:type="spellStart"/>
      <w:r w:rsidRPr="001C2136">
        <w:t>Τιρόλου</w:t>
      </w:r>
      <w:proofErr w:type="spellEnd"/>
    </w:p>
    <w:p w:rsidR="00390CD2" w:rsidRPr="001C2136" w:rsidRDefault="00390CD2" w:rsidP="009A6CCA">
      <w:pPr>
        <w:pStyle w:val="12PromKlEinlSatz"/>
      </w:pPr>
      <w:r w:rsidRPr="001C2136">
        <w:t xml:space="preserve">Έχοντας υπόψη το άρθρο 3 παράγραφος 2 του νόμου του </w:t>
      </w:r>
      <w:proofErr w:type="spellStart"/>
      <w:r w:rsidRPr="001C2136">
        <w:t>Τιρόλου</w:t>
      </w:r>
      <w:proofErr w:type="spellEnd"/>
      <w:r w:rsidRPr="001C2136">
        <w:t xml:space="preserve"> για τις εγκαταστάσεις αερίου, θέρμανσης και κλιματισμού του 2013, </w:t>
      </w:r>
      <w:proofErr w:type="spellStart"/>
      <w:r w:rsidRPr="001C2136">
        <w:t>LGBl</w:t>
      </w:r>
      <w:proofErr w:type="spellEnd"/>
      <w:r w:rsidRPr="001C2136">
        <w:t xml:space="preserve">. αριθ. 111/2013, όπως τροποποιήθηκε τελευταία με τον νόμο </w:t>
      </w:r>
      <w:proofErr w:type="spellStart"/>
      <w:r w:rsidRPr="001C2136">
        <w:t>LGBl</w:t>
      </w:r>
      <w:proofErr w:type="spellEnd"/>
      <w:r w:rsidRPr="001C2136">
        <w:t>. αριθ. 144/2018, ορίζονται τα εξής:</w:t>
      </w:r>
    </w:p>
    <w:p w:rsidR="009000A8" w:rsidRPr="001C2136" w:rsidRDefault="009000A8" w:rsidP="009831A5">
      <w:pPr>
        <w:pStyle w:val="41UeberschrG1"/>
      </w:pPr>
      <w:r w:rsidRPr="001C2136">
        <w:t>Άρθρο Ι</w:t>
      </w:r>
    </w:p>
    <w:p w:rsidR="007E62E6" w:rsidRPr="001C2136" w:rsidRDefault="007E62E6" w:rsidP="009A6CCA">
      <w:pPr>
        <w:pStyle w:val="12PromKlEinlSatz"/>
      </w:pPr>
      <w:r w:rsidRPr="001C2136">
        <w:t xml:space="preserve">Ο κανονισμός του ομόσπονδου κρατιδίου του </w:t>
      </w:r>
      <w:proofErr w:type="spellStart"/>
      <w:r w:rsidRPr="001C2136">
        <w:t>Τιρόλου</w:t>
      </w:r>
      <w:proofErr w:type="spellEnd"/>
      <w:r w:rsidRPr="001C2136">
        <w:t xml:space="preserve"> περί εγκαταστάσεων αερίου, θέρμανσης και κλιματισμού του 2014, LGBI. αριθ. 80/2014, όπως διαμορφώθηκε με τον κανονισμό </w:t>
      </w:r>
      <w:proofErr w:type="spellStart"/>
      <w:r w:rsidRPr="001C2136">
        <w:t>LGBl</w:t>
      </w:r>
      <w:proofErr w:type="spellEnd"/>
      <w:r w:rsidRPr="001C2136">
        <w:t>. αριθ. 9/2018, τροποποιείται ως εξής:</w:t>
      </w:r>
    </w:p>
    <w:p w:rsidR="003D2AFA" w:rsidRPr="001C2136" w:rsidRDefault="00ED638A" w:rsidP="009747D0">
      <w:pPr>
        <w:pStyle w:val="21NovAo1"/>
      </w:pPr>
      <w:r w:rsidRPr="001C2136">
        <w:t>1. Στο άρθρο 2 προστίθενται μετά την παράγραφο 5 οι ακόλουθες διατάξεις ως παράγραφοι 6, 7 και 8:</w:t>
      </w:r>
    </w:p>
    <w:p w:rsidR="00223A75" w:rsidRPr="001C2136" w:rsidRDefault="008D4BF2" w:rsidP="009A6CCA">
      <w:pPr>
        <w:pStyle w:val="51Abs"/>
      </w:pPr>
      <w:r w:rsidRPr="001C2136">
        <w:t xml:space="preserve">«(6) Στις νέες κατασκευές κατά την έννοια του άρθρου 2 παράγραφος 7 του οικοδομικού κανονισμού του </w:t>
      </w:r>
      <w:proofErr w:type="spellStart"/>
      <w:r w:rsidRPr="001C2136">
        <w:t>Τιρόλου</w:t>
      </w:r>
      <w:proofErr w:type="spellEnd"/>
      <w:r w:rsidRPr="001C2136">
        <w:t xml:space="preserve"> του 2018, </w:t>
      </w:r>
      <w:proofErr w:type="spellStart"/>
      <w:r w:rsidRPr="001C2136">
        <w:t>LGBl</w:t>
      </w:r>
      <w:proofErr w:type="spellEnd"/>
      <w:r w:rsidRPr="001C2136">
        <w:t>. αριθ. 28/2018, στην εκάστοτε ισχύουσα έκδοση, δεν επιτρέπεται η χρήση στέρεων ορυκτών καυσίμων σύμφωνα με το παράρτημα 1 και υγρών ορυκτών καυσίμων σύμφωνα με το παράρτημα 2 σε εγκαταστάσεις κεντρικής θέρμανσης.</w:t>
      </w:r>
    </w:p>
    <w:p w:rsidR="00103351" w:rsidRPr="001C2136" w:rsidRDefault="00223A75" w:rsidP="009A6CCA">
      <w:pPr>
        <w:pStyle w:val="51Abs"/>
      </w:pPr>
      <w:r w:rsidRPr="001C2136">
        <w:t xml:space="preserve">(7) Σε ανακαινίσεις μεγάλης κλίμακας κατά την έννοια του άρθρου 2 παράγραφος 27 του οικοδομικού κανονισμού του </w:t>
      </w:r>
      <w:proofErr w:type="spellStart"/>
      <w:r w:rsidRPr="001C2136">
        <w:t>Τιρόλου</w:t>
      </w:r>
      <w:proofErr w:type="spellEnd"/>
      <w:r w:rsidRPr="001C2136">
        <w:t xml:space="preserve"> του 2018, δεν επιτρέπεται η χρήση στέρεων ορυκτών καυσίμων σύμφωνα με το παράρτημα 1 και υγρών ορυκτών καυσίμων σύμφωνα με το παράρτημα 2 σε εγκαταστάσεις κεντρικής θέρμανσης. Κατά παρέκκλιση, επιτρέπεται η συνέχιση της χρήσης στερεών ορυκτών καυσίμων σύμφωνα με το παράρτημα 1 και υγρών ορυκτών καυσίμων σύμφωνα με το παράρτημα 2 σε εγκαταστάσεις κεντρικής θέρμανσης, εάν για τη μεγάλης κλίμακας ανακαίνιση κατά το άρθρο 2 παράγραφος 27 του οικοδομικού κανονισμού του </w:t>
      </w:r>
      <w:proofErr w:type="spellStart"/>
      <w:r w:rsidRPr="001C2136">
        <w:t>Τιρόλου</w:t>
      </w:r>
      <w:proofErr w:type="spellEnd"/>
      <w:r w:rsidRPr="001C2136">
        <w:t xml:space="preserve"> του 2018, έχει υποβληθεί αίτηση στην πολεοδομική αρχή έως την 31η Δεκεμβρίου 2024 και ο ήδη υφιστάμενος λέβητας της αντίστοιχης εγκατάστασης κεντρικής θέρμανσης δεν είναι παλαιότερος των δέκα ετών κατά τον χρόνο υποβολής της αίτησης.</w:t>
      </w:r>
    </w:p>
    <w:p w:rsidR="003D2AFA" w:rsidRPr="001C2136" w:rsidRDefault="000A6F7A" w:rsidP="000A6F7A">
      <w:pPr>
        <w:pStyle w:val="51Abs"/>
      </w:pPr>
      <w:r w:rsidRPr="001C2136">
        <w:t>(8) Οι παράγραφοι 6 και 7 δεν εφαρμόζονται για εγκαταστάσεις κεντρικής θέρμανσης για τις οποίες το πόρισμα του ελέγχου θα προσκομιστεί στην αρχή έως τις 31 Δεκεμβρίου 2020 το αργότερο.»</w:t>
      </w:r>
    </w:p>
    <w:p w:rsidR="00092EA6" w:rsidRPr="001C2136" w:rsidRDefault="00ED638A" w:rsidP="009747D0">
      <w:pPr>
        <w:pStyle w:val="21NovAo1"/>
      </w:pPr>
      <w:r w:rsidRPr="001C2136">
        <w:t>2. Οι παράγραφοι 7 και 8 του άρθρου 3 τροποποιούνται ως εξής:</w:t>
      </w:r>
    </w:p>
    <w:p w:rsidR="002B5E92" w:rsidRPr="001C2136" w:rsidRDefault="00092EA6" w:rsidP="00543EC7">
      <w:pPr>
        <w:pStyle w:val="51Abs"/>
        <w:keepNext/>
      </w:pPr>
      <w:r w:rsidRPr="001C2136">
        <w:t xml:space="preserve">«(7) Η διαμόρφωση και λειτουργία των εγκαταστάσεων θέρμανσης και κλιματισμού πρέπει να είναι τέτοια ώστε να αποφεύγεται η υπερβολική ηχορύπανση των γειτόνων. Δεν προκύπτει υπερβολική </w:t>
      </w:r>
      <w:r w:rsidRPr="001C2136">
        <w:lastRenderedPageBreak/>
        <w:t xml:space="preserve">ηχορύπανση εάν η Α-σταθμισμένη στάθμη ηχητικής πίεσης του μόνιμου θορύβου που προκαλείται από τις εν λόγω εγκαταστάσεις στο σύνορο του οικοπέδου στο ύπαιθρο με γειτονικά οικόπεδα, τα οποία δεν συνιστούν επιφάνειες κυκλοφορίας σύμφωνα με το άρθρο 2 παράγραφος 21 του οικοδομικού κανονισμού του </w:t>
      </w:r>
      <w:proofErr w:type="spellStart"/>
      <w:r w:rsidRPr="001C2136">
        <w:t>Τιρόλου</w:t>
      </w:r>
      <w:proofErr w:type="spellEnd"/>
      <w:r w:rsidRPr="001C2136">
        <w:t xml:space="preserve"> του 2018, δεν υπερβαίνει τις παρακάτω τιμές </w:t>
      </w:r>
      <w:proofErr w:type="spellStart"/>
      <w:r w:rsidRPr="001C2136">
        <w:t>dB</w:t>
      </w:r>
      <w:proofErr w:type="spellEnd"/>
      <w:r w:rsidRPr="001C2136">
        <w:t xml:space="preserve"> στην εκάστοτε λειτουργία:</w:t>
      </w:r>
    </w:p>
    <w:p w:rsidR="00BD226C" w:rsidRPr="001C2136"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1C2136" w:rsidTr="0069392C">
        <w:tc>
          <w:tcPr>
            <w:tcW w:w="3150" w:type="dxa"/>
            <w:vAlign w:val="center"/>
          </w:tcPr>
          <w:p w:rsidR="00520582" w:rsidRPr="001C2136" w:rsidRDefault="00520582" w:rsidP="00543EC7">
            <w:pPr>
              <w:pStyle w:val="09Abstand"/>
              <w:keepNext/>
            </w:pPr>
          </w:p>
        </w:tc>
        <w:tc>
          <w:tcPr>
            <w:tcW w:w="1750" w:type="dxa"/>
            <w:vAlign w:val="center"/>
          </w:tcPr>
          <w:p w:rsidR="00520582" w:rsidRPr="001C2136" w:rsidRDefault="00520582" w:rsidP="00543EC7">
            <w:pPr>
              <w:pStyle w:val="61bTabTextZentriert"/>
              <w:keepNext/>
            </w:pPr>
            <w:r w:rsidRPr="001C2136">
              <w:t>Ημέρα</w:t>
            </w:r>
          </w:p>
          <w:p w:rsidR="00520582" w:rsidRPr="001C2136" w:rsidRDefault="002859EA" w:rsidP="002859EA">
            <w:pPr>
              <w:pStyle w:val="61bTabTextZentriert"/>
              <w:keepNext/>
            </w:pPr>
            <w:r w:rsidRPr="001C2136">
              <w:t>6:00 έως 19</w:t>
            </w:r>
            <w:r w:rsidR="00520582" w:rsidRPr="001C2136">
              <w:t>:00</w:t>
            </w:r>
          </w:p>
        </w:tc>
        <w:tc>
          <w:tcPr>
            <w:tcW w:w="1922" w:type="dxa"/>
            <w:vAlign w:val="center"/>
          </w:tcPr>
          <w:p w:rsidR="00520582" w:rsidRPr="001C2136" w:rsidRDefault="00520582" w:rsidP="00543EC7">
            <w:pPr>
              <w:pStyle w:val="61bTabTextZentriert"/>
              <w:keepNext/>
            </w:pPr>
            <w:r w:rsidRPr="001C2136">
              <w:t>Απόγευμα</w:t>
            </w:r>
          </w:p>
          <w:p w:rsidR="00520582" w:rsidRPr="001C2136" w:rsidRDefault="002859EA" w:rsidP="002859EA">
            <w:pPr>
              <w:pStyle w:val="61bTabTextZentriert"/>
              <w:keepNext/>
            </w:pPr>
            <w:r w:rsidRPr="001C2136">
              <w:rPr>
                <w:lang w:val="en-US"/>
              </w:rPr>
              <w:t>19</w:t>
            </w:r>
            <w:r w:rsidR="00520582" w:rsidRPr="001C2136">
              <w:t xml:space="preserve">:00 έως </w:t>
            </w:r>
            <w:r w:rsidRPr="001C2136">
              <w:rPr>
                <w:lang w:val="en-US"/>
              </w:rPr>
              <w:t>22</w:t>
            </w:r>
            <w:r w:rsidRPr="001C2136">
              <w:t>:00</w:t>
            </w:r>
          </w:p>
        </w:tc>
        <w:tc>
          <w:tcPr>
            <w:tcW w:w="1801" w:type="dxa"/>
            <w:vAlign w:val="center"/>
          </w:tcPr>
          <w:p w:rsidR="00520582" w:rsidRPr="001C2136" w:rsidRDefault="00520582" w:rsidP="00543EC7">
            <w:pPr>
              <w:pStyle w:val="61bTabTextZentriert"/>
              <w:keepNext/>
            </w:pPr>
            <w:r w:rsidRPr="001C2136">
              <w:t>Νύχτα</w:t>
            </w:r>
          </w:p>
          <w:p w:rsidR="00520582" w:rsidRPr="001C2136" w:rsidRDefault="002859EA" w:rsidP="002859EA">
            <w:pPr>
              <w:pStyle w:val="61bTabTextZentriert"/>
              <w:keepNext/>
            </w:pPr>
            <w:r w:rsidRPr="001C2136">
              <w:t>22:00 έως 6:00</w:t>
            </w:r>
          </w:p>
        </w:tc>
      </w:tr>
      <w:tr w:rsidR="00922276" w:rsidRPr="001C2136" w:rsidTr="0069392C">
        <w:tc>
          <w:tcPr>
            <w:tcW w:w="3150" w:type="dxa"/>
            <w:vAlign w:val="center"/>
          </w:tcPr>
          <w:p w:rsidR="00520582" w:rsidRPr="001C2136" w:rsidRDefault="00520582" w:rsidP="006B308D">
            <w:pPr>
              <w:pStyle w:val="61TabText"/>
            </w:pPr>
            <w:r w:rsidRPr="001C2136">
              <w:t>Οικιστική περιοχή</w:t>
            </w:r>
          </w:p>
        </w:tc>
        <w:tc>
          <w:tcPr>
            <w:tcW w:w="1750" w:type="dxa"/>
            <w:vAlign w:val="center"/>
          </w:tcPr>
          <w:p w:rsidR="00520582" w:rsidRPr="001C2136" w:rsidRDefault="00520582" w:rsidP="006B308D">
            <w:pPr>
              <w:pStyle w:val="61bTabTextZentriert"/>
            </w:pPr>
            <w:r w:rsidRPr="001C2136">
              <w:t xml:space="preserve">40 </w:t>
            </w:r>
            <w:proofErr w:type="spellStart"/>
            <w:r w:rsidRPr="001C2136">
              <w:t>dB</w:t>
            </w:r>
            <w:proofErr w:type="spellEnd"/>
          </w:p>
        </w:tc>
        <w:tc>
          <w:tcPr>
            <w:tcW w:w="1922" w:type="dxa"/>
            <w:vAlign w:val="center"/>
          </w:tcPr>
          <w:p w:rsidR="00520582" w:rsidRPr="001C2136" w:rsidRDefault="00520582" w:rsidP="006B308D">
            <w:pPr>
              <w:pStyle w:val="61bTabTextZentriert"/>
            </w:pPr>
            <w:r w:rsidRPr="001C2136">
              <w:t xml:space="preserve">35 </w:t>
            </w:r>
            <w:proofErr w:type="spellStart"/>
            <w:r w:rsidRPr="001C2136">
              <w:t>dB</w:t>
            </w:r>
            <w:proofErr w:type="spellEnd"/>
          </w:p>
        </w:tc>
        <w:tc>
          <w:tcPr>
            <w:tcW w:w="1801" w:type="dxa"/>
            <w:vAlign w:val="center"/>
          </w:tcPr>
          <w:p w:rsidR="00520582" w:rsidRPr="001C2136" w:rsidRDefault="00520582" w:rsidP="006B308D">
            <w:pPr>
              <w:pStyle w:val="61bTabTextZentriert"/>
            </w:pPr>
            <w:r w:rsidRPr="001C2136">
              <w:t xml:space="preserve">30 </w:t>
            </w:r>
            <w:proofErr w:type="spellStart"/>
            <w:r w:rsidRPr="001C2136">
              <w:t>dB</w:t>
            </w:r>
            <w:proofErr w:type="spellEnd"/>
          </w:p>
        </w:tc>
      </w:tr>
      <w:tr w:rsidR="00922276" w:rsidRPr="001C2136" w:rsidTr="0069392C">
        <w:tc>
          <w:tcPr>
            <w:tcW w:w="3150" w:type="dxa"/>
            <w:vAlign w:val="center"/>
          </w:tcPr>
          <w:p w:rsidR="00520582" w:rsidRPr="001C2136" w:rsidRDefault="00520582" w:rsidP="006B308D">
            <w:pPr>
              <w:pStyle w:val="61TabText"/>
            </w:pPr>
            <w:r w:rsidRPr="001C2136">
              <w:t>Μεικτή οικιστική ή τουριστική περιοχή</w:t>
            </w:r>
          </w:p>
        </w:tc>
        <w:tc>
          <w:tcPr>
            <w:tcW w:w="1750" w:type="dxa"/>
            <w:vAlign w:val="center"/>
          </w:tcPr>
          <w:p w:rsidR="00520582" w:rsidRPr="001C2136" w:rsidRDefault="00520582" w:rsidP="006B308D">
            <w:pPr>
              <w:pStyle w:val="61bTabTextZentriert"/>
            </w:pPr>
            <w:r w:rsidRPr="001C2136">
              <w:t xml:space="preserve">45 </w:t>
            </w:r>
            <w:proofErr w:type="spellStart"/>
            <w:r w:rsidRPr="001C2136">
              <w:t>dB</w:t>
            </w:r>
            <w:proofErr w:type="spellEnd"/>
          </w:p>
        </w:tc>
        <w:tc>
          <w:tcPr>
            <w:tcW w:w="1922" w:type="dxa"/>
            <w:vAlign w:val="center"/>
          </w:tcPr>
          <w:p w:rsidR="00520582" w:rsidRPr="001C2136" w:rsidRDefault="00520582" w:rsidP="006B308D">
            <w:pPr>
              <w:pStyle w:val="61bTabTextZentriert"/>
            </w:pPr>
            <w:r w:rsidRPr="001C2136">
              <w:t xml:space="preserve">40 </w:t>
            </w:r>
            <w:proofErr w:type="spellStart"/>
            <w:r w:rsidRPr="001C2136">
              <w:t>dB</w:t>
            </w:r>
            <w:proofErr w:type="spellEnd"/>
          </w:p>
        </w:tc>
        <w:tc>
          <w:tcPr>
            <w:tcW w:w="1801" w:type="dxa"/>
            <w:vAlign w:val="center"/>
          </w:tcPr>
          <w:p w:rsidR="00520582" w:rsidRPr="001C2136" w:rsidRDefault="00520582" w:rsidP="006B308D">
            <w:pPr>
              <w:pStyle w:val="61bTabTextZentriert"/>
            </w:pPr>
            <w:r w:rsidRPr="001C2136">
              <w:t xml:space="preserve">35 </w:t>
            </w:r>
            <w:proofErr w:type="spellStart"/>
            <w:r w:rsidRPr="001C2136">
              <w:t>dB</w:t>
            </w:r>
            <w:proofErr w:type="spellEnd"/>
          </w:p>
        </w:tc>
      </w:tr>
      <w:tr w:rsidR="00922276" w:rsidRPr="001C2136" w:rsidTr="0069392C">
        <w:tc>
          <w:tcPr>
            <w:tcW w:w="3150" w:type="dxa"/>
            <w:vAlign w:val="center"/>
          </w:tcPr>
          <w:p w:rsidR="00520582" w:rsidRPr="001C2136" w:rsidRDefault="00520582" w:rsidP="006B308D">
            <w:pPr>
              <w:pStyle w:val="61TabText"/>
            </w:pPr>
            <w:r w:rsidRPr="001C2136">
              <w:t>Βασική ζώνη, γεωργική και γενική μεικτή περιοχή</w:t>
            </w:r>
          </w:p>
        </w:tc>
        <w:tc>
          <w:tcPr>
            <w:tcW w:w="1750" w:type="dxa"/>
            <w:vAlign w:val="center"/>
          </w:tcPr>
          <w:p w:rsidR="00520582" w:rsidRPr="001C2136" w:rsidRDefault="00520582" w:rsidP="006B308D">
            <w:pPr>
              <w:pStyle w:val="61bTabTextZentriert"/>
            </w:pPr>
            <w:r w:rsidRPr="001C2136">
              <w:t xml:space="preserve">50 </w:t>
            </w:r>
            <w:proofErr w:type="spellStart"/>
            <w:r w:rsidRPr="001C2136">
              <w:t>dB</w:t>
            </w:r>
            <w:proofErr w:type="spellEnd"/>
          </w:p>
        </w:tc>
        <w:tc>
          <w:tcPr>
            <w:tcW w:w="1922" w:type="dxa"/>
            <w:vAlign w:val="center"/>
          </w:tcPr>
          <w:p w:rsidR="00520582" w:rsidRPr="001C2136" w:rsidRDefault="00520582" w:rsidP="006B308D">
            <w:pPr>
              <w:pStyle w:val="61bTabTextZentriert"/>
            </w:pPr>
            <w:r w:rsidRPr="001C2136">
              <w:t xml:space="preserve">45 </w:t>
            </w:r>
            <w:proofErr w:type="spellStart"/>
            <w:r w:rsidRPr="001C2136">
              <w:t>dB</w:t>
            </w:r>
            <w:proofErr w:type="spellEnd"/>
          </w:p>
        </w:tc>
        <w:tc>
          <w:tcPr>
            <w:tcW w:w="1801" w:type="dxa"/>
            <w:vAlign w:val="center"/>
          </w:tcPr>
          <w:p w:rsidR="00520582" w:rsidRPr="001C2136" w:rsidRDefault="00520582" w:rsidP="006B308D">
            <w:pPr>
              <w:pStyle w:val="61bTabTextZentriert"/>
            </w:pPr>
            <w:r w:rsidRPr="001C2136">
              <w:t xml:space="preserve">40 </w:t>
            </w:r>
            <w:proofErr w:type="spellStart"/>
            <w:r w:rsidRPr="001C2136">
              <w:t>dB</w:t>
            </w:r>
            <w:proofErr w:type="spellEnd"/>
          </w:p>
        </w:tc>
      </w:tr>
    </w:tbl>
    <w:p w:rsidR="00BD226C" w:rsidRPr="001C2136" w:rsidRDefault="00BD226C" w:rsidP="00BD226C">
      <w:pPr>
        <w:pStyle w:val="09Abstand"/>
      </w:pPr>
    </w:p>
    <w:p w:rsidR="002B5E92" w:rsidRPr="001C2136" w:rsidRDefault="002B5E92" w:rsidP="009A6CCA">
      <w:pPr>
        <w:pStyle w:val="58Schlussteile0Abs"/>
      </w:pPr>
      <w:r w:rsidRPr="001C2136">
        <w:t xml:space="preserve">Όσον αφορά τις ειδικές επιφάνειες σύμφωνα με το άρθρο 43 του χωροταξικού νόμου του </w:t>
      </w:r>
      <w:proofErr w:type="spellStart"/>
      <w:r w:rsidRPr="001C2136">
        <w:t>Τιρόλου</w:t>
      </w:r>
      <w:proofErr w:type="spellEnd"/>
      <w:r w:rsidRPr="001C2136">
        <w:t xml:space="preserve"> του 2016, </w:t>
      </w:r>
      <w:proofErr w:type="spellStart"/>
      <w:r w:rsidRPr="001C2136">
        <w:t>LGBl</w:t>
      </w:r>
      <w:proofErr w:type="spellEnd"/>
      <w:r w:rsidRPr="001C2136">
        <w:t xml:space="preserve">. αριθ. 101/2016, στην εκάστοτε ισχύουσα έκδοση, και τα </w:t>
      </w:r>
      <w:proofErr w:type="spellStart"/>
      <w:r w:rsidRPr="001C2136">
        <w:t>οικοδομημένα</w:t>
      </w:r>
      <w:proofErr w:type="spellEnd"/>
      <w:r w:rsidRPr="001C2136">
        <w:t xml:space="preserve"> οικόπεδα στο ύπαιθρο σύμφωνα με το άρθρο 41 του χωροταξικού νόμου του </w:t>
      </w:r>
      <w:proofErr w:type="spellStart"/>
      <w:r w:rsidRPr="001C2136">
        <w:t>Τιρόλου</w:t>
      </w:r>
      <w:proofErr w:type="spellEnd"/>
      <w:r w:rsidRPr="001C2136">
        <w:t xml:space="preserve"> του 2016, πρέπει να εφαρμόζονται οι τιμές </w:t>
      </w:r>
      <w:proofErr w:type="spellStart"/>
      <w:r w:rsidRPr="001C2136">
        <w:t>dB</w:t>
      </w:r>
      <w:proofErr w:type="spellEnd"/>
      <w:r w:rsidRPr="001C2136">
        <w:t xml:space="preserve"> για κάθε είδος οικοδομήσιμης έκτασης που πλησιάζει περισσότερο τον σκοπό χρήσης που έχει καθοριστεί για την ειδική επιφάνεια.</w:t>
      </w:r>
    </w:p>
    <w:p w:rsidR="00423184" w:rsidRPr="001C2136" w:rsidRDefault="00423184" w:rsidP="00423184">
      <w:pPr>
        <w:pStyle w:val="51Abs"/>
      </w:pPr>
      <w:r w:rsidRPr="001C2136">
        <w:t xml:space="preserve">(8) Υπέρβαση των οριακών τιμών που καθορίζονται στην παράγραφο 7 μπορεί να σημειωθεί, εάν η βασική στάθμη που υπολογίζεται βάσει των πρόσφατων τεχνολογικών εξελίξεων στο σύνορο του οικοπέδου δεν αυξάνεται περισσότερο από 3 </w:t>
      </w:r>
      <w:proofErr w:type="spellStart"/>
      <w:r w:rsidRPr="001C2136">
        <w:t>dB</w:t>
      </w:r>
      <w:proofErr w:type="spellEnd"/>
      <w:r w:rsidRPr="001C2136">
        <w:t>.»</w:t>
      </w:r>
    </w:p>
    <w:p w:rsidR="00727A43" w:rsidRPr="001C2136" w:rsidRDefault="00ED638A" w:rsidP="009747D0">
      <w:pPr>
        <w:pStyle w:val="21NovAo1"/>
      </w:pPr>
      <w:r w:rsidRPr="001C2136">
        <w:t>3. Η παράγραφος 4 του άρθρου 6 τροποποιείται ως εξής:</w:t>
      </w:r>
    </w:p>
    <w:p w:rsidR="00727A43" w:rsidRPr="001C2136" w:rsidRDefault="00727A43" w:rsidP="00727A43">
      <w:pPr>
        <w:pStyle w:val="51Abs"/>
      </w:pPr>
      <w:r w:rsidRPr="001C2136">
        <w:t xml:space="preserve">«(4) Οι εγκαταστάσεις θέρμανσης πρέπει να εξοπλίζονται με συσκευές </w:t>
      </w:r>
      <w:proofErr w:type="spellStart"/>
      <w:r w:rsidRPr="001C2136">
        <w:t>αυτορύθμισης</w:t>
      </w:r>
      <w:proofErr w:type="spellEnd"/>
      <w:r w:rsidRPr="001C2136">
        <w:t xml:space="preserve"> για την ξεχωριστή ρύθμιση της θερμοκρασίας σε κάθε αίθουσα ή στον βαθμό που κρίνεται σκόπιμο από τεχνική άποψη σε κάθε καθορισμένο θερμαινόμενο χώρο του τμήματος του κτιρίου, εφόσον αυτό είναι εφικτό από τεχνική και οικονομική άποψη.»</w:t>
      </w:r>
    </w:p>
    <w:p w:rsidR="00846ADA" w:rsidRPr="001C2136" w:rsidRDefault="00ED638A" w:rsidP="009747D0">
      <w:pPr>
        <w:pStyle w:val="22NovAo2"/>
      </w:pPr>
      <w:r w:rsidRPr="001C2136">
        <w:t>4. Η παράγραφος 5 του άρθρου 6 διαγράφεται.</w:t>
      </w:r>
    </w:p>
    <w:p w:rsidR="00846ADA" w:rsidRPr="001C2136" w:rsidRDefault="00ED638A" w:rsidP="009747D0">
      <w:pPr>
        <w:pStyle w:val="22NovAo2"/>
      </w:pPr>
      <w:r w:rsidRPr="001C2136">
        <w:t>5. Η μέχρι τώρα παράγραφος 6 του άρθρου 6 αναριθμείται ως παράγραφος «(5)».</w:t>
      </w:r>
    </w:p>
    <w:p w:rsidR="00846ADA" w:rsidRPr="001C2136" w:rsidRDefault="00ED638A" w:rsidP="009747D0">
      <w:pPr>
        <w:pStyle w:val="21NovAo1"/>
      </w:pPr>
      <w:r w:rsidRPr="001C2136">
        <w:t>6. Η νέα παράγραφος 5 του άρθρου 6 διατυπώνεται ως εξής:</w:t>
      </w:r>
    </w:p>
    <w:p w:rsidR="00E1201E" w:rsidRPr="001C2136" w:rsidRDefault="00E1201E" w:rsidP="00ED638A">
      <w:pPr>
        <w:pStyle w:val="51Abs"/>
      </w:pPr>
      <w:r w:rsidRPr="001C2136">
        <w:t>«(5) Σε νεόδμητα οι εγκαταστάσεις κεντρικής θέρμανσης αερίου, που αποτελούν εγκαταστάσεις καύσης μικρής κλίμακας, πρέπει να διαθέτουν τεχνολογία συμπύκνωσης και να είναι έτσι διαμορφωμένες ώστε να μπορούν να λειτουργήσουν όσο το δυνατό συχνότερα στην περιοχή συμπύκνωσης. Στην περίπτωση αντικατάστασης εγκαταστάσεων κεντρικής θέρμανσης αερίου αυτό ισχύει μόνο όταν η υφιστάμενη εγκατάσταση διέθετε ήδη τεχνολογία συμπύκνωσης ή διαφορετικά όταν αυτό ήταν τεχνικά δυνατό χωρίς δυσανάλογη οικονομική δαπάνη. Για εγκαταστάσεις κεντρικής θέρμανσης πετρελαίου εφαρμόζεται κατ’ αναλογία το δεύτερο εδάφιο, εφόσον επιτρέπεται η αντικατάσταση των εν λόγω εγκαταστάσεων κεντρικής θέρμανσης.»</w:t>
      </w:r>
    </w:p>
    <w:p w:rsidR="003A4ED8" w:rsidRPr="001C2136" w:rsidRDefault="00ED638A" w:rsidP="009747D0">
      <w:pPr>
        <w:pStyle w:val="21NovAo1"/>
      </w:pPr>
      <w:r w:rsidRPr="001C2136">
        <w:t>7. Η παράγραφος 2 του άρθρου 28 τροποποιείται ως εξής:</w:t>
      </w:r>
    </w:p>
    <w:p w:rsidR="009A6CCA" w:rsidRPr="001C2136" w:rsidRDefault="009A6CCA" w:rsidP="00543EC7">
      <w:pPr>
        <w:pStyle w:val="51Abs"/>
        <w:keepNext/>
        <w:ind w:firstLine="403"/>
      </w:pPr>
      <w:r w:rsidRPr="001C2136">
        <w:t>«(2) Ο παρών κανονισμός κοινοποιήθηκε</w:t>
      </w:r>
    </w:p>
    <w:p w:rsidR="009A6CCA" w:rsidRPr="001C2136" w:rsidRDefault="009A6CCA" w:rsidP="009A6CCA">
      <w:pPr>
        <w:pStyle w:val="52Aufzaehle1Ziffer"/>
      </w:pPr>
      <w:r w:rsidRPr="001C2136">
        <w:tab/>
        <w:t>α)</w:t>
      </w:r>
      <w:r w:rsidRPr="001C2136">
        <w:tab/>
        <w:t>σύμφωνα με τις διατάξεις της οδηγίας 98/34/ΕΚ του Ευρωπαϊκού Κοινοβουλίου και του Συμβουλίου για την καθιέρωση μιας διαδικασίας πληροφόρησης στον τομέα των τεχνικών προτύπων και προδιαγραφών και των κανόνων σχετικά με τις υπηρεσίες της κοινωνίας των πληροφοριών, ΕΕ 1998 αριθ. L 204, σ. 37, όπως τροποποιήθηκε τελευταία με τον κανονισμό (EΕ) αριθ. 1025/2012, ΕΕ 2012 αριθ. L 316, σ. 12 (αριθ. κοινοποίησης 2013/0703/A) και</w:t>
      </w:r>
    </w:p>
    <w:p w:rsidR="009A6CCA" w:rsidRPr="001C2136" w:rsidRDefault="009A6CCA" w:rsidP="009A6CCA">
      <w:pPr>
        <w:pStyle w:val="52Aufzaehle1Ziffer"/>
      </w:pPr>
      <w:r w:rsidRPr="001C2136">
        <w:tab/>
        <w:t>β)</w:t>
      </w:r>
      <w:r w:rsidRPr="001C2136">
        <w:tab/>
        <w:t>σύμφωνα με τις διατάξεις της οδηγίας (ΕΕ) 2015/1535,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2015 αριθ. L 241, σ. 1 (αριθμός κοινοποίησης 2019/651/A).»</w:t>
      </w:r>
    </w:p>
    <w:p w:rsidR="00423184" w:rsidRPr="001C2136" w:rsidRDefault="00423184" w:rsidP="00BD226C">
      <w:pPr>
        <w:pStyle w:val="41UeberschrG1"/>
      </w:pPr>
      <w:r w:rsidRPr="001C2136">
        <w:t>Άρθρο ΙΙ</w:t>
      </w:r>
    </w:p>
    <w:p w:rsidR="00423184" w:rsidRPr="001C2136" w:rsidRDefault="00423184" w:rsidP="00BD226C">
      <w:pPr>
        <w:pStyle w:val="51Abs"/>
      </w:pPr>
      <w:r w:rsidRPr="001C2136">
        <w:t>Ο παρών κανονισμός τίθεται σε ισχύ με την παρέλευση της ημερομηνίας δημοσίευσής του.</w:t>
      </w:r>
    </w:p>
    <w:p w:rsidR="00275360" w:rsidRPr="001C2136" w:rsidRDefault="00275360" w:rsidP="00275360">
      <w:pPr>
        <w:pStyle w:val="09Abstand"/>
      </w:pPr>
    </w:p>
    <w:p w:rsidR="00981D6C" w:rsidRPr="001C2136" w:rsidRDefault="00981D6C" w:rsidP="009747D0">
      <w:pPr>
        <w:pStyle w:val="69UnterschrM"/>
      </w:pPr>
      <w:r w:rsidRPr="001C2136">
        <w:t>Ο Πρόεδρος του ομόσπονδου κρατιδίου:</w:t>
      </w:r>
    </w:p>
    <w:p w:rsidR="00275360" w:rsidRPr="001C2136" w:rsidRDefault="00275360" w:rsidP="009747D0">
      <w:pPr>
        <w:pStyle w:val="69UnterschrM"/>
      </w:pPr>
      <w:proofErr w:type="spellStart"/>
      <w:r w:rsidRPr="001C2136">
        <w:lastRenderedPageBreak/>
        <w:t>Platter</w:t>
      </w:r>
      <w:proofErr w:type="spellEnd"/>
    </w:p>
    <w:p w:rsidR="00981D6C" w:rsidRPr="001C2136" w:rsidRDefault="00981D6C" w:rsidP="009747D0">
      <w:pPr>
        <w:pStyle w:val="69UnterschrM"/>
      </w:pPr>
      <w:r w:rsidRPr="001C2136">
        <w:t>Ο διευθυντής της υπηρεσίας του ομόσπονδου κρατιδίου:</w:t>
      </w:r>
    </w:p>
    <w:p w:rsidR="00275360" w:rsidRPr="001C2136" w:rsidRDefault="00275360" w:rsidP="009747D0">
      <w:pPr>
        <w:pStyle w:val="69UnterschrM"/>
      </w:pPr>
      <w:proofErr w:type="spellStart"/>
      <w:r w:rsidRPr="001C2136">
        <w:t>Forster</w:t>
      </w:r>
      <w:proofErr w:type="spellEnd"/>
    </w:p>
    <w:sectPr w:rsidR="00275360" w:rsidRPr="001C2136" w:rsidSect="00275360">
      <w:headerReference w:type="even" r:id="rId12"/>
      <w:headerReference w:type="default" r:id="rId13"/>
      <w:footerReference w:type="even" r:id="rId14"/>
      <w:footerReference w:type="default" r:id="rId15"/>
      <w:footerReference w:type="first" r:id="rId16"/>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13" w:rsidRDefault="006C7513">
      <w:r>
        <w:separator/>
      </w:r>
    </w:p>
  </w:endnote>
  <w:endnote w:type="continuationSeparator" w:id="0">
    <w:p w:rsidR="006C7513" w:rsidRDefault="006C7513">
      <w:r>
        <w:continuationSeparator/>
      </w:r>
    </w:p>
  </w:endnote>
  <w:endnote w:type="continuationNotice" w:id="1">
    <w:p w:rsidR="006C7513" w:rsidRDefault="006C7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13" w:rsidRDefault="006C7513">
      <w:r>
        <w:separator/>
      </w:r>
    </w:p>
  </w:footnote>
  <w:footnote w:type="continuationSeparator" w:id="0">
    <w:p w:rsidR="006C7513" w:rsidRDefault="006C7513">
      <w:r>
        <w:continuationSeparator/>
      </w:r>
    </w:p>
  </w:footnote>
  <w:footnote w:type="continuationNotice" w:id="1">
    <w:p w:rsidR="006C7513" w:rsidRDefault="006C75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r>
    <w:proofErr w:type="spellStart"/>
    <w:r>
      <w:t>Tir</w:t>
    </w:r>
    <w:proofErr w:type="spellEnd"/>
    <w:r>
      <w:t xml:space="preserve">. </w:t>
    </w:r>
    <w:proofErr w:type="spellStart"/>
    <w:r>
      <w:t>LGBl</w:t>
    </w:r>
    <w:proofErr w:type="spellEnd"/>
    <w:r>
      <w:t>. - Δημοσιεύτηκε στις 30 Ιουνίου 2020 - αριθ. 70/2020</w:t>
    </w:r>
    <w:r>
      <w:tab/>
    </w:r>
    <w:r>
      <w:fldChar w:fldCharType="begin"/>
    </w:r>
    <w:r>
      <w:instrText xml:space="preserve"> PAGE  \* Arabic  \* MERGEFORMAT </w:instrText>
    </w:r>
    <w:r>
      <w:fldChar w:fldCharType="separate"/>
    </w:r>
    <w:r w:rsidR="00833243">
      <w:rPr>
        <w:noProof/>
      </w:rPr>
      <w:t>2</w:t>
    </w:r>
    <w:r>
      <w:fldChar w:fldCharType="end"/>
    </w:r>
    <w:r>
      <w:t xml:space="preserve"> από </w:t>
    </w:r>
    <w:r w:rsidR="00247A98">
      <w:rPr>
        <w:noProof/>
      </w:rPr>
      <w:fldChar w:fldCharType="begin"/>
    </w:r>
    <w:r w:rsidR="00247A98">
      <w:rPr>
        <w:noProof/>
      </w:rPr>
      <w:instrText xml:space="preserve"> NUMPAGES  \* Arabic  \* MERGEFORMAT </w:instrText>
    </w:r>
    <w:r w:rsidR="00247A98">
      <w:rPr>
        <w:noProof/>
      </w:rPr>
      <w:fldChar w:fldCharType="separate"/>
    </w:r>
    <w:r w:rsidR="002859EA">
      <w:rPr>
        <w:noProof/>
      </w:rPr>
      <w:t>1</w:t>
    </w:r>
    <w:r w:rsidR="00247A9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ab/>
    </w:r>
    <w:proofErr w:type="spellStart"/>
    <w:r>
      <w:t>Tir</w:t>
    </w:r>
    <w:proofErr w:type="spellEnd"/>
    <w:r>
      <w:t xml:space="preserve">. </w:t>
    </w:r>
    <w:proofErr w:type="spellStart"/>
    <w:r>
      <w:t>LGBl</w:t>
    </w:r>
    <w:proofErr w:type="spellEnd"/>
    <w:r>
      <w:t>. - Δημοσιεύτηκε στις 30 Ιουνίου 2020 - αριθ. 70</w:t>
    </w:r>
    <w:r>
      <w:tab/>
    </w:r>
    <w:r>
      <w:fldChar w:fldCharType="begin"/>
    </w:r>
    <w:r>
      <w:instrText xml:space="preserve"> PAGE  \* Arabic  \* MERGEFORMAT </w:instrText>
    </w:r>
    <w:r>
      <w:fldChar w:fldCharType="separate"/>
    </w:r>
    <w:r w:rsidR="00F25B99">
      <w:rPr>
        <w:noProof/>
      </w:rPr>
      <w:t>2</w:t>
    </w:r>
    <w:r>
      <w:fldChar w:fldCharType="end"/>
    </w:r>
    <w:r>
      <w:t xml:space="preserve"> από </w:t>
    </w:r>
    <w:r w:rsidR="00247A98">
      <w:rPr>
        <w:noProof/>
      </w:rPr>
      <w:fldChar w:fldCharType="begin"/>
    </w:r>
    <w:r w:rsidR="00247A98">
      <w:rPr>
        <w:noProof/>
      </w:rPr>
      <w:instrText xml:space="preserve"> NUMPAGES  \* Arabic  \* MERGEFORMAT </w:instrText>
    </w:r>
    <w:r w:rsidR="00247A98">
      <w:rPr>
        <w:noProof/>
      </w:rPr>
      <w:fldChar w:fldCharType="separate"/>
    </w:r>
    <w:r w:rsidR="00F25B99">
      <w:rPr>
        <w:noProof/>
      </w:rPr>
      <w:t>3</w:t>
    </w:r>
    <w:r w:rsidR="00247A9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4D6B"/>
    <w:rsid w:val="001A7C78"/>
    <w:rsid w:val="001B0286"/>
    <w:rsid w:val="001B46D7"/>
    <w:rsid w:val="001B7063"/>
    <w:rsid w:val="001B731D"/>
    <w:rsid w:val="001B748E"/>
    <w:rsid w:val="001C2136"/>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B5C"/>
    <w:rsid w:val="00245399"/>
    <w:rsid w:val="00247A98"/>
    <w:rsid w:val="00262F1C"/>
    <w:rsid w:val="00264E91"/>
    <w:rsid w:val="002666CF"/>
    <w:rsid w:val="00266E0B"/>
    <w:rsid w:val="00274EB5"/>
    <w:rsid w:val="00275360"/>
    <w:rsid w:val="00284020"/>
    <w:rsid w:val="00284C4E"/>
    <w:rsid w:val="0028525B"/>
    <w:rsid w:val="002859EA"/>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862"/>
    <w:rsid w:val="005C5D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C2569"/>
    <w:rsid w:val="006C7513"/>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31A5"/>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25B99"/>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l-GR"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el-GR"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el-GR"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el-GR"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el-GR"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el-GR"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3.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54AB7-4248-4D55-9254-0C29F0CF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