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DD6DDC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------IND- 2020 0019</w:t>
      </w:r>
      <w:r w:rsidR="00CA739A">
        <w:rPr>
          <w:rFonts w:ascii="Courier New" w:hAnsi="Courier New"/>
          <w:sz w:val="20"/>
        </w:rPr>
        <w:t xml:space="preserve"> A-- MT- ------ </w:t>
      </w:r>
      <w:r w:rsidR="008A5E4B">
        <w:rPr>
          <w:rFonts w:ascii="Courier New" w:hAnsi="Courier New"/>
          <w:sz w:val="20"/>
        </w:rPr>
        <w:t>20201130</w:t>
      </w:r>
      <w:r w:rsidR="00CA739A">
        <w:rPr>
          <w:rFonts w:ascii="Courier New" w:hAnsi="Courier New"/>
          <w:sz w:val="20"/>
        </w:rPr>
        <w:t xml:space="preserve"> --- --- </w:t>
      </w:r>
      <w:r w:rsidR="005A0716">
        <w:rPr>
          <w:rFonts w:ascii="Courier New" w:hAnsi="Courier New"/>
          <w:sz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>Regolament tal-Kunsillier Muniċipali tal-Belt ta’ Vjenna, li jistabbilixxi pjan għall-ispazju tal-enerġija għat-</w:t>
      </w:r>
      <w:r w:rsidR="00DD6DDC">
        <w:rPr>
          <w:rFonts w:ascii="Arial" w:hAnsi="Arial"/>
          <w:b/>
          <w:lang w:val="en-US"/>
        </w:rPr>
        <w:t>16</w:t>
      </w:r>
      <w:r>
        <w:rPr>
          <w:rFonts w:ascii="Arial" w:hAnsi="Arial"/>
          <w:b/>
        </w:rPr>
        <w:t xml:space="preserve"> distrett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Skont § 2b tar-Regolament tal-Bini għal Vjenna (BO), LGBI. għal Vjenna Nru 11/1930, l-aħħar emendat bil-Liġi għal Vjenna Nru 71/2018, dan huwa preskritt: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</w:t>
      </w:r>
      <w:r>
        <w:rPr>
          <w:rFonts w:ascii="Arial" w:hAnsi="Arial"/>
        </w:rPr>
        <w:t xml:space="preserve"> Għaż-żoni bil-griż fl-oranġjo u bil-bordura fl-oranġjo, huwa stabbilit pjan għall-ispazju tal-enerġija skont § 2b BO. Iż-żoni tat-traffiku huma eżentati mill-validità tar-Regolament.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</w:t>
      </w:r>
      <w:r>
        <w:rPr>
          <w:rFonts w:ascii="Arial" w:hAnsi="Arial"/>
        </w:rPr>
        <w:t xml:space="preserve"> L-Anness (suppliment tal-pjan) jifforma parti minn dan ir-Regolament.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</w:t>
      </w:r>
      <w:r>
        <w:rPr>
          <w:rFonts w:ascii="Arial" w:hAnsi="Arial"/>
        </w:rPr>
        <w:t xml:space="preserve"> Fiż-żoni koperti mill-pjan għall-ispazju tal-enerġija, is-sistemi tat-tisħin u dawk tal-ilma f’bini ġdid għandhom jiġu installati skont § 60(1)(a) BO huma permessi biss is-sistemi alternattivi effiċjenti ħafna msemmija fi § 118(3)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</w:t>
      </w:r>
      <w:r>
        <w:rPr>
          <w:rFonts w:ascii="Arial" w:hAnsi="Arial"/>
        </w:rPr>
        <w:t xml:space="preserve"> Dan ir-Regolament ġie adottat skont id-dispożizzjonijiet tad-Direttiva (UE) 2015/1535 tal-Parlament Ewropew u tal-Kunsill tad-9 ta’ Settembru 2015 li tistabbilixxi proċedura għall-għoti ta’ informazzjoni fil-qasam ta’ regolamenti tekniċi u tar-regoli dwar is-servizzi tas-Soċjetà tal-Informatika, ĠU Nru L 241 tas-17 ta’ Settembru 2015, notifikata (Numru tan-Notifika </w:t>
      </w:r>
      <w:r w:rsidR="00856F8E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</w:t>
      </w:r>
      <w:r>
        <w:rPr>
          <w:rFonts w:ascii="Arial" w:hAnsi="Arial"/>
        </w:rPr>
        <w:t xml:space="preserve"> Dan ir-regolament jidħol fis-seħħ fil-jum wara dak tal-pubblikazzjoni tiegħu.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</w:t>
      </w:r>
      <w:r>
        <w:rPr>
          <w:rFonts w:ascii="Arial" w:hAnsi="Arial"/>
        </w:rPr>
        <w:t xml:space="preserve"> Dan ir-Regolament m’għandux japplika għall-proċeduri kollha pendenti tal-permess tal-bini, fid-data tad-dħul fis-seħħ ta’ dan ir-Regolament.</w:t>
      </w:r>
    </w:p>
    <w:p w:rsidR="00031570" w:rsidRPr="00EE618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Il-President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Anness</w:t>
      </w:r>
    </w:p>
    <w:p w:rsidR="0040032E" w:rsidRPr="0040032E" w:rsidRDefault="00DD6DDC" w:rsidP="0040032E">
      <w:pPr>
        <w:rPr>
          <w:rFonts w:ascii="Arial" w:hAnsi="Arial" w:cs="Arial"/>
        </w:rPr>
      </w:pPr>
      <w:r>
        <w:rPr>
          <w:rFonts w:ascii="Arial" w:hAnsi="Arial"/>
        </w:rPr>
        <w:t>Suppliment tal-Pjan Nru </w:t>
      </w:r>
      <w:r w:rsidR="0031791C">
        <w:rPr>
          <w:rFonts w:ascii="Arial" w:hAnsi="Arial"/>
        </w:rPr>
        <w:t>ERP_Bez16_B</w:t>
      </w:r>
      <w:r w:rsidR="00253ECD">
        <w:rPr>
          <w:rFonts w:ascii="Arial" w:hAnsi="Arial"/>
        </w:rPr>
        <w:t>_Pjan1_v1.0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DD" w:rsidRDefault="00837CDD" w:rsidP="00F76E71">
      <w:pPr>
        <w:spacing w:after="0" w:line="240" w:lineRule="auto"/>
      </w:pPr>
      <w:r>
        <w:separator/>
      </w:r>
    </w:p>
  </w:endnote>
  <w:endnote w:type="continuationSeparator" w:id="0">
    <w:p w:rsidR="00837CDD" w:rsidRDefault="00837CDD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DD" w:rsidRDefault="00837CDD" w:rsidP="00F76E71">
      <w:pPr>
        <w:spacing w:after="0" w:line="240" w:lineRule="auto"/>
      </w:pPr>
      <w:r>
        <w:separator/>
      </w:r>
    </w:p>
  </w:footnote>
  <w:footnote w:type="continuationSeparator" w:id="0">
    <w:p w:rsidR="00837CDD" w:rsidRDefault="00837CDD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1791C"/>
    <w:rsid w:val="003367AE"/>
    <w:rsid w:val="00394400"/>
    <w:rsid w:val="003A3D8C"/>
    <w:rsid w:val="003B529D"/>
    <w:rsid w:val="0040032E"/>
    <w:rsid w:val="0049021F"/>
    <w:rsid w:val="004A4537"/>
    <w:rsid w:val="004D309B"/>
    <w:rsid w:val="00541108"/>
    <w:rsid w:val="00555ACF"/>
    <w:rsid w:val="005617E1"/>
    <w:rsid w:val="005A0716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37CDD"/>
    <w:rsid w:val="00856F8E"/>
    <w:rsid w:val="00865BEB"/>
    <w:rsid w:val="008A5E4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DD6DDC"/>
    <w:rsid w:val="00EA0AD0"/>
    <w:rsid w:val="00EA5230"/>
    <w:rsid w:val="00EE618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ADCE19B-0744-43C1-A61C-285563E6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10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