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Podle čl. 64 odst. 4 zákona o zemědělství (Úřední věstník Republiky Slovinsko č. 45/08, 57/12, 90/12 – ZdZPVHVVR, 26/14 a 32/15, 27/17, </w:t>
      </w:r>
      <w:hyperlink r:id="rId8" w:tgtFrame="_blank" w:tooltip="zákon, kterým se mění zákon o zemědělství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rozhodnutí o částečném zrušení třetího odstavce článku 61.f zákona o zemědělství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Rozhodnutí Ústavního soudu</w:t>
      </w:r>
      <w:r>
        <w:rPr>
          <w:shd w:val="clear" w:color="auto" w:fill="FFFFFF"/>
          <w:b/>
        </w:rPr>
        <w:t xml:space="preserve"> </w:t>
      </w:r>
      <w:hyperlink r:id="rId10" w:tgtFrame="_blank" w:tooltip="zákon, kterým se mění zákon o zemědělství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a 44/22) ministr zemědělství, lesnictví a výživy</w:t>
      </w:r>
    </w:p>
    <w:p w14:paraId="5DE339B3" w14:textId="77777777" w:rsidR="00E549B4" w:rsidRDefault="00E549B4" w:rsidP="00E549B4">
      <w:pPr>
        <w:pStyle w:val="Vrstapredpisa"/>
      </w:pPr>
      <w:r>
        <w:t xml:space="preserve">PRAVIDLA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týkající se kvality </w:t>
      </w:r>
      <w:bookmarkStart w:id="0" w:name="_Hlk80263497"/>
      <w:r>
        <w:t xml:space="preserve">piva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 OBECNÁ USTANOVENÍ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Článek 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(Obsah)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Tato pravidla upravují podmínky minimální jakosti, klasifikace a označování, které musí pivo na trhu splňovat.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Článek 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(Informační postup a doložka)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Tato pravidla byla vydána v souladu s informačním postupem podle směrnice Evropského parlamentu a Rady (EU) 2015/1535 ze dne 9. září 2015 o postupu při poskytování informací v oblasti technických předpisů a předpisů pro služby informační společnosti (Úř. věst. L 241, 17.</w:t>
      </w:r>
      <w:r>
        <w:t xml:space="preserve"> </w:t>
      </w:r>
      <w:r>
        <w:t xml:space="preserve">9.</w:t>
      </w:r>
      <w:r>
        <w:t xml:space="preserve"> </w:t>
      </w:r>
      <w:r>
        <w:t xml:space="preserve">2015, s. 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Ustanovení těchto pravidel se nevztahují na výrobky, které v souladu s vnitrostátními právními předpisy zajišťujícími rovnocennou úroveň ochrany veřejného zájmu, jak je stanoveno v právních předpisech Republiky Slovinsko, jsou zákonně:</w:t>
      </w:r>
    </w:p>
    <w:p w14:paraId="311CA9A6" w14:textId="77777777" w:rsidR="009B2E64" w:rsidRDefault="00A75091" w:rsidP="009B2E64">
      <w:r>
        <w:t xml:space="preserve">—</w:t>
      </w:r>
      <w:r>
        <w:tab/>
      </w:r>
      <w:r>
        <w:t xml:space="preserve">vyráběny nebo uváděny na trh v jiných členských státech Evropské unie a v Turecku, nebo</w:t>
      </w:r>
    </w:p>
    <w:p w14:paraId="33A5163A" w14:textId="77777777" w:rsidR="009B2E64" w:rsidRDefault="00A75091" w:rsidP="009B2E64">
      <w:r>
        <w:t xml:space="preserve">—</w:t>
      </w:r>
      <w:r>
        <w:tab/>
      </w:r>
      <w:r>
        <w:t xml:space="preserve">vyráběny v zemích Evropského sdružení volného obchodu (ESVO), které jsou rovněž smluvními stranami Dohody o Evropském hospodářském prostoru.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Tato pravidla budou provedena v souladu s nařízením Evropského parlamentu a Rady (EU) 2019/515 ze dne 19. března 2019 o vzájemném uznávání zboží uvedeného v souladu s právními předpisy na trh v jiném členském státě a o zrušení nařízení (ES) č. 764/2008 (Úř. věst. L 91, 29.</w:t>
      </w: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2019, s. 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Článek 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(Význam pojmů)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Pojmy použité v těchto pravidlech znamenají: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pivo je kvašený alkoholický nápoj, ve kterém se během fermentace složek uvedených v článku 4 těchto pravidel tvoří veškerý ethanol a alespoň část oxidu uhličitého a vyrábí se technologickým procesem vaření, po němž následuje kvašení;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extrakt v základní mladině je obsah rozpustných látek v mladině před fermentací, vyjádřený v 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obsah alkoholu (% obj.) je obsah ethanolu při 20 °C vyjádřený v procentech objemových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PIVO NA TRHU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Článek 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(Suroviny)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Suroviny pro výrobu piva jsou: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voda, která musí splňovat podmínky stanovené v pravidlech upravujících pitnou vodu za účelem přípravy procesní vody,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slad z ječmene nebo jiné slazené nebo neslazené obiloviny nebo produkty vyrobené z obilovin a surovin podobných obilovinám, plodin a jiných surovin na bázi škrobu a cukrů,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chmel a chmelové produkty v souladu s pravidly pro certifikaci chmelových plodin a chmelových produktů,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mikrobiální kultury, kde se k fermentaci piva používají pivovarské kvasnice nebo jiné mikroorganismy nebo mikrobiální společenstva,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ostatní suroviny.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Článek 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(Klasifikace piva)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Pivo je klasifikováno podle: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obsahu extraktu ze základní mladiny;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obsahu alkoholu;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barvy;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technologického zpracování.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Článek 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(Označení piva)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Pivo musí být označeno podle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608/2004.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(Úř. věst. L 304, 22.</w:t>
      </w:r>
      <w:r>
        <w:t xml:space="preserve"> </w:t>
      </w:r>
      <w:r>
        <w:t xml:space="preserve">11.</w:t>
      </w:r>
      <w:r>
        <w:t xml:space="preserve"> </w:t>
      </w:r>
      <w:r>
        <w:t xml:space="preserve">2011, s. 18), naposledy pozměněného </w:t>
      </w:r>
      <w:r>
        <w:rPr>
          <w:shd w:val="clear" w:color="auto" w:fill="FFFFFF"/>
        </w:rPr>
        <w:t xml:space="preserve">nařízením Evropského parlamentu a Rady (EU) 2015/2283 ze dne 25. listopadu 2015 o nových potravinách, o změně nařízení Evropského parlamentu a Rady (EU) č. 1169/2011 a o zrušení nařízení Evropského parlamentu a Rady (ES) č. 258/97 a nařízení Komise (ES) č. 1852/2001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(Úř. věst. L 327, 11.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2015, s. 1)</w:t>
      </w:r>
      <w:r>
        <w:t xml:space="preserve">, a to podle následujících pravidel.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V závislosti na hodnotě extraktu v základní mladině se pivo označí takto: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pivo, pokud obsahuje až 13,5 % (m/m) extraktu v základní mladině;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speciální pivo, pokud obsahuje více než 13,5 % až 16 % (m/m) extraktu v základní mladině;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silné pivo, pokud obsahuje více než 16 % (m/m) extraktu v základní mladině.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Vzhledem k nižšímu obsahu alkoholu se pivo označí takto: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lehké pivo, pokud obsahuje nejvýše 3,5 % objemových alkoholu;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nealkoholické pivo, pokud obsahuje nejvýše 0,5 % objemových alkoholu.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V závislosti na barvě se pivo označí takto: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světlé pivo, pokud intenzita barvy nepřesahuje 30 jednotek EBC;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tmavé pivo, pokud je intenzita barvy vyšší než 30 jednotek EBC.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Pivo se označuje jako neprůhledné pivo, pokud je neprůhlednost výsledkem zvláštních technologických postupů.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Pivo, které zrálo nejméně 6 měsíců, musí být označeno jako zralé pivo.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Pivo, které nebylo filtrováno, musí být označeno jako nefiltrované pivo.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Pivo, které nebylo pasterizováno, se označuje jako nepasterizované pivo.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Pivo vyrobené z nejméně 30 % (m/m) pšeničného sladu se označuje jako pšeničné pivo.</w:t>
      </w:r>
      <w:r>
        <w:t xml:space="preserve"> </w:t>
      </w:r>
      <w:r>
        <w:t xml:space="preserve">Pokud se pivo vyrábí z jiných obilovin nebo výrobků z obilovin a ze surovin podobných obilovinám, uvede se v názvu produktu název použité suroviny, pokud představuje alespoň 30 % základní suroviny (např. pohankové pivo).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Pivo s nižším obsahem CO</w:t>
      </w:r>
      <w:r>
        <w:rPr>
          <w:vertAlign w:val="subscript"/>
        </w:rPr>
        <w:t xml:space="preserve">2</w:t>
      </w:r>
      <w:r>
        <w:t xml:space="preserve"> musí být označeno jako pivo s nižší hodnotou CO</w:t>
      </w:r>
      <w:r>
        <w:rPr>
          <w:vertAlign w:val="subscript"/>
        </w:rPr>
        <w:t xml:space="preserve">2</w:t>
      </w:r>
      <w:r>
        <w:t xml:space="preserve">, jak je definováno v článku 6 těchto pravidel.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Pivo bez chmele musí být označeno jako pivo, do kterého se nepřidávají chmel a chmelové výrobky.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Mohou být uvedeny i další vlastnosti piva (např. zrání v sudu, svrchně kvašené pivo).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Článek 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(Minimální jakost)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Pivo na trhu musí splňovat tyto podmínky minimální jakosti;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je čiré a bez sedimentu, s výjimkou neprůhledného a nefiltrovaného piva;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obsahuje nejméně 3 g/l oxidu uhličitého, s výjimkou piva z desátého odstavce předchozího článku;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hodnota pH až 5,5;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organoleptické vlastnosti piva musí odpovídat definici ve specifikaci výrobku.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Článek 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(Skladování)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Pivo musí být skladováno po výrobě a během prodeje v souladu s pokyny výrobce.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PŘECHODNÁ A ZÁVĚREČNÁ USTANOVENÍ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Článek 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(Přechodné ustanovení)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Pivo uváděné na trh musí splňovat požadavky a musí být označeno v souladu s ustanoveními těchto pravidel nejpozději dva roky po vstupu těchto pravidel v platnost.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Bez ohledu na ustanovení předchozího odstavce může být pivo vyrobené a označené v souladu s pravidly pro jakost piva (Úřední věstník Republiky Slovinsko, č. 3/03 a 45/08 – ZKme-1) uváděno na trh před uplynutím lhůty uvedené v předchozím odstavci až do vyčerpání zásob.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Článek 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(Vypršení platnosti)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Pravidla pro jakost piva (Úřední věstník Republiky Slovinsko, č. 3/03 a 45/08 – ZKme-1) pozbývají platnosti dne vstupu těchto pravidel v platnost a zůstávají v platnosti dva roky od vstupu těchto pravidel v platnost.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Článek 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(Vstup v platnost)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Tato pravidla vstupují v platnost patnáctého dne po jejich uveřejnění v Úředním věstníku Republiky Slovinsko.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č. 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Lublaň dne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ministr zemědělství, lesnictví a výživy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cs-CZ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cs-CZ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