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3F98" w14:textId="307EBD1F" w:rsidR="00BA3FC0" w:rsidRPr="00BA3FC0" w:rsidRDefault="00BA3FC0" w:rsidP="00BA3FC0">
      <w:pPr>
        <w:rPr>
          <w:b/>
          <w:bCs/>
          <w:u w:val="single"/>
        </w:rPr>
      </w:pPr>
      <w:r>
        <w:rPr>
          <w:b/>
          <w:u w:val="single"/>
        </w:rPr>
        <w:t xml:space="preserve">15.</w:t>
      </w:r>
      <w:r>
        <w:rPr>
          <w:b/>
          <w:u w:val="single"/>
        </w:rPr>
        <w:t xml:space="preserve"> </w:t>
      </w:r>
      <w:r>
        <w:rPr>
          <w:b/>
          <w:u w:val="single"/>
        </w:rPr>
        <w:t xml:space="preserve">Analyse d’impact :</w:t>
      </w:r>
    </w:p>
    <w:p w14:paraId="5B538601" w14:textId="77777777" w:rsidR="00BA3FC0" w:rsidRPr="00BA3FC0" w:rsidRDefault="00BA3FC0" w:rsidP="00BA3FC0">
      <w:r>
        <w:t xml:space="preserve">La proposition impliquera que l’achat d’un autobus entraînera un coût supplémentaire d’environ 30.000 NOK car des renforts supplémentaires doivent être construits à l’avant de l’autobus.</w:t>
      </w:r>
      <w:r>
        <w:t xml:space="preserve"> </w:t>
      </w:r>
      <w:r>
        <w:t xml:space="preserve">En 2020, 345 autobus de Classe I, 650 autobus de Classe II et 116 autobus de Classe III étaient immatriculés en Norvège.</w:t>
      </w:r>
      <w:r>
        <w:t xml:space="preserve"> </w:t>
      </w:r>
      <w:r>
        <w:t xml:space="preserve">Au total, le coût total d’achat d’autobus destinés à être utilisés pour le transport nécessitant une licence d’exploitant s’élèvera à 30.000.000 NOK.</w:t>
      </w:r>
      <w:r>
        <w:t xml:space="preserve"> </w:t>
      </w:r>
      <w:r>
        <w:t xml:space="preserve">La proposition s’appliquera aux autobus qui sont utilisés pour le transport nécessitant une licence d’exploitation et qui sont immatriculés après le 1er janvier 2023.</w:t>
      </w:r>
      <w:r>
        <w:t xml:space="preserve"> </w:t>
      </w:r>
    </w:p>
    <w:p w14:paraId="2E48C1C3" w14:textId="77777777" w:rsidR="00BA3FC0" w:rsidRPr="00BA3FC0" w:rsidRDefault="00BA3FC0" w:rsidP="00BA3FC0">
      <w:r>
        <w:t xml:space="preserve">Entre 2011 et la fin de 2020, 35 personnes sont mortes lors de collisions frontales impliquant des autobus, 75 personnes ont été grièvement blessées et 274 ont été légèrement blessées.</w:t>
      </w:r>
      <w:r>
        <w:t xml:space="preserve"> </w:t>
      </w:r>
      <w:r>
        <w:t xml:space="preserve">Sur base de l’évaluation par le Ministère des Finances de ce qu’une vie statistique vaut, nous avons conclu que les accidents frontaux impliquant des autobus coûtent en moyenne près de 222 millions de NOK chaque année.</w:t>
      </w:r>
    </w:p>
    <w:p w14:paraId="383E10CF" w14:textId="77777777" w:rsidR="00BA3FC0" w:rsidRPr="00BA3FC0" w:rsidRDefault="00BA3FC0" w:rsidP="00BA3FC0">
      <w:r>
        <w:t xml:space="preserve">Il n’est pas facile de trouver de bonnes estimations de l’ampleur de l’effet des dispositifs de protection contre l’encastrement sur les autobus, mais il n’est pas inconcevable qu’il dépasse les coûts d’investissement d’une bonne marge.</w:t>
      </w:r>
      <w:r>
        <w:t xml:space="preserve"> </w:t>
      </w:r>
      <w:r>
        <w:t xml:space="preserve">Le coût d’investissement est estimé à environ 30 millions de NOK par an (compte tenu du même nombre de nouvelles inscriptions chaque année).</w:t>
      </w:r>
    </w:p>
    <w:p w14:paraId="4017AD2A" w14:textId="77777777" w:rsidR="00BA3FC0" w:rsidRPr="00BA3FC0" w:rsidRDefault="00BA3FC0" w:rsidP="00BA3FC0">
      <w:r>
        <w:t xml:space="preserve">Cela aura probablement un effet positif sur tous les types d’usagers de la route impliqués dans ce type d’accidents, comme le montre le tableau ci-dessus.</w:t>
      </w:r>
      <w:r>
        <w:t xml:space="preserve"> </w:t>
      </w:r>
      <w:r>
        <w:t xml:space="preserve">Le conducteur de l’autobus sera moins exposé, les freins et la direction ne s’effondreront pas lors de la collision, ce qui aura un impact positif sur les passagers de l’autobus.</w:t>
      </w:r>
      <w:r>
        <w:t xml:space="preserve"> </w:t>
      </w:r>
      <w:r>
        <w:t xml:space="preserve">Pour les personnes de la partie en collision, cela sera probablement positif grâce au fait que l’accident n’aura pas pour conséquence qu’elles se retrouvent en-dessous de l’autobus.</w:t>
      </w:r>
    </w:p>
    <w:p w14:paraId="675B0789" w14:textId="77777777" w:rsidR="00BA3FC0" w:rsidRPr="00BA3FC0" w:rsidRDefault="00BA3FC0" w:rsidP="00BA3FC0">
      <w:r>
        <w:t xml:space="preserve">Selon l’évaluation de l’administration norvégienne des voies publiques de transport routier, la mesure visant à améliorer la protection frontale des conducteurs entraînera des coûts peu élevés pour la société par rapport aux bénéfices en termes de sécurité routière.</w:t>
      </w:r>
    </w:p>
    <w:p w14:paraId="7F726F19" w14:textId="77777777" w:rsidR="00BA3FC0" w:rsidRPr="00BA3FC0" w:rsidRDefault="00BA3FC0">
      <w:pPr>
        <w:rPr>
          <w:lang w:val="en-US"/>
        </w:rPr>
      </w:pPr>
    </w:p>
    <w:sectPr w:rsidR="00BA3FC0" w:rsidRPr="00BA3F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5D35" w14:textId="77777777" w:rsidR="00BA3FC0" w:rsidRDefault="00BA3FC0" w:rsidP="00BA3FC0">
      <w:pPr>
        <w:spacing w:after="0" w:line="240" w:lineRule="auto"/>
      </w:pPr>
      <w:r>
        <w:separator/>
      </w:r>
    </w:p>
  </w:endnote>
  <w:endnote w:type="continuationSeparator" w:id="0">
    <w:p w14:paraId="2BCD6FBD" w14:textId="77777777" w:rsidR="00BA3FC0" w:rsidRDefault="00BA3FC0" w:rsidP="00BA3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E5055" w14:textId="77777777" w:rsidR="00BA3FC0" w:rsidRDefault="00BA3FC0" w:rsidP="00BA3FC0">
      <w:pPr>
        <w:spacing w:after="0" w:line="240" w:lineRule="auto"/>
      </w:pPr>
      <w:r>
        <w:separator/>
      </w:r>
    </w:p>
  </w:footnote>
  <w:footnote w:type="continuationSeparator" w:id="0">
    <w:p w14:paraId="1BC11A10" w14:textId="77777777" w:rsidR="00BA3FC0" w:rsidRDefault="00BA3FC0" w:rsidP="00BA3F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C0"/>
    <w:rsid w:val="00BA3F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67D01"/>
  <w15:chartTrackingRefBased/>
  <w15:docId w15:val="{AB96EDE7-EB01-43CE-A950-F5C337D91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1590</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Birgitte Berg-Halsen</dc:creator>
  <cp:keywords/>
  <dc:description/>
  <cp:lastModifiedBy>Thea Birgitte Berg-Halsen</cp:lastModifiedBy>
  <cp:revision>1</cp:revision>
  <dcterms:created xsi:type="dcterms:W3CDTF">2022-02-10T08:30:00Z</dcterms:created>
  <dcterms:modified xsi:type="dcterms:W3CDTF">2022-02-10T08:31:00Z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fbf486-f09d-4a86-8810-b4add863c98a_Enabled">
    <vt:lpwstr>true</vt:lpwstr>
  </property>
  <property fmtid="{D5CDD505-2E9C-101B-9397-08002B2CF9AE}" pid="3" name="MSIP_Label_e5fbf486-f09d-4a86-8810-b4add863c98a_SetDate">
    <vt:lpwstr>2022-02-10T08:31:40Z</vt:lpwstr>
  </property>
  <property fmtid="{D5CDD505-2E9C-101B-9397-08002B2CF9AE}" pid="4" name="MSIP_Label_e5fbf486-f09d-4a86-8810-b4add863c98a_Method">
    <vt:lpwstr>Privileged</vt:lpwstr>
  </property>
  <property fmtid="{D5CDD505-2E9C-101B-9397-08002B2CF9AE}" pid="5" name="MSIP_Label_e5fbf486-f09d-4a86-8810-b4add863c98a_Name">
    <vt:lpwstr>Public</vt:lpwstr>
  </property>
  <property fmtid="{D5CDD505-2E9C-101B-9397-08002B2CF9AE}" pid="6" name="MSIP_Label_e5fbf486-f09d-4a86-8810-b4add863c98a_SiteId">
    <vt:lpwstr>38856954-ed55-49f7-8bdd-738ffbbfd390</vt:lpwstr>
  </property>
  <property fmtid="{D5CDD505-2E9C-101B-9397-08002B2CF9AE}" pid="7" name="MSIP_Label_e5fbf486-f09d-4a86-8810-b4add863c98a_ActionId">
    <vt:lpwstr>92a5ddf7-c679-401e-9777-0f943eb6946a</vt:lpwstr>
  </property>
  <property fmtid="{D5CDD505-2E9C-101B-9397-08002B2CF9AE}" pid="8" name="MSIP_Label_e5fbf486-f09d-4a86-8810-b4add863c98a_ContentBits">
    <vt:lpwstr>0</vt:lpwstr>
  </property>
</Properties>
</file>