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 xml:space="preserve">Den svenske folkesundhedsstyrelsens forskrifter om tobaksfri nikotinprodukter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Vedtaget den </w:t>
      </w:r>
      <w:r>
        <w:rPr>
          <w:highlight w:val="yellow"/>
        </w:rPr>
        <w:t>DD MM</w:t>
      </w:r>
      <w:r>
        <w:t xml:space="preserve">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I medfør af § 4 i bekendtgørelse (2022:1263) om tobaksfri nikotinprodukter fastsætter den svenske folkesundhedsstyrelse hermed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følgende: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Indledende bestemmelser</w:t>
      </w:r>
    </w:p>
    <w:p w14:paraId="78C85C8F" w14:textId="77777777" w:rsidR="009902B0" w:rsidRDefault="009902B0" w:rsidP="000509F1">
      <w:pPr>
        <w:pStyle w:val="HSLF-FS-Rubrik-3"/>
      </w:pPr>
      <w:r>
        <w:t>Anvendelsesområde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  <w:bCs/>
        </w:rPr>
        <w:t>§ 1</w:t>
      </w:r>
      <w:r>
        <w:t xml:space="preserve">  Disse forskrifter supplerer bestemmelserne i lov (2022:1257) om tobaksfri nikotinprodukter og bekendtgørelse (2022:1263) om tobaksfri nikotinprodukter.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  <w:bCs/>
        </w:rPr>
        <w:t>§ 2</w:t>
      </w:r>
      <w:r>
        <w:rPr>
          <w:b/>
        </w:rPr>
        <w:t xml:space="preserve"> </w:t>
      </w:r>
      <w:r>
        <w:t xml:space="preserve"> Disse forskrifter finder anvendelse på producenter, importører og distributører af tobaksfri nikotinprodukter, der skal gøres tilgængelige for forbrugerne på markedet.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Forskrifterne indeholder bestemmelser om produktanmeldelse, mærkning, indberetningspligt og meddelelsespligt.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Definitioner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  <w:bCs/>
        </w:rPr>
        <w:t>§ 3</w:t>
      </w:r>
      <w:r>
        <w:rPr>
          <w:b/>
        </w:rPr>
        <w:t xml:space="preserve"> </w:t>
      </w:r>
      <w:r>
        <w:t xml:space="preserve"> De udtryk og begreber, der anvendes i lov (2022:1257) om tobaksfri nikotinprodukter og bekendtgørelse (2022:1263) om tobaksfri nikotinprodukter, har samme betydning i disse forskrifter.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  <w:bCs/>
        </w:rPr>
        <w:t>§ 4</w:t>
      </w:r>
      <w:r>
        <w:rPr>
          <w:b/>
        </w:rPr>
        <w:t xml:space="preserve"> </w:t>
      </w:r>
      <w:r>
        <w:t xml:space="preserve"> Følgende begreber anvendes også i disse forskrifter: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distributør: </w:t>
      </w:r>
      <w:r>
        <w:t>enhver fysisk eller juridisk person i forsyningskæden ud over producenten og importøren, der gør tobaksfri nikotinprodukter tilgængelige på markedet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markedsføringsområde: </w:t>
      </w:r>
      <w:r>
        <w:t>et område, der er beregnet til kommerciel reklame i medierne, jf. § 10, stk. 1, nr. 1 og 2, i lov (2022:1257) om tobaksfri nikotinprodukter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enhedspakke: </w:t>
      </w:r>
      <w:r>
        <w:t>den mindste individuelle emballage til tobaksfri nikotinprodukter, der markedsføres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ydre emballage</w:t>
      </w:r>
      <w:r>
        <w:t xml:space="preserve">: enhver emballage, hvori tobaksfri nikotinprodukter markedsføres, og som indeholder en enhedspakke eller et antal enhedspakker gennemsigtige indpakninger anses ikke for at være ydre emballage.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Produktanmeldelse</w:t>
      </w:r>
    </w:p>
    <w:p w14:paraId="2EBE1B3B" w14:textId="77777777" w:rsidR="00B274C8" w:rsidRDefault="00B274C8" w:rsidP="00B274C8">
      <w:r>
        <w:rPr>
          <w:b/>
          <w:bCs/>
        </w:rPr>
        <w:t>§ 5</w:t>
      </w:r>
      <w:r>
        <w:rPr>
          <w:b/>
        </w:rPr>
        <w:t xml:space="preserve"> </w:t>
      </w:r>
      <w:r>
        <w:t xml:space="preserve"> Produktanmeldelse i henhold til § 5 i lov (2022:1257) om tobaksfri nikotinprodukter skal indgives i det format, der anvendes i den tekniske løsning til produktanmeldelse, som den svenske folkesundhedsstyrelse stiller til rådighed.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Mærkning</w:t>
      </w:r>
    </w:p>
    <w:p w14:paraId="37B24B72" w14:textId="77777777" w:rsidR="00B274C8" w:rsidRDefault="00B274C8" w:rsidP="00B274C8">
      <w:pPr>
        <w:pStyle w:val="HSLF-FS-Rubrik-3"/>
      </w:pPr>
      <w:r>
        <w:t>Indholdsdeklaration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  <w:bCs/>
        </w:rPr>
        <w:t>§ 6</w:t>
      </w:r>
      <w:r>
        <w:t xml:space="preserve">  En indholdsdeklaration i henhold til § 11 i bekendtgørelse (2022:1263) om tobaksfri nikotinprodukter skal anbringes på en af de største flader på enhedspakken og den ydre emballage og dække 20 pct. af denne flade.</w:t>
      </w:r>
      <w:r>
        <w:rPr>
          <w:sz w:val="21"/>
        </w:rPr>
        <w:t xml:space="preserve"> I alle andre henseender skal indholdsdeklarationen opfylde kravene i § 9, litra c til e og g.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bCs/>
          <w:sz w:val="21"/>
        </w:rPr>
        <w:t>§ 7</w:t>
      </w:r>
      <w:r>
        <w:rPr>
          <w:b/>
          <w:sz w:val="21"/>
        </w:rPr>
        <w:t xml:space="preserve"> </w:t>
      </w:r>
      <w:r>
        <w:rPr>
          <w:sz w:val="21"/>
        </w:rPr>
        <w:t xml:space="preserve"> Indholdsdeklarationen skal være på svensk.</w:t>
      </w:r>
    </w:p>
    <w:p w14:paraId="5A867DE5" w14:textId="77777777" w:rsidR="00B274C8" w:rsidRPr="00B274C8" w:rsidRDefault="00B274C8" w:rsidP="00B274C8">
      <w:r>
        <w:rPr>
          <w:b/>
          <w:bCs/>
          <w:sz w:val="21"/>
        </w:rPr>
        <w:t>§ 8</w:t>
      </w:r>
      <w:r>
        <w:rPr>
          <w:b/>
          <w:sz w:val="21"/>
        </w:rPr>
        <w:t xml:space="preserve"> </w:t>
      </w:r>
      <w:r>
        <w:rPr>
          <w:sz w:val="21"/>
        </w:rPr>
        <w:t xml:space="preserve"> Indholdsdeklarationer i henhold til § 6 kan anbringes ved hjælp af klistermærker, forudsat at disse ikke kan fjernes.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lastRenderedPageBreak/>
        <w:t>Sundhedsadvarsel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bCs/>
          <w:sz w:val="21"/>
        </w:rPr>
        <w:t>§ 9</w:t>
      </w:r>
      <w:r>
        <w:rPr>
          <w:b/>
          <w:sz w:val="21"/>
        </w:rPr>
        <w:t xml:space="preserve"> </w:t>
      </w:r>
      <w:r>
        <w:rPr>
          <w:sz w:val="21"/>
        </w:rPr>
        <w:t xml:space="preserve"> Sundhedsadvarslen, der henvises til i § 12 i bekendtgørelse (2022:1263) om tobaksfri nikotinprodukter, skal: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a. være anbragt på enhedspakkens to største flader og en eventuel ydre emballage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b. dække 30 % af fladerne på enhedspakken og eventuel ydre emballage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c. være skrevet med fed skrift i skrifttype Helvetica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d. være skrevet i sort på hvid baggrund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e. være skrevet med en skriftstørrelse, der gør, at teksten dækker den størst mulige procentdel af det område, der er forbeholdt mærkningen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f. være placeret i midten af det forbeholdte område og skal på rektangulær emballage og enhver ydre emballage være placeret parallelt med enhedspakkens sidekant eller den ydre emballages sidekant og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g. være placeret parallelt med hovedteksten i det område, der er reserveret til disse advarsler.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bCs/>
          <w:sz w:val="21"/>
        </w:rPr>
        <w:t>§ 10</w:t>
      </w:r>
      <w:r>
        <w:rPr>
          <w:b/>
          <w:sz w:val="21"/>
        </w:rPr>
        <w:t xml:space="preserve"> </w:t>
      </w:r>
      <w:r>
        <w:rPr>
          <w:sz w:val="21"/>
        </w:rPr>
        <w:t xml:space="preserve"> Sundhedsadvarsler i henhold til § 9 kan anbringes ved hjælp af klistermærker, forudsat at disse ikke kan fjernes.</w:t>
      </w:r>
    </w:p>
    <w:p w14:paraId="61CF3BF9" w14:textId="11E7944F" w:rsidR="00DA031C" w:rsidRDefault="00DA031C" w:rsidP="00144DE9">
      <w:pPr>
        <w:pStyle w:val="HSLF-FS-Rubrik-2"/>
      </w:pPr>
      <w:r>
        <w:t>Sundhedsadvarsel i forbindelse med markedsføring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bCs/>
          <w:sz w:val="21"/>
        </w:rPr>
        <w:t>§ 11</w:t>
      </w:r>
      <w:r>
        <w:rPr>
          <w:b/>
          <w:color w:val="000000"/>
          <w:sz w:val="21"/>
        </w:rPr>
        <w:t xml:space="preserve"> </w:t>
      </w:r>
      <w:r>
        <w:rPr>
          <w:color w:val="000000"/>
          <w:sz w:val="21"/>
        </w:rPr>
        <w:t>Ved markedsføring efter § 10, stk. 1, nr. 1 og 2, i lov (2022:1257) om tobaksfri nikotinprodukter skal en sundhedsadvarsel efter § 12 i bekendtgørelse (2022:1263) om tobaksfri nikotinprodukter være tydeligt synlig, hver gang produktet eller et varemærke for produktet figurerer.</w:t>
      </w:r>
      <w:r>
        <w:rPr>
          <w:sz w:val="21"/>
        </w:rPr>
        <w:t xml:space="preserve"> Sundhedsadvarslen skal dække 30 procent af markedsføringsfladen og skal i øvrigt være i overensstemmelse med bestemmelserne i § 9, litra c-e og g, i disse forskrifter.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sz w:val="21"/>
        </w:rPr>
        <w:t xml:space="preserve">Ved markedsføring efter § 10, stk. 3, nr. 1 i lov (2022:1257) om tobaksfri nikotinprodukter skal en sundhedsadvarsel efter § 12 i bekendtgørelse (2022:1263) om tobaksfri nikotinprodukter være tydeligt synlig, hver gang produktet eller et varemærke for produktet figurerer. Sundhedsadvarslen skal i alle andre henseender være i overensstemmelse med bestemmelserne i § 9, litra c-e, i disse forskrifter.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lastRenderedPageBreak/>
        <w:t>Indberetningspligt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bCs/>
          <w:sz w:val="21"/>
        </w:rPr>
        <w:t>§ 12</w:t>
      </w:r>
      <w:r>
        <w:rPr>
          <w:b/>
          <w:sz w:val="21"/>
        </w:rPr>
        <w:t xml:space="preserve"> </w:t>
      </w:r>
      <w:r>
        <w:rPr>
          <w:sz w:val="21"/>
        </w:rPr>
        <w:t xml:space="preserve"> Oplysninger i henhold til § 14 i lov (2022:1257) om tobaksfri nikotinprodukter skal gives i den samme tekniske løsning, som anvendes til produktanmeldelse i henhold til § 5 i disse forskrifter.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Meddelelsespligt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bCs/>
          <w:i w:val="0"/>
          <w:sz w:val="21"/>
        </w:rPr>
        <w:t xml:space="preserve">§ 13 </w:t>
      </w:r>
      <w:r>
        <w:rPr>
          <w:b w:val="0"/>
          <w:i w:val="0"/>
          <w:sz w:val="21"/>
        </w:rPr>
        <w:t xml:space="preserve"> Meddelelse fra en producent, importør og distributør i henhold til § 16, stk. 2, i lov (2022:1257) om tobaksfri nikotinprodukter skal gives i den samme tekniske løsning, som anvendes til produktanmeldelse i henhold til § 5 i disse forskrifter.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§§ 5, 11 og 12 i disse forskrifter træder i kraft den 1. januar 2024. alle andre paragraffer træder i kraft den 1. juli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Den svenske folkesundhedsstyrelse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Meddelelse er indgivet i overensstemmelse med direktiv (EU) Europa-Parlamentets og Rådets direktiv 2015/1535 af 9. september 2015 om en informationsprocedure med hensyn til tekniske forskrifter samt forskrifter for informationssamfundets tjenester.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812C51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UDKAS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812C51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UDKAS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812C51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UDKAST"/>
          <w10:wrap anchorx="margin" anchory="margin"/>
        </v:shape>
      </w:pict>
    </w:r>
    <w:r w:rsidR="00BB6229">
      <w:t xml:space="preserve">Fælles </w:t>
    </w:r>
    <w:r w:rsidR="00BB6229">
      <w:t>vedtægter for sundhedspleje, lægehjælp, sociale tjenester, lægemidler, folkesundhed osv.</w:t>
    </w:r>
  </w:p>
  <w:p w14:paraId="1C104ACA" w14:textId="0151DC87" w:rsidR="00DB331A" w:rsidRDefault="00812C51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6CABD593">
              <wp:simplePos x="0" y="0"/>
              <wp:positionH relativeFrom="column">
                <wp:posOffset>3810</wp:posOffset>
              </wp:positionH>
              <wp:positionV relativeFrom="paragraph">
                <wp:posOffset>625211</wp:posOffset>
              </wp:positionV>
              <wp:extent cx="4747260" cy="0"/>
              <wp:effectExtent l="0" t="0" r="0" b="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57CA5C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25pt" to="374.1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DBc0tb2gAAAAYBAAAPAAAAZHJzL2Rvd25y&#10;ZXYueG1sTI69TsMwFIV3JN7Bukhs1KEqIYQ4FUKwIJaEDrDdxrdxRHydxk4T3h4jBhjPj875iu1i&#10;e3Gi0XeOFVyvEhDEjdMdtwp2b89XGQgfkDX2jknBF3nYludnBebazVzRqQ6tiCPsc1RgQhhyKX1j&#10;yKJfuYE4Zgc3WgxRjq3UI85x3PZynSSptNhxfDA40KOh5rOerIKX46vfbdLqqXo/ZvX8cZhM60ip&#10;y4vl4R5EoCX8leEHP6JDGZn2bmLtRa8gjT0Fd9kNiJjebrI1iP2vIctC/scvvwE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DBc0tb2gAAAAYBAAAPAAAAAAAAAAAAAAAAABQEAABkcnMv&#10;ZG93bnJldi54bWxQSwUGAAAAAAQABADzAAAAGwUAAAAA&#10;" strokecolor="black [3213]"/>
          </w:pict>
        </mc:Fallback>
      </mc:AlternateContent>
    </w:r>
    <w:r w:rsidR="004D7A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3C85CFCE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Vedtaget den xx. juli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Vedtaget den xx. juli 20xx</w:t>
                    </w:r>
                  </w:p>
                </w:txbxContent>
              </v:textbox>
            </v:shape>
          </w:pict>
        </mc:Fallback>
      </mc:AlternateContent>
    </w:r>
    <w:r w:rsidR="004D7ACB">
      <w:t>ISSN xxx-xxxx, artikelnummer xxxxxxxx</w:t>
    </w:r>
    <w:r w:rsidR="004D7ACB">
      <w:br/>
      <w:t>Udgivet af: Leder af den juridiske afdeling, Pär Ödman, den nationale sundheds- og velfærdsstyrelse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2C51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14</TotalTime>
  <Pages>4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