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61F7" w14:textId="77777777" w:rsidR="00B767EF" w:rsidRPr="00B767EF" w:rsidRDefault="00B767EF" w:rsidP="00B767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Rozporządzenie z dnia 10 maja 2019 r. zmieniające rozporządzenie z dnia 25 czerwca 1980 r. w sprawie zatwierdzenia ogólnych przepisów regulaminu bezpieczeństwa przeciwpożarowego i przeciwdziałania panice w obiektach użyteczności publicznej</w:t>
      </w:r>
    </w:p>
    <w:p w14:paraId="07833EEA" w14:textId="77777777" w:rsidR="00B767EF" w:rsidRPr="00B767EF" w:rsidRDefault="00B767EF" w:rsidP="00B7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Zainteresowane społeczności: podmioty eksploatujące i właściciele obiektów użyteczności publicznej, inwestorzy, wykonawcy, architekci, członkowie komisji bezpieczeństwa, inspektorzy techniczni, producenci i instalatorzy urządzeń wykorzystujących czynniki chłodnicze. </w:t>
      </w:r>
      <w:r>
        <w:rPr>
          <w:rFonts w:ascii="Times New Roman" w:hAnsi="Times New Roman"/>
          <w:sz w:val="24"/>
        </w:rPr>
        <w:br/>
        <w:t xml:space="preserve">Przedmiot: zmiana przepisu dotyczącego używania czynników chłodniczych w obiektach użyteczności publicznej. </w:t>
      </w:r>
      <w:r>
        <w:rPr>
          <w:rFonts w:ascii="Times New Roman" w:hAnsi="Times New Roman"/>
          <w:sz w:val="24"/>
        </w:rPr>
        <w:br/>
        <w:t xml:space="preserve">Wejście w życie: dzień po publikacji niniejszego rozporządzenia w Dzienniku Urzędowym Republiki Francuskiej. </w:t>
      </w:r>
      <w:r>
        <w:rPr>
          <w:rFonts w:ascii="Times New Roman" w:hAnsi="Times New Roman"/>
          <w:sz w:val="24"/>
        </w:rPr>
        <w:br/>
        <w:t xml:space="preserve">Uwaga: w rozporządzeniu Parlamentu Europejskiego i Rady (UE) nr 517/2014 z dnia 16 kwietnia 2014 r. w sprawie fluorowanych gazów cieplarnianych przewiduje się ograniczanie emisji tych gazów, a zwłaszcza fluorowęglowodorów (HFC).  Niektóre HFC są używane w urządzeniach lub instalacjach grzewczych i klimatyzacyjnych oraz instalacjach do wytwarzania ciepłej wody sanitarnej w obiektach użyteczności publicznej. Zamienniki HFC używane w klimatyzacji/chłodzeniu w budynkach użyteczności publicznej są najczęściej łatwopalne. Celem niniejszego rozporządzenia jest dopuszczenie używania tych zamienników w obiektach użyteczności publicznej pod warunkiem zastosowania niektórych środków zarządzania ryzykiem. Zasady zarządzania ryzykiem zawarte w niniejszym rozporządzeniu opierają się na opinii Dyrekcji Generalnej ds. Zapobiegania Zagrożeniom (DGPR) w Ministerstwie Transformacji Ekologicznej i Solidarnej (MTES) oraz na analizie ryzyka przeprowadzonej przez Krajowy Instytut Środowiska Przemysłowego i Zagrożeń (INERIS). </w:t>
      </w:r>
      <w:r>
        <w:rPr>
          <w:rFonts w:ascii="Times New Roman" w:hAnsi="Times New Roman"/>
          <w:sz w:val="24"/>
        </w:rPr>
        <w:br/>
        <w:t xml:space="preserve">Teksty podstawowe: z tekstem zmienionym niniejszym rozporządzeniem można zapoznać się, w brzmieniu będącym wynikiem zmiany, w serwisie internetowym Légifrance (http://legifrance.gouv.fr). </w:t>
      </w:r>
    </w:p>
    <w:p w14:paraId="511145FD" w14:textId="77777777" w:rsidR="00B767EF" w:rsidRPr="00B767EF" w:rsidRDefault="00B767EF" w:rsidP="00B7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Minister Spraw Wewnętrznych,</w:t>
      </w:r>
      <w:r>
        <w:rPr>
          <w:rFonts w:ascii="Times New Roman" w:hAnsi="Times New Roman"/>
          <w:sz w:val="24"/>
        </w:rPr>
        <w:br/>
        <w:t>uwzględniając dyrektywę (UE) 2015/1535 Parlamentu Europejskiego i Rady z dnia 9 września 2015 r. ustanawiającą procedurę udzielania informacji w dziedzinie przepisów technicznych oraz zasad dotyczących usług społeczeństwa informacyjnego, w szczególności notyfikację nr 2018/467/F,</w:t>
      </w:r>
      <w:r>
        <w:rPr>
          <w:rFonts w:ascii="Times New Roman" w:hAnsi="Times New Roman"/>
          <w:sz w:val="24"/>
        </w:rPr>
        <w:br/>
        <w:t>uwzględniając kodeks budowlany i mieszkaniowy, w szczególności art. R. 123-12,</w:t>
      </w:r>
      <w:r>
        <w:rPr>
          <w:rFonts w:ascii="Times New Roman" w:hAnsi="Times New Roman"/>
          <w:sz w:val="24"/>
        </w:rPr>
        <w:br/>
        <w:t>uwzględniając rozporządzenie z dnia 25 czerwca 1980 r., ze zmianami, w sprawie zatwierdzenia ogólnych przepisów regulaminu bezpieczeństwa przeciwpożarowego i przeciwdziałania panice w obiektach użyteczności publicznej,</w:t>
      </w:r>
      <w:r>
        <w:rPr>
          <w:rFonts w:ascii="Times New Roman" w:hAnsi="Times New Roman"/>
          <w:sz w:val="24"/>
        </w:rPr>
        <w:br/>
        <w:t>uwzględniając opinię Wysokiej Rady ds. Budownictwa i Efektywności Energetycznej z dnia 16 października 2018 r.,</w:t>
      </w:r>
      <w:r>
        <w:rPr>
          <w:rFonts w:ascii="Times New Roman" w:hAnsi="Times New Roman"/>
          <w:sz w:val="24"/>
        </w:rPr>
        <w:br/>
        <w:t>uwzględniając opinię Krajowej Rady ds. Oceny Norm z dnia 11 października 2018 r.,</w:t>
      </w:r>
      <w:r>
        <w:rPr>
          <w:rFonts w:ascii="Times New Roman" w:hAnsi="Times New Roman"/>
          <w:sz w:val="24"/>
        </w:rPr>
        <w:br/>
        <w:t>przyjmuje niniejsze rozporządzenie:</w:t>
      </w:r>
    </w:p>
    <w:p w14:paraId="1EB6D07B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 1</w:t>
      </w:r>
    </w:p>
    <w:p w14:paraId="6668C2CB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W księdze II tytuł I rozdział V regulaminu bezpieczeństwa przeciwpożarowego i przeciwdziałania panice w obiektach użyteczności publicznej zatwierdzonego wyżej wspomnianym rozporządzeniem z dnia 25 czerwca 1980 r. wprowadza się zmiany zgodnie z art. 2 do 3.</w:t>
      </w:r>
    </w:p>
    <w:p w14:paraId="5C05C3DB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 2</w:t>
      </w:r>
    </w:p>
    <w:p w14:paraId="643787CA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Artykuł CH 35 otrzymuje brzmienie: </w:t>
      </w:r>
      <w:r>
        <w:rPr>
          <w:rFonts w:ascii="Times New Roman" w:hAnsi="Times New Roman"/>
          <w:sz w:val="24"/>
        </w:rPr>
        <w:br/>
        <w:t>„Urządzenia lub instalacje wykorzystujące czynniki chłodnicze</w:t>
      </w:r>
      <w:r>
        <w:rPr>
          <w:rFonts w:ascii="Times New Roman" w:hAnsi="Times New Roman"/>
          <w:sz w:val="24"/>
        </w:rPr>
        <w:br/>
        <w:t xml:space="preserve">Ustęp 1. Na potrzeby stosowania niniejszego artykułu wprowadza się poniższe definicje: </w:t>
      </w:r>
    </w:p>
    <w:p w14:paraId="41614B6A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- „łatwopalne czynniki chłodnicze” oznaczają czynniki charakteryzujące się rozprzestrzenianiem ognia w temperaturze 60 °C i przy ciśnieniu 101,3 kPa; </w:t>
      </w:r>
      <w:r>
        <w:rPr>
          <w:rFonts w:ascii="Times New Roman" w:hAnsi="Times New Roman"/>
          <w:sz w:val="24"/>
        </w:rPr>
        <w:br/>
        <w:t xml:space="preserve">- „toksyczne czynniki chłodnicze” oznaczają czynniki o potwierdzonej toksyczności przy stężeniu mniejszym od 400 ppm. </w:t>
      </w:r>
    </w:p>
    <w:p w14:paraId="4C970516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Urządzenia i instalacje termodynamiczne przeznaczone do zapewnienia ogrzewania, klimatyzacji i wytwarzania ciepłej wody sanitarnej są zgodne z następującymi przepisami. </w:t>
      </w:r>
      <w:r>
        <w:rPr>
          <w:rFonts w:ascii="Times New Roman" w:hAnsi="Times New Roman"/>
          <w:sz w:val="24"/>
        </w:rPr>
        <w:br/>
        <w:t xml:space="preserve">Ustęp 2. Przepisy mające zastosowanie bez względu na użyty czynnik chłodniczy. </w:t>
      </w:r>
      <w:r>
        <w:rPr>
          <w:rFonts w:ascii="Times New Roman" w:hAnsi="Times New Roman"/>
          <w:sz w:val="24"/>
        </w:rPr>
        <w:br/>
        <w:t xml:space="preserve">Jeżeli urządzenia z wbudowaną sprężarką są umieszczone w pomieszczeniach użyteczności publicznej, sprężarki są hermetyczne lub hermetyczne z dostępem. </w:t>
      </w:r>
      <w:r>
        <w:rPr>
          <w:rFonts w:ascii="Times New Roman" w:hAnsi="Times New Roman"/>
          <w:sz w:val="24"/>
        </w:rPr>
        <w:br/>
        <w:t xml:space="preserve">Jeżeli urządzenia są umieszczone w maszynowni, maszynownia jest wyposażona w co najmniej dwa otwory wentylacyjne wychodzące na zewnątrz budynku, umieszczone na różnych wysokościach. Maszynownia znajduje się w innym pomieszczeniu niż kotłownia i nie jest połączona w sposób bezpośredni z pomieszczeniami użyteczności publicznej. </w:t>
      </w:r>
      <w:r>
        <w:rPr>
          <w:rFonts w:ascii="Times New Roman" w:hAnsi="Times New Roman"/>
          <w:sz w:val="24"/>
        </w:rPr>
        <w:br/>
        <w:t xml:space="preserve">Rury transportujące czynniki chłodnicze są metalowe. </w:t>
      </w:r>
      <w:r>
        <w:rPr>
          <w:rFonts w:ascii="Times New Roman" w:hAnsi="Times New Roman"/>
          <w:sz w:val="24"/>
        </w:rPr>
        <w:br/>
        <w:t xml:space="preserve">Materiały izolacyjne używane do izolacji rur są materiałami klasy M1 lub CL-s3, d0 w pomieszczeniach i wolnych przestrzeniach użyteczności publicznej oraz materiałami klasy M3 lub DL-s3, d0 w pozostałych częściach obiektu. </w:t>
      </w:r>
      <w:r>
        <w:rPr>
          <w:rFonts w:ascii="Times New Roman" w:hAnsi="Times New Roman"/>
          <w:sz w:val="24"/>
        </w:rPr>
        <w:br/>
        <w:t xml:space="preserve">Rurociągi i zbiorniki zawierające płyny używane do transportu zimna (zwane „płynami chłodzącymi”) muszą być zgodne z przepisami art. CH 25 ust. 3. </w:t>
      </w:r>
      <w:r>
        <w:rPr>
          <w:rFonts w:ascii="Times New Roman" w:hAnsi="Times New Roman"/>
          <w:sz w:val="24"/>
        </w:rPr>
        <w:br/>
        <w:t xml:space="preserve">Materiały izolacyjne używane do zbiorników zawierających czynniki chłodnicze i płyny chłodzące są materiałami klasy M1 lub B-s3, d0 w pomieszczeniach i wolnych przestrzeniach użyteczności publicznej oraz materiałami klasy M3 lub D-s3, d0 w pozostałych częściach obiektu. </w:t>
      </w:r>
      <w:r>
        <w:rPr>
          <w:rFonts w:ascii="Times New Roman" w:hAnsi="Times New Roman"/>
          <w:sz w:val="24"/>
        </w:rPr>
        <w:br/>
        <w:t xml:space="preserve">Ustęp 3. Przepisy mające zastosowanie w razie stosowania łatwopalnych czynników chłodniczych. </w:t>
      </w:r>
      <w:r>
        <w:rPr>
          <w:rFonts w:ascii="Times New Roman" w:hAnsi="Times New Roman"/>
          <w:sz w:val="24"/>
        </w:rPr>
        <w:br/>
        <w:t xml:space="preserve">Przepisy ust. 3 nie mają zastosowania do urządzeń hermetycznie zamkniętych, które noszą oznakowanie CE. </w:t>
      </w:r>
      <w:r>
        <w:rPr>
          <w:rFonts w:ascii="Times New Roman" w:hAnsi="Times New Roman"/>
          <w:sz w:val="24"/>
        </w:rPr>
        <w:br/>
        <w:t xml:space="preserve">Instalacje przyłączeniowe z możliwością demontażu na rurach do transportu łatwopalnych czynników chłodniczych są zabronione z wyjątkiem przyłączenia agregatów. </w:t>
      </w:r>
      <w:r>
        <w:rPr>
          <w:rFonts w:ascii="Times New Roman" w:hAnsi="Times New Roman"/>
          <w:sz w:val="24"/>
        </w:rPr>
        <w:br/>
        <w:t xml:space="preserve">Rury do transportu łatwopalnych czynników chłodniczych są zabezpieczone przed ryzykiem nagłego zerwania. Wymóg ten obejmuje instalację rur na minimalnej wysokości dwóch metrów od podłoża lub umieszczenie osłony mechanicznej.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Wewnętrzna średnica rur do transportu łatwopalnych czynników chłodniczych w postaci skroplonej jest mniejsza niż 50 mm.</w:t>
      </w:r>
      <w:r>
        <w:rPr>
          <w:rFonts w:ascii="Times New Roman" w:hAnsi="Times New Roman"/>
          <w:sz w:val="24"/>
        </w:rPr>
        <w:br/>
        <w:t xml:space="preserve">Poza warunkami przewidzianymi w ust. 2 materiały izolacyjne używane do izolacji agregatów wewnętrznych zawierających łatwopalne czynniki chłodnicze są wykonane z materiałów klasy M1 lub B-s3, d0. </w:t>
      </w:r>
      <w:r>
        <w:rPr>
          <w:rFonts w:ascii="Times New Roman" w:hAnsi="Times New Roman"/>
          <w:sz w:val="24"/>
        </w:rPr>
        <w:br/>
        <w:t xml:space="preserve">Maszynownie są pomieszczeniami o średnim ryzyku w rozumieniu art. CO 28 ust. 2. </w:t>
      </w:r>
      <w:r>
        <w:rPr>
          <w:rFonts w:ascii="Times New Roman" w:hAnsi="Times New Roman"/>
          <w:sz w:val="24"/>
        </w:rPr>
        <w:br/>
        <w:t xml:space="preserve">a) Strefa wyłączona. </w:t>
      </w:r>
      <w:r>
        <w:rPr>
          <w:rFonts w:ascii="Times New Roman" w:hAnsi="Times New Roman"/>
          <w:sz w:val="24"/>
        </w:rPr>
        <w:br/>
        <w:t xml:space="preserve">Wokół nadających się do demontażu przyłączy agregatów zawierających łatwopalne czynniki chłodnicze wydziela się strefę, w której obowiązuje zakaz jakichkolwiek źródeł zapalnych, a zwłaszcza ognia lub urządzeń, które mogą iskrzyć, aby uniknąć wszelkiego ryzyka pożaru w razie wycieku. </w:t>
      </w:r>
      <w:r>
        <w:rPr>
          <w:rFonts w:ascii="Times New Roman" w:hAnsi="Times New Roman"/>
          <w:sz w:val="24"/>
        </w:rPr>
        <w:br/>
        <w:t xml:space="preserve">W zależności od tego, czy instalacje znajdują się wewnątrz czy na zewnątrz obiektu, oraz cech spalania czynnika, promień takiej strefy określono w tabeli poniżej: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7"/>
        <w:gridCol w:w="1764"/>
        <w:gridCol w:w="1830"/>
        <w:gridCol w:w="1845"/>
      </w:tblGrid>
      <w:tr w:rsidR="00B767EF" w:rsidRPr="00B767EF" w14:paraId="4C9966B3" w14:textId="77777777" w:rsidTr="00B767E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B0631" w14:textId="0DD82B3C" w:rsidR="00B767EF" w:rsidRPr="00B767EF" w:rsidRDefault="00B767EF" w:rsidP="00B7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 xml:space="preserve">Średnica mniejsza od D rur do transportu czynnika w stanie ciekłym (mm)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9608A" w14:textId="77777777" w:rsidR="00B767EF" w:rsidRPr="00B767EF" w:rsidRDefault="00B767EF" w:rsidP="00B7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 xml:space="preserve">Promień (m) </w:t>
            </w:r>
          </w:p>
        </w:tc>
      </w:tr>
      <w:tr w:rsidR="00B767EF" w:rsidRPr="00B767EF" w14:paraId="052FA11E" w14:textId="77777777" w:rsidTr="00B767E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5AF54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3FC3C" w14:textId="4B90F752" w:rsidR="00B767EF" w:rsidRPr="00B767EF" w:rsidRDefault="00B767EF" w:rsidP="00B7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Instalacje zewnętrzne</w:t>
            </w:r>
            <w:r w:rsidR="00580C3A">
              <w:rPr>
                <w:rFonts w:ascii="Times New Roman" w:hAnsi="Times New Roman"/>
                <w:b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</w:rPr>
              <w:t>1</w:t>
            </w:r>
            <w:r w:rsidR="00580C3A">
              <w:rPr>
                <w:rFonts w:ascii="Times New Roman" w:hAnsi="Times New Roman"/>
                <w:b/>
                <w:sz w:val="24"/>
              </w:rPr>
              <w:t>)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07804" w14:textId="51265DD2" w:rsidR="00B767EF" w:rsidRPr="00B767EF" w:rsidRDefault="00B767EF" w:rsidP="00B7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Instalacje wewnętrzne</w:t>
            </w:r>
            <w:r w:rsidR="00580C3A">
              <w:rPr>
                <w:rFonts w:ascii="Times New Roman" w:hAnsi="Times New Roman"/>
                <w:b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</w:rPr>
              <w:t>2</w:t>
            </w:r>
            <w:r w:rsidR="00580C3A">
              <w:rPr>
                <w:rFonts w:ascii="Times New Roman" w:hAnsi="Times New Roman"/>
                <w:b/>
                <w:sz w:val="24"/>
              </w:rPr>
              <w:t>)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LII ≥ 0,10 kg/m3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912B6" w14:textId="3C9C1764" w:rsidR="00B767EF" w:rsidRPr="00B767EF" w:rsidRDefault="00B767EF" w:rsidP="00B7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Instalacje wewnętrzne</w:t>
            </w:r>
            <w:r w:rsidR="00580C3A">
              <w:rPr>
                <w:rFonts w:ascii="Times New Roman" w:hAnsi="Times New Roman"/>
                <w:b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  <w:r w:rsidR="00580C3A">
              <w:rPr>
                <w:rFonts w:ascii="Times New Roman" w:hAnsi="Times New Roman"/>
                <w:b/>
                <w:sz w:val="24"/>
              </w:rPr>
              <w:t>)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LII &lt; 0,10 kg/m3 </w:t>
            </w:r>
          </w:p>
        </w:tc>
      </w:tr>
      <w:tr w:rsidR="00B767EF" w:rsidRPr="00B767EF" w14:paraId="05AF61DD" w14:textId="77777777" w:rsidTr="00B767E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4BCF1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D ≤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11023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4FD76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C5D2D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2 </w:t>
            </w:r>
          </w:p>
        </w:tc>
      </w:tr>
      <w:tr w:rsidR="00B767EF" w:rsidRPr="00B767EF" w14:paraId="3650889A" w14:textId="77777777" w:rsidTr="00B767E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A1EF2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10 &lt; D ≤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20494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6735C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48935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4 </w:t>
            </w:r>
          </w:p>
        </w:tc>
      </w:tr>
      <w:tr w:rsidR="00B767EF" w:rsidRPr="00B767EF" w14:paraId="1020D8A8" w14:textId="77777777" w:rsidTr="00B767E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4753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20 &lt; D ≤ 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E0AA6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B77CA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F7965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10 </w:t>
            </w:r>
          </w:p>
        </w:tc>
      </w:tr>
    </w:tbl>
    <w:p w14:paraId="57246B03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b) Dopuszczalne maksymalne obciążenie. </w:t>
      </w:r>
      <w:r>
        <w:rPr>
          <w:rFonts w:ascii="Times New Roman" w:hAnsi="Times New Roman"/>
          <w:sz w:val="24"/>
        </w:rPr>
        <w:br/>
        <w:t xml:space="preserve">Całkowita maksymalna ilość łatwopalnego czynnika chłodniczego krążącego w obwodzie chłodniczym jest ograniczona w celu uniknięcia ryzyka przekroczenia dolnej granicy łatwopalności w razie wycieku w pomieszczeniu. </w:t>
      </w:r>
      <w:r>
        <w:rPr>
          <w:rFonts w:ascii="Times New Roman" w:hAnsi="Times New Roman"/>
          <w:sz w:val="24"/>
        </w:rPr>
        <w:br/>
        <w:t xml:space="preserve">Ilość ta jest obliczana według następującego wzoru: </w:t>
      </w:r>
      <w:r>
        <w:rPr>
          <w:rFonts w:ascii="Times New Roman" w:hAnsi="Times New Roman"/>
          <w:sz w:val="24"/>
        </w:rPr>
        <w:br/>
        <w:t>mmax = 2,5 x LII5/4 x h0 x A1/2</w:t>
      </w:r>
      <w:r>
        <w:rPr>
          <w:rFonts w:ascii="Times New Roman" w:hAnsi="Times New Roman"/>
          <w:sz w:val="24"/>
        </w:rPr>
        <w:br/>
        <w:t xml:space="preserve">Gdzie: </w:t>
      </w:r>
      <w:r>
        <w:rPr>
          <w:rFonts w:ascii="Times New Roman" w:hAnsi="Times New Roman"/>
          <w:sz w:val="24"/>
        </w:rPr>
        <w:br/>
        <w:t xml:space="preserve">mmax (kg): całkowita maksymalna ilość łatwopalnego czynnika chłodniczego. </w:t>
      </w:r>
      <w:r>
        <w:rPr>
          <w:rFonts w:ascii="Times New Roman" w:hAnsi="Times New Roman"/>
          <w:sz w:val="24"/>
        </w:rPr>
        <w:br/>
        <w:t xml:space="preserve">LII (kg/m3): dolna granica łatwopalności. </w:t>
      </w:r>
      <w:r>
        <w:rPr>
          <w:rFonts w:ascii="Times New Roman" w:hAnsi="Times New Roman"/>
          <w:sz w:val="24"/>
        </w:rPr>
        <w:br/>
        <w:t xml:space="preserve">h0: współczynnik związany z wysokością urządzeń umieszczonych najniżej w pomieszczeniu, którego wartość wynosi: </w:t>
      </w:r>
      <w:r>
        <w:rPr>
          <w:rFonts w:ascii="Times New Roman" w:hAnsi="Times New Roman"/>
          <w:sz w:val="24"/>
        </w:rPr>
        <w:br/>
        <w:t>0,6 w przypadku montażu na podłodze,</w:t>
      </w:r>
      <w:r>
        <w:rPr>
          <w:rFonts w:ascii="Times New Roman" w:hAnsi="Times New Roman"/>
          <w:sz w:val="24"/>
        </w:rPr>
        <w:br/>
        <w:t>1,1 w przypadku montażu na oknie,</w:t>
      </w:r>
      <w:r>
        <w:rPr>
          <w:rFonts w:ascii="Times New Roman" w:hAnsi="Times New Roman"/>
          <w:sz w:val="24"/>
        </w:rPr>
        <w:br/>
        <w:t>1,8 w przypadku umieszczenia na ścianie,</w:t>
      </w:r>
      <w:r>
        <w:rPr>
          <w:rFonts w:ascii="Times New Roman" w:hAnsi="Times New Roman"/>
          <w:sz w:val="24"/>
        </w:rPr>
        <w:br/>
        <w:t>2,2 w przypadku montażu na suficie,</w:t>
      </w:r>
      <w:r>
        <w:rPr>
          <w:rFonts w:ascii="Times New Roman" w:hAnsi="Times New Roman"/>
          <w:sz w:val="24"/>
        </w:rPr>
        <w:br/>
        <w:t>tyle, co wysokość najniższego przyłącza w pomieszczeniu, jeżeli przekracza 2,2 m.</w:t>
      </w:r>
      <w:r>
        <w:rPr>
          <w:rFonts w:ascii="Times New Roman" w:hAnsi="Times New Roman"/>
          <w:sz w:val="24"/>
        </w:rPr>
        <w:br/>
        <w:t xml:space="preserve">A (m²): powierzchnia lokalu. </w:t>
      </w:r>
      <w:r>
        <w:rPr>
          <w:rFonts w:ascii="Times New Roman" w:hAnsi="Times New Roman"/>
          <w:sz w:val="24"/>
        </w:rPr>
        <w:br/>
        <w:t xml:space="preserve">Ograniczenie obciążenia w przypadku łatwopalnego czynnika chłodniczego nie obowiązuje, jeżeli koncepcja urządzenia obejmuje zawór zamykający obieg chłodniczy i system wentylacji z czujnikiem w celu uniknięcia przekroczenia dolnej granicy </w:t>
      </w:r>
      <w:r>
        <w:rPr>
          <w:rFonts w:ascii="Times New Roman" w:hAnsi="Times New Roman"/>
          <w:sz w:val="24"/>
        </w:rPr>
        <w:lastRenderedPageBreak/>
        <w:t xml:space="preserve">łatwopalności w pomieszczeniu w razie wycieku. </w:t>
      </w:r>
      <w:r>
        <w:rPr>
          <w:rFonts w:ascii="Times New Roman" w:hAnsi="Times New Roman"/>
          <w:sz w:val="24"/>
        </w:rPr>
        <w:br/>
        <w:t>Ograniczenie obciążenia w przypadku łatwopalnego czynnika chłodniczego nie obowiązuje, jeżeli urządzenie wykorzystujące takie czynniki jest umieszczone w maszynowni, a maszynownia jest wyposażona:</w:t>
      </w:r>
    </w:p>
    <w:p w14:paraId="2B2A44F5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- w mechanizm wykrywania, który w razie wycieku uruchamia mechaniczny wyciąg powietrza i odcina obieg czynnika w obiegu, aby ograniczyć czas wycieku albo przez całkowite zatrzymanie systemu termodynamicznego, albo przez uruchomienie elektrozaworu. Mechanizm wykrywania składa się z centrali wykrywania i dwóch czujników, których umieszczenie zależy od charakteru użytego czynnika. Automatyczny system ostrzegania zgłasza wszelkie usterki mechanizmu wykrywania i wyciągu powietrza;</w:t>
      </w:r>
      <w:r>
        <w:rPr>
          <w:rFonts w:ascii="Times New Roman" w:hAnsi="Times New Roman"/>
          <w:sz w:val="24"/>
        </w:rPr>
        <w:br/>
        <w:t xml:space="preserve">- w mechaniczny wyciąg powietrza gwarantujący dostateczny godzinowy współczynnik wymiany powietrza, tak aby nie osiągać dolnej granicy łatwopalności u wyjścia wyciągu. Mechanizm ma kategorię 3 zgodnie z dyrektywą 2014/34/UE w sprawie w sprawie harmonizacji ustawodawstw państw członkowskich odnoszących się do urządzeń i systemów ochronnych przeznaczonych do użytku w atmosferze potencjalnie wybuchowej. </w:t>
      </w:r>
    </w:p>
    <w:p w14:paraId="0FA42FF1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c) Instalacja urządzeń i systemów dynamicznych jest zgodna z zaleceniami producenta. </w:t>
      </w:r>
      <w:r>
        <w:rPr>
          <w:rFonts w:ascii="Times New Roman" w:hAnsi="Times New Roman"/>
          <w:sz w:val="24"/>
        </w:rPr>
        <w:br/>
        <w:t>Sporządza się dokument gromadzący informacje na temat elementów opisowych instalacji, udostępniany organom administracyjnym i przedsiębiorstwom interweniującym, które muszą zapoznać się z nim przed każdą interwencją. Zawiera on w szczególności następujące elementy:</w:t>
      </w:r>
    </w:p>
    <w:p w14:paraId="28CFE839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- plan sieci rurociągów;</w:t>
      </w:r>
      <w:r>
        <w:rPr>
          <w:rFonts w:ascii="Times New Roman" w:hAnsi="Times New Roman"/>
          <w:sz w:val="24"/>
        </w:rPr>
        <w:br/>
        <w:t>- schemat techniczny instalacji;</w:t>
      </w:r>
      <w:r>
        <w:rPr>
          <w:rFonts w:ascii="Times New Roman" w:hAnsi="Times New Roman"/>
          <w:sz w:val="24"/>
        </w:rPr>
        <w:br/>
        <w:t>- szczegółowe i uzasadnione wyliczenie maksymalnych ilości czynników chłodniczych;</w:t>
      </w:r>
      <w:r>
        <w:rPr>
          <w:rFonts w:ascii="Times New Roman" w:hAnsi="Times New Roman"/>
          <w:sz w:val="24"/>
        </w:rPr>
        <w:br/>
        <w:t>- plan umieszczenia urządzeń zabezpieczających (czujniki, elektrozawory, wentylacja itp.);</w:t>
      </w:r>
      <w:r>
        <w:rPr>
          <w:rFonts w:ascii="Times New Roman" w:hAnsi="Times New Roman"/>
          <w:sz w:val="24"/>
        </w:rPr>
        <w:br/>
        <w:t>- teoretyczne przepływy wentylacji w razie przekroczenia wyliczonej maksymalnej ilości;</w:t>
      </w:r>
      <w:r>
        <w:rPr>
          <w:rFonts w:ascii="Times New Roman" w:hAnsi="Times New Roman"/>
          <w:sz w:val="24"/>
        </w:rPr>
        <w:br/>
        <w:t>- dowód kalibracji i wiarygodności mechanizmu wykrywania, a także współczynnika wymiany powietrza w mechanicznym wyciągu powietrza;</w:t>
      </w:r>
      <w:r>
        <w:rPr>
          <w:rFonts w:ascii="Times New Roman" w:hAnsi="Times New Roman"/>
          <w:sz w:val="24"/>
        </w:rPr>
        <w:br/>
        <w:t xml:space="preserve">- tabelę korelacji różnych urządzeń zabezpieczających w razie przekroczenia wyliczonej maksymalnej ilości. </w:t>
      </w:r>
    </w:p>
    <w:p w14:paraId="4B0CAAF9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Dokument jest aktualizowany w następstwie każdej zmiany instalacji lub pomieszczeń. </w:t>
      </w:r>
      <w:r>
        <w:rPr>
          <w:rFonts w:ascii="Times New Roman" w:hAnsi="Times New Roman"/>
          <w:sz w:val="24"/>
        </w:rPr>
        <w:br/>
        <w:t xml:space="preserve">Co roku kompetentny technik musi przeprowadzać kontrolę instalacji i sporządzić sprawozdanie zawierające w szczególności wynik wykrytych wycieków bezpośrednich lub pośrednich. Co najmniej 20 % urządzeń zabezpieczających i powiązanych przyłączy, o których mowa powyżej, należy sprawdzać co roku, a w okresie 5 lat kontrola musi objąć wszystkie takie urządzenia. Wynik tych testów zamieszcza się we wspomnianym sprawozdaniu. </w:t>
      </w:r>
      <w:r>
        <w:rPr>
          <w:rFonts w:ascii="Times New Roman" w:hAnsi="Times New Roman"/>
          <w:sz w:val="24"/>
        </w:rPr>
        <w:br/>
        <w:t>Ustęp 4. Używanie toksycznych czynników chłodniczych jest dopuszczalne, jeżeli spełnione zostaną równocześnie trzy następujące warunki:</w:t>
      </w:r>
    </w:p>
    <w:p w14:paraId="4007EB3F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- umieszczenie na zewnątrz lub w maszynowni oddzielonej od kotłowni;</w:t>
      </w:r>
      <w:r>
        <w:rPr>
          <w:rFonts w:ascii="Times New Roman" w:hAnsi="Times New Roman"/>
          <w:sz w:val="24"/>
        </w:rPr>
        <w:br/>
        <w:t>- funkcjonowanie systemu wymiany pośredniej;</w:t>
      </w:r>
      <w:r>
        <w:rPr>
          <w:rFonts w:ascii="Times New Roman" w:hAnsi="Times New Roman"/>
          <w:sz w:val="24"/>
        </w:rPr>
        <w:br/>
        <w:t xml:space="preserve">- całkowita ilość płynów obecna we wszystkich urządzeniach ograniczona do 150 kg. </w:t>
      </w:r>
    </w:p>
    <w:p w14:paraId="0AD8B318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Ustęp 5. Spalinowe urządzenia lub grupy urządzeń do wytwarzania zimna są instalowane w warunkach przewidzianych w art. CH 5 lub CH 6 w zależności od ich mocy. ”. </w:t>
      </w:r>
    </w:p>
    <w:p w14:paraId="365B6614" w14:textId="77777777" w:rsidR="00B767EF" w:rsidRPr="00B767EF" w:rsidRDefault="00B767EF" w:rsidP="00B7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1 Strefa wyłączona wymagana wyłącznie w przypadku instalacji zewnętrznych z łatwopalnymi czynnikami chłodniczymi charakteryzującymi się prędkością rozprzestrzeniania ognia większą niż 10 cm/s.</w:t>
      </w:r>
      <w:r>
        <w:rPr>
          <w:rFonts w:ascii="Times New Roman" w:hAnsi="Times New Roman"/>
          <w:sz w:val="24"/>
        </w:rPr>
        <w:br/>
        <w:t xml:space="preserve">2 Łatwopalne czynniki chłodnicze o dolnej graniczy łatwopalności 0,10 kg/m³ lub wyższej. </w:t>
      </w:r>
      <w:r>
        <w:rPr>
          <w:rFonts w:ascii="Times New Roman" w:hAnsi="Times New Roman"/>
          <w:sz w:val="24"/>
        </w:rPr>
        <w:br/>
        <w:t>3 Łatwopalne czynniki chłodnicze o dolnej graniczy łatwopalności mniejszej niż 0,10 kg/3.</w:t>
      </w:r>
    </w:p>
    <w:p w14:paraId="6B67D63E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 3</w:t>
      </w:r>
    </w:p>
    <w:p w14:paraId="09930595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W art. CH 45 uchyla się lit. c).</w:t>
      </w:r>
    </w:p>
    <w:p w14:paraId="6849DEBF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 4</w:t>
      </w:r>
    </w:p>
    <w:p w14:paraId="74F3395F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W księdze II tytuł II rozdział II regulaminu bezpieczeństwa przeciwpożarowego i przeciwdziałania panice w obiektach użyteczności publicznej zatwierdzonego wyżej wspomnianym rozporządzeniem z dnia 25 czerwca 1980 r. wprowadza się następujące zmiany: </w:t>
      </w:r>
      <w:r>
        <w:rPr>
          <w:rFonts w:ascii="Times New Roman" w:hAnsi="Times New Roman"/>
          <w:sz w:val="24"/>
        </w:rPr>
        <w:br/>
        <w:t>W art. M 40 uchyla się ust. 4.</w:t>
      </w:r>
    </w:p>
    <w:p w14:paraId="31ECF89C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Artykuł 5</w:t>
      </w:r>
    </w:p>
    <w:p w14:paraId="6B0A3F54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Niniejsze rozporządzenie wchodzi w życie dzień po jego publikacji w Dzienniku Urzędowym Republiki Francuskiej.</w:t>
      </w:r>
    </w:p>
    <w:p w14:paraId="032C5E60" w14:textId="77777777" w:rsidR="00B767EF" w:rsidRPr="00B767EF" w:rsidRDefault="00B767EF" w:rsidP="00B7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Sporządzono dnia 10 maja 2019 r.</w:t>
      </w:r>
    </w:p>
    <w:p w14:paraId="582D28DE" w14:textId="23ADC310" w:rsidR="00B767EF" w:rsidRPr="00B767EF" w:rsidRDefault="00B767EF" w:rsidP="00B7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W imieniu i z upoważnienia Ministra:</w:t>
      </w:r>
      <w:r>
        <w:rPr>
          <w:rFonts w:ascii="Times New Roman" w:hAnsi="Times New Roman"/>
          <w:sz w:val="24"/>
        </w:rPr>
        <w:br/>
        <w:t>Szef służby, zastępca dyrektora generalnego ds. bezpieczeństwa cywilnego i zarządzania kryzysowego, odpowiedzialny za Dyrekcję Straży Pożarnej,</w:t>
      </w:r>
      <w:r>
        <w:rPr>
          <w:rFonts w:ascii="Times New Roman" w:hAnsi="Times New Roman"/>
          <w:sz w:val="24"/>
        </w:rPr>
        <w:br/>
      </w:r>
      <w:r w:rsidR="00CE66C8">
        <w:rPr>
          <w:rFonts w:ascii="Times New Roman" w:hAnsi="Times New Roman"/>
          <w:sz w:val="24"/>
        </w:rPr>
        <w:t xml:space="preserve">M. </w:t>
      </w:r>
      <w:r>
        <w:rPr>
          <w:rFonts w:ascii="Times New Roman" w:hAnsi="Times New Roman"/>
          <w:sz w:val="24"/>
        </w:rPr>
        <w:t>Marquer</w:t>
      </w:r>
    </w:p>
    <w:p w14:paraId="5785BBFE" w14:textId="77777777" w:rsidR="006467BD" w:rsidRDefault="006467BD"/>
    <w:sectPr w:rsidR="00646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EF"/>
    <w:rsid w:val="00500C1C"/>
    <w:rsid w:val="00580C3A"/>
    <w:rsid w:val="006467BD"/>
    <w:rsid w:val="00B767EF"/>
    <w:rsid w:val="00CE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4BCF1"/>
  <w15:chartTrackingRefBased/>
  <w15:docId w15:val="{9718DBF2-DF08-434E-8486-12F8ECF7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Dimitris Dimitriadis</cp:lastModifiedBy>
  <cp:revision>4</cp:revision>
  <dcterms:created xsi:type="dcterms:W3CDTF">2021-08-25T12:18:00Z</dcterms:created>
  <dcterms:modified xsi:type="dcterms:W3CDTF">2022-01-02T14:12:00Z</dcterms:modified>
</cp:coreProperties>
</file>