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7C" w:rsidRPr="00B23501" w:rsidRDefault="0000457C" w:rsidP="0000457C">
      <w:pPr>
        <w:pStyle w:val="12PromKlEinlSatz"/>
        <w:keepNext w:val="0"/>
        <w:spacing w:before="0" w:after="120" w:line="240" w:lineRule="auto"/>
        <w:ind w:firstLine="0"/>
        <w:jc w:val="center"/>
        <w:rPr>
          <w:rFonts w:ascii="Courier New" w:hAnsi="Courier New"/>
          <w:snapToGrid/>
        </w:rPr>
      </w:pPr>
      <w:r>
        <w:rPr>
          <w:rFonts w:ascii="Courier New" w:hAnsi="Courier New"/>
          <w:snapToGrid/>
        </w:rPr>
        <w:t>1. ------IND- 2019 0280 EE- LV- ------ 20190621 --- --- PROJET</w:t>
      </w:r>
    </w:p>
    <w:p w:rsidR="00E97C8D" w:rsidRPr="000F1F61" w:rsidRDefault="0000457C" w:rsidP="0000457C">
      <w:pPr>
        <w:pStyle w:val="Default"/>
        <w:jc w:val="right"/>
      </w:pPr>
      <w:r>
        <w:t>PROJEKTS</w:t>
      </w:r>
    </w:p>
    <w:p w:rsidR="00E97C8D" w:rsidRDefault="00E97C8D" w:rsidP="0000457C">
      <w:pPr>
        <w:pStyle w:val="Default"/>
        <w:jc w:val="right"/>
      </w:pPr>
      <w:r>
        <w:t>2019. GADA [DATUMS]</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Likums, ar ko groza Ta</w:t>
      </w:r>
      <w:bookmarkStart w:id="0" w:name="_GoBack"/>
      <w:bookmarkEnd w:id="0"/>
      <w:r>
        <w:t>bakas likumu</w:t>
      </w:r>
    </w:p>
    <w:p w:rsidR="00DF1C9F" w:rsidRPr="000F1F61" w:rsidRDefault="00DF1C9F" w:rsidP="0000457C">
      <w:pPr>
        <w:pStyle w:val="muudatustesissejuhatus"/>
        <w:keepNext/>
        <w:keepLines/>
        <w:widowControl/>
      </w:pPr>
      <w:r>
        <w:t>Tabakas likumu groza šādi:</w:t>
      </w:r>
    </w:p>
    <w:p w:rsidR="00DF1C9F" w:rsidRDefault="00DF1C9F" w:rsidP="0000457C">
      <w:pPr>
        <w:pStyle w:val="muutmisksk"/>
        <w:keepNext/>
        <w:keepLines/>
        <w:widowControl/>
      </w:pPr>
      <w:r>
        <w:rPr>
          <w:b/>
        </w:rPr>
        <w:t xml:space="preserve">1) </w:t>
      </w:r>
      <w:r>
        <w:t>likuma 3. panta 2. punktu groza un izsaka šādā redakcijā:</w:t>
      </w:r>
    </w:p>
    <w:p w:rsidR="00F3659F" w:rsidRDefault="00F3659F" w:rsidP="0000457C">
      <w:pPr>
        <w:pStyle w:val="muutmisksk"/>
        <w:widowControl/>
      </w:pPr>
      <w:r>
        <w:t>“2. Tabakas izstrādājumus klasificē kā smēķēšanai paredzētus izstrādājumus, kā arī bezdūmu un tabakas karsēšanas izstrādājumus.”;</w:t>
      </w:r>
    </w:p>
    <w:p w:rsidR="00CB4A82" w:rsidRDefault="00CB4A82" w:rsidP="0000457C">
      <w:pPr>
        <w:pStyle w:val="muutmisksk"/>
        <w:keepNext/>
        <w:keepLines/>
        <w:widowControl/>
      </w:pPr>
      <w:r>
        <w:rPr>
          <w:b/>
        </w:rPr>
        <w:t xml:space="preserve">2) </w:t>
      </w:r>
      <w:r>
        <w:t>likuma 3. panta 4. punktu groza un izsaka šādā redakcijā:</w:t>
      </w:r>
    </w:p>
    <w:p w:rsidR="00F3659F" w:rsidRDefault="00FA49AA" w:rsidP="0000457C">
      <w:pPr>
        <w:pStyle w:val="muutmisksk"/>
        <w:widowControl/>
      </w:pPr>
      <w:r>
        <w:t>“4. Bezdūmu tabakas izstrādājums ir tabakas izstrādājums (tostarp košļājamā tabaka, šņaucamtabaka un orālai lietošanai paredzētā tabaka), kura lietošana nav saistīta ar sadegšanas procesu un kurš nav tabakas karsēšanas izstrādājums.”;</w:t>
      </w:r>
    </w:p>
    <w:p w:rsidR="00F3659F" w:rsidRDefault="006405C9" w:rsidP="0000457C">
      <w:pPr>
        <w:pStyle w:val="muutmisksk"/>
        <w:keepNext/>
        <w:keepLines/>
        <w:widowControl/>
      </w:pPr>
      <w:r>
        <w:rPr>
          <w:b/>
        </w:rPr>
        <w:t>3)</w:t>
      </w:r>
      <w:r>
        <w:t xml:space="preserve"> likuma 3. pantam pievieno 6. punktu šādā redakcijā:</w:t>
      </w:r>
    </w:p>
    <w:p w:rsidR="00302BE2" w:rsidRDefault="00F3659F" w:rsidP="0000457C">
      <w:pPr>
        <w:pStyle w:val="muutmisksk"/>
        <w:widowControl/>
      </w:pPr>
      <w:r>
        <w:t>“6. Tabakas karsēšanas izstrādājums ir jaunieviests tabakas izstrādājums, kura lietošana nav saistīta ar tabakas sadegšanas procesu un kuru lieto, izmantojot piederumu tabakas karsēšanai.”;</w:t>
      </w:r>
    </w:p>
    <w:p w:rsidR="00B0041E" w:rsidRDefault="006405C9" w:rsidP="0000457C">
      <w:pPr>
        <w:pStyle w:val="muutmisksk"/>
        <w:keepNext/>
        <w:keepLines/>
        <w:widowControl/>
      </w:pPr>
      <w:r>
        <w:rPr>
          <w:b/>
        </w:rPr>
        <w:t>4)</w:t>
      </w:r>
      <w:r>
        <w:t xml:space="preserve"> likuma 8. panta 5. punkta pirmo teikumu izsaka šādā redakcijā:</w:t>
      </w:r>
    </w:p>
    <w:p w:rsidR="00B0041E" w:rsidRDefault="00B0041E" w:rsidP="0000457C">
      <w:pPr>
        <w:pStyle w:val="muutmisksk"/>
        <w:widowControl/>
      </w:pPr>
      <w:r>
        <w:t>“Cigaretēm, smēķējamajai tabakai, kas paredzēta cigarešu tīšanai, kā arī tabakas karsēšanas izstrādājumiem nedrīkst būt raksturīga aromāta.”;</w:t>
      </w:r>
    </w:p>
    <w:p w:rsidR="000C419A" w:rsidRDefault="000C419A" w:rsidP="0000457C">
      <w:pPr>
        <w:pStyle w:val="muutmisksk"/>
        <w:keepNext/>
        <w:keepLines/>
        <w:widowControl/>
      </w:pPr>
      <w:r>
        <w:rPr>
          <w:b/>
        </w:rPr>
        <w:t>5)</w:t>
      </w:r>
      <w:r>
        <w:t xml:space="preserve"> likuma 8. panta 6. punkta pirmo teikumu izsaka šādā redakcijā:</w:t>
      </w:r>
    </w:p>
    <w:p w:rsidR="000C419A" w:rsidRDefault="000C419A" w:rsidP="0000457C">
      <w:pPr>
        <w:pStyle w:val="muutmisksk"/>
        <w:widowControl/>
      </w:pPr>
      <w:r>
        <w:t>“Cigarešu, smēķējamās tabakas, kas paredzēta cigarešu tīšanai, kā arī tabakas karsēšanas izstrādājumu sastāvdaļas, piemēram, filtri, papīri, iepakojums un kapsulas, nedrīkst būt aromatizētas.”;</w:t>
      </w:r>
    </w:p>
    <w:p w:rsidR="00F3659F" w:rsidRDefault="00544F55" w:rsidP="0000457C">
      <w:pPr>
        <w:pStyle w:val="muutmisksk"/>
        <w:keepNext/>
        <w:keepLines/>
        <w:widowControl/>
      </w:pPr>
      <w:r>
        <w:rPr>
          <w:b/>
        </w:rPr>
        <w:t>6)</w:t>
      </w:r>
      <w:r>
        <w:t xml:space="preserve"> likuma 12. panta 5. punkta pirmo teikumu izsaka šādā redakcijā:</w:t>
      </w:r>
    </w:p>
    <w:p w:rsidR="00F3659F" w:rsidRDefault="002A4570" w:rsidP="0000457C">
      <w:pPr>
        <w:pStyle w:val="muutmisksk"/>
        <w:widowControl/>
      </w:pPr>
      <w:r>
        <w:t>“Šā panta 1. punktā minēto informāciju var norādīt uz uzlīmēm, kas piestiprinātas uz tabakas izstrādājuma primārā iepakojuma un kombinētā iepakojuma, izņemot cigaretes un smēķējamo tabaku, kas paredzēta cigarešu tīšanai.”;</w:t>
      </w:r>
    </w:p>
    <w:p w:rsidR="00CB4A82" w:rsidRDefault="00544F55" w:rsidP="0000457C">
      <w:pPr>
        <w:pStyle w:val="muutmisksk"/>
        <w:keepNext/>
        <w:keepLines/>
        <w:widowControl/>
      </w:pPr>
      <w:r>
        <w:rPr>
          <w:b/>
        </w:rPr>
        <w:t>7)</w:t>
      </w:r>
      <w:r>
        <w:t xml:space="preserve"> likuma 13. panta nosaukumu groza un izsaka šādā redakcijā:</w:t>
      </w:r>
    </w:p>
    <w:p w:rsidR="00CB4A82" w:rsidRDefault="00CB4A82" w:rsidP="0000457C">
      <w:pPr>
        <w:pStyle w:val="muutmisksk"/>
        <w:widowControl/>
      </w:pPr>
      <w:r>
        <w:t>“</w:t>
      </w:r>
      <w:r>
        <w:rPr>
          <w:b/>
          <w:bCs/>
        </w:rPr>
        <w:t>13. pants.</w:t>
      </w:r>
      <w:r>
        <w:rPr>
          <w:b/>
        </w:rPr>
        <w:t xml:space="preserve"> Brīdinājumi par smēķēšanai paredzētu tabakas izstrādājumu ietekmi uz veselību”</w:t>
      </w:r>
      <w:r>
        <w:t>;</w:t>
      </w:r>
    </w:p>
    <w:p w:rsidR="00CB4A82" w:rsidRDefault="00544F55" w:rsidP="0000457C">
      <w:pPr>
        <w:pStyle w:val="muutmisksk"/>
        <w:keepNext/>
        <w:keepLines/>
        <w:widowControl/>
      </w:pPr>
      <w:r>
        <w:rPr>
          <w:b/>
        </w:rPr>
        <w:lastRenderedPageBreak/>
        <w:t>8)</w:t>
      </w:r>
      <w:r>
        <w:t xml:space="preserve"> likuma 13. panta 1. punktu groza un izsaka šādā redakcijā:</w:t>
      </w:r>
    </w:p>
    <w:p w:rsidR="00CB4A82" w:rsidRDefault="00CB4A82" w:rsidP="0000457C">
      <w:pPr>
        <w:pStyle w:val="muutmisksk"/>
        <w:widowControl/>
      </w:pPr>
      <w:r>
        <w:t>“1. Brīdinājumus par smēķēšanai paredzētu tabakas izstrādājumu ietekmi uz veselību iedala vispārīgos brīdinājumos, informatīvos uzrakstos un kombinētos brīdinājumos par ietekmi uz veselību.”;</w:t>
      </w:r>
    </w:p>
    <w:p w:rsidR="00CB4A82" w:rsidRDefault="00544F55" w:rsidP="0000457C">
      <w:pPr>
        <w:pStyle w:val="muutmisksk"/>
        <w:keepNext/>
        <w:keepLines/>
        <w:widowControl/>
      </w:pPr>
      <w:r>
        <w:rPr>
          <w:b/>
        </w:rPr>
        <w:t>9)</w:t>
      </w:r>
      <w:r>
        <w:t xml:space="preserve"> likumu papildina ar 13.</w:t>
      </w:r>
      <w:r>
        <w:rPr>
          <w:vertAlign w:val="superscript"/>
        </w:rPr>
        <w:t>1</w:t>
      </w:r>
      <w:r>
        <w:t> pantu šādā redakcijā:</w:t>
      </w:r>
    </w:p>
    <w:p w:rsidR="00CB4A82" w:rsidRDefault="00CB4A82" w:rsidP="0000457C">
      <w:pPr>
        <w:pStyle w:val="muutmisksk"/>
        <w:widowControl/>
        <w:rPr>
          <w:b/>
        </w:rPr>
      </w:pPr>
      <w:r>
        <w:t>“</w:t>
      </w:r>
      <w:r>
        <w:rPr>
          <w:b/>
        </w:rPr>
        <w:t>13.</w:t>
      </w:r>
      <w:r>
        <w:rPr>
          <w:b/>
          <w:vertAlign w:val="superscript"/>
        </w:rPr>
        <w:t>1</w:t>
      </w:r>
      <w:r>
        <w:rPr>
          <w:b/>
        </w:rPr>
        <w:t xml:space="preserve"> Brīdinājumi par tabakas karsēšanas izstrādājumu ietekmi uz veselību</w:t>
      </w:r>
    </w:p>
    <w:p w:rsidR="00FA49AA" w:rsidRDefault="00FA49AA" w:rsidP="0000457C">
      <w:pPr>
        <w:pStyle w:val="muutmisksk"/>
        <w:widowControl/>
      </w:pPr>
      <w:r>
        <w:t>1. Uz tabakas karsēšanas izstrādājuma primārā iepakojuma un kombinētā iepakojuma ir izvietots šāds brīdinājums par ietekmi uz veselību:</w:t>
      </w:r>
    </w:p>
    <w:p w:rsidR="00FA49AA" w:rsidRDefault="00FA49AA" w:rsidP="0000457C">
      <w:pPr>
        <w:pStyle w:val="muudetavtekst"/>
      </w:pPr>
      <w:r>
        <w:t>“Šis tabakas izstrādājums kaitē jūsu veselībai un rada atkarību.”</w:t>
      </w:r>
    </w:p>
    <w:p w:rsidR="00FA49AA" w:rsidRDefault="00D5650D" w:rsidP="0000457C">
      <w:pPr>
        <w:pStyle w:val="muutmisksk"/>
        <w:widowControl/>
      </w:pPr>
      <w:r>
        <w:t>2. Šā panta 1. punktā paredzētais brīdinājums par ietekmi uz veselību atbilst šā likuma 16. panta 6., 10., 11. un 12. punktā noteiktajām prasībām.</w:t>
      </w:r>
    </w:p>
    <w:p w:rsidR="00FA49AA" w:rsidRDefault="00D5650D" w:rsidP="0000457C">
      <w:pPr>
        <w:pStyle w:val="muutmisksk"/>
        <w:widowControl/>
      </w:pPr>
      <w:r>
        <w:t>3. Papildus šā panta 2. punkta prasībām brīdinājums par tabakas karsēšanas izstrādājumu ietekmi uz veselību:</w:t>
      </w:r>
    </w:p>
    <w:p w:rsidR="00FA49AA" w:rsidRDefault="00D5650D" w:rsidP="0000457C">
      <w:pPr>
        <w:pStyle w:val="muudetavtekst"/>
      </w:pPr>
      <w:r>
        <w:t>1) uz taisnstūra paralēlskaldņa formas paciņām un jebkāda kombinētā iepakojuma atrodas paralēli primārā iepakojuma vai kombinētā iepakojuma sānu malai. Brīdinājumu par ietekmi uz veselību teksts atrodas paralēli uz šiem brīdinājumiem paredzētās virsmas izvietotajam galvenajam tekstam;</w:t>
      </w:r>
    </w:p>
    <w:p w:rsidR="00FA49AA" w:rsidRDefault="00D5650D" w:rsidP="0000457C">
      <w:pPr>
        <w:pStyle w:val="muudetavtekst"/>
      </w:pPr>
      <w:r>
        <w:t>2) atrodas uz divām lielākajām primārā iepakojuma un jebkāda kombinētā iepakojuma virsmām;</w:t>
      </w:r>
    </w:p>
    <w:p w:rsidR="00CB4A82" w:rsidRDefault="00D5650D" w:rsidP="0000457C">
      <w:pPr>
        <w:pStyle w:val="muudetavtekst"/>
      </w:pPr>
      <w:r>
        <w:t>3) sedz 30 % no attiecīgās primārā iepakojuma un jebkāda kombinētā iepakojuma virsmas.”;</w:t>
      </w:r>
    </w:p>
    <w:p w:rsidR="00D5650D" w:rsidRDefault="00544F55" w:rsidP="0000457C">
      <w:pPr>
        <w:pStyle w:val="muutmisksk"/>
        <w:keepNext/>
        <w:keepLines/>
        <w:widowControl/>
      </w:pPr>
      <w:r>
        <w:rPr>
          <w:b/>
        </w:rPr>
        <w:t>10)</w:t>
      </w:r>
      <w:r>
        <w:t xml:space="preserve"> likuma 27. panta 1. punktu groza un izsaka šādā redakcijā:</w:t>
      </w:r>
    </w:p>
    <w:p w:rsidR="00D5650D" w:rsidRDefault="00D5650D" w:rsidP="0000457C">
      <w:pPr>
        <w:pStyle w:val="muutmisksk"/>
        <w:widowControl/>
      </w:pPr>
      <w:r>
        <w:t>“1. Personām, kas jaunākas par 18 gadiem (turpmāk “nepilngadīgas personas”), aizliegts smēķēt vai lietot tabakas izstrādājumus vai tādus izstrādājumus, ko lieto tādā pašā veidā kā tabakas izstrādājumus.”;</w:t>
      </w:r>
    </w:p>
    <w:p w:rsidR="00D5650D" w:rsidRDefault="00544F55" w:rsidP="0000457C">
      <w:pPr>
        <w:pStyle w:val="muutmisksk"/>
        <w:keepNext/>
        <w:keepLines/>
        <w:widowControl/>
      </w:pPr>
      <w:r>
        <w:rPr>
          <w:b/>
        </w:rPr>
        <w:t>11)</w:t>
      </w:r>
      <w:r>
        <w:t xml:space="preserve"> likuma 29. panta 2. punktu groza un izsaka šādā redakcijā:</w:t>
      </w:r>
    </w:p>
    <w:p w:rsidR="00D5650D" w:rsidRDefault="001B35A3" w:rsidP="0000457C">
      <w:pPr>
        <w:pStyle w:val="muutmisksk"/>
        <w:widowControl/>
      </w:pPr>
      <w:r>
        <w:t>“2. Aizliegumu, kas noteikts šā panta 1. punktā, piemēro attiecībā uz elektroniskajām cigaretēm un tabakas karsēšanas izstrādājumiem, un 1. punkta 1) un 2) apakšpunktu piemēro arī attiecībā uz citiem izstrādājumiem, kurus lieto tādā pašā veidā kā tabakas izstrādājumus.”;</w:t>
      </w:r>
    </w:p>
    <w:p w:rsidR="00D5650D" w:rsidRDefault="00544F55" w:rsidP="0000457C">
      <w:pPr>
        <w:pStyle w:val="muutmisksk"/>
        <w:keepNext/>
        <w:keepLines/>
        <w:widowControl/>
      </w:pPr>
      <w:r>
        <w:rPr>
          <w:b/>
        </w:rPr>
        <w:t>12)</w:t>
      </w:r>
      <w:r>
        <w:t xml:space="preserve"> likuma 30. panta 5. punktu groza un izsaka šādā redakcijā:</w:t>
      </w:r>
    </w:p>
    <w:p w:rsidR="00D5650D" w:rsidRDefault="009F6B90" w:rsidP="0000457C">
      <w:pPr>
        <w:pStyle w:val="muutmisksk"/>
        <w:widowControl/>
      </w:pPr>
      <w:r>
        <w:t>“5. Šā panta 2. punktā noteiktie ierobežojumi tiek piemēroti arī attiecībā uz elektronisko cigarešu un tabakas karsēšanas izstrādājumu patēriņu.”;</w:t>
      </w:r>
    </w:p>
    <w:p w:rsidR="00C3258B" w:rsidRDefault="00544F55" w:rsidP="0000457C">
      <w:pPr>
        <w:pStyle w:val="muutmisksk"/>
        <w:keepNext/>
        <w:keepLines/>
        <w:widowControl/>
      </w:pPr>
      <w:r>
        <w:rPr>
          <w:b/>
        </w:rPr>
        <w:t>13)</w:t>
      </w:r>
      <w:r>
        <w:t xml:space="preserve"> likuma 31. pantu groza un izsaka šādā redakcijā:</w:t>
      </w:r>
    </w:p>
    <w:p w:rsidR="00C3258B" w:rsidRPr="00C3258B" w:rsidRDefault="00C3258B" w:rsidP="0000457C">
      <w:pPr>
        <w:pStyle w:val="muutmisksk"/>
        <w:widowControl/>
        <w:rPr>
          <w:b/>
        </w:rPr>
      </w:pPr>
      <w:r>
        <w:t>“</w:t>
      </w:r>
      <w:r>
        <w:rPr>
          <w:b/>
          <w:bCs/>
        </w:rPr>
        <w:t>31. pants.</w:t>
      </w:r>
      <w:r>
        <w:rPr>
          <w:b/>
        </w:rPr>
        <w:t xml:space="preserve"> Smēķēšana un tabakas karsēšanas izstrādājumu lietošana ēdināšanas uzņēmumos</w:t>
      </w:r>
    </w:p>
    <w:p w:rsidR="00C3258B" w:rsidRDefault="00C3258B" w:rsidP="0000457C">
      <w:pPr>
        <w:pStyle w:val="muutmisksk"/>
        <w:widowControl/>
      </w:pPr>
      <w:r>
        <w:t>1. Smēķēšana un tabakas karsēšanas izstrādājumu lietošana ēdināšanas uzņēmumos ir atļauta tikai īpaši paredzētās smēķēšanas zonās (smēķētavās) vai sezonāli paplašinātā āra teritorijā ēdināšanas uzņēmuma tiešā tuvumā.</w:t>
      </w:r>
    </w:p>
    <w:p w:rsidR="00C3258B" w:rsidRDefault="00C3258B" w:rsidP="0000457C">
      <w:pPr>
        <w:pStyle w:val="muutmisksk"/>
        <w:widowControl/>
      </w:pPr>
      <w:r>
        <w:lastRenderedPageBreak/>
        <w:t>2. Šā panta 1. punktā minētajā smēķētavā netiek nodrošināta ēdināšana, proti, tajā netiek pārdoti ēdieni, ieskaitot to sagatavošanu un pasniegšanu patēriņam uz vietas vai to pasniegšanu patēriņam uz vietas.</w:t>
      </w:r>
    </w:p>
    <w:p w:rsidR="00C3258B" w:rsidRDefault="00C3258B" w:rsidP="0000457C">
      <w:pPr>
        <w:pStyle w:val="muutmisksk"/>
        <w:widowControl/>
      </w:pPr>
      <w:r>
        <w:t>3. Pārdevējam ir tiesības neapkalpot personas, kuras neievēro aizliegumus un ierobežojumus attiecībā uz smēķēšanu un tabakas karsēšanas izstrādājumu lietošanu ēdināšanas uzņēmumā, un lūgt tām atstāt telpas.”;</w:t>
      </w:r>
    </w:p>
    <w:p w:rsidR="009F6B90" w:rsidRDefault="00C3258B" w:rsidP="0000457C">
      <w:pPr>
        <w:pStyle w:val="muutmisksk"/>
        <w:keepNext/>
        <w:keepLines/>
        <w:widowControl/>
      </w:pPr>
      <w:r>
        <w:rPr>
          <w:b/>
        </w:rPr>
        <w:t>14)</w:t>
      </w:r>
      <w:r>
        <w:t xml:space="preserve"> likuma 47. pantu groza un izsaka šādā redakcijā:</w:t>
      </w:r>
    </w:p>
    <w:p w:rsidR="009F6B90" w:rsidRDefault="009F6B90" w:rsidP="0000457C">
      <w:pPr>
        <w:pStyle w:val="muutmisksk"/>
        <w:widowControl/>
      </w:pPr>
      <w:r>
        <w:t>“Ja nepilngadīga persona smēķē vai lieto tabakas izstrādājumu vai tādu izstrādājumu, ko lieto tādā pašā veidā kā tabakas izstrādājumus, par šo pārkāpumu piemērojams naudas sods līdz 10 naudas soda vienībām.”;</w:t>
      </w:r>
    </w:p>
    <w:p w:rsidR="009C5189" w:rsidRDefault="00C3258B" w:rsidP="0000457C">
      <w:pPr>
        <w:pStyle w:val="muutmisksk"/>
        <w:keepNext/>
        <w:keepLines/>
        <w:widowControl/>
      </w:pPr>
      <w:r>
        <w:rPr>
          <w:b/>
        </w:rPr>
        <w:t>15)</w:t>
      </w:r>
      <w:r>
        <w:t xml:space="preserve"> likuma 49. pantu groza un izsaka šādā redakcijā:</w:t>
      </w:r>
    </w:p>
    <w:p w:rsidR="009C5189" w:rsidRDefault="009C5189" w:rsidP="0000457C">
      <w:pPr>
        <w:pStyle w:val="muutmisksk"/>
        <w:widowControl/>
      </w:pPr>
      <w:r>
        <w:t>“Par smēķēšanu vai tabakas karsēšanas izstrādājuma vai tāda izstrādājuma, ko lieto tādā pašā veidā kā tabakas izstrādājumus, lietošanu vietā, kurā ir aizliegts smēķēt vai lietot tabakas karsēšanas izstrādājumu vai tādu izstrādājumu, ko lieto tādā pašā veidā kā tabakas izstrādājumus, piemēro naudas sodu līdz 20 naudas soda vienībām.”;</w:t>
      </w:r>
    </w:p>
    <w:p w:rsidR="009C5189" w:rsidRDefault="00C3258B" w:rsidP="0000457C">
      <w:pPr>
        <w:pStyle w:val="muutmisksk"/>
        <w:keepNext/>
        <w:keepLines/>
        <w:widowControl/>
      </w:pPr>
      <w:r>
        <w:rPr>
          <w:b/>
        </w:rPr>
        <w:t>16)</w:t>
      </w:r>
      <w:r>
        <w:t xml:space="preserve"> likuma 50. panta 1. punktu groza un izsaka šādā redakcijā:</w:t>
      </w:r>
    </w:p>
    <w:p w:rsidR="009C5189" w:rsidRDefault="009C5189" w:rsidP="0000457C">
      <w:pPr>
        <w:pStyle w:val="muutmisksk"/>
        <w:widowControl/>
      </w:pPr>
      <w:r>
        <w:t>“1. Par smēķēšanas vai tabakas karsēšanas izstrādājuma vai tāda izstrādājuma, ko lieto tādā pašā veidā kā tabakas izstrādājumus, lietošanas atļaušanu vietā, kurā ar likumu aizliegts smēķēt vai lietot tabakas karsēšanas izstrādājumu vai tādu izstrādājumu, ko lieto tādā pašā veidā kā tabakas izstrādājumus, kā arī par smēķētavas prasību pārkāpšanu piemēro naudas sodu līdz 200 naudas soda vienībām.”.</w:t>
      </w:r>
    </w:p>
    <w:p w:rsidR="000F1F61" w:rsidRDefault="000F1F61" w:rsidP="0000457C">
      <w:pPr>
        <w:pStyle w:val="muutmisksk"/>
        <w:widowControl/>
      </w:pPr>
      <w:r>
        <w:t>Igaunijas parlamenta priekšsēdētājs</w:t>
      </w:r>
    </w:p>
    <w:p w:rsidR="000F1F61" w:rsidRDefault="000F1F61" w:rsidP="0000457C">
      <w:pPr>
        <w:pStyle w:val="muutmisksk"/>
        <w:widowControl/>
      </w:pPr>
      <w:r>
        <w:t>Tallinā, 2019. gada [datums]</w:t>
      </w:r>
    </w:p>
    <w:p w:rsidR="000F1F61" w:rsidRPr="000F1F61" w:rsidRDefault="000F1F61" w:rsidP="0000457C">
      <w:pPr>
        <w:pStyle w:val="muutmisksk"/>
        <w:widowControl/>
      </w:pPr>
      <w:r>
        <w:t>Ierosinājusi Igaunijas Republikas valdība 2019. gada [datums]</w:t>
      </w:r>
    </w:p>
    <w:p w:rsidR="000F1F61" w:rsidRPr="000F1F61" w:rsidRDefault="000F1F61" w:rsidP="0000457C">
      <w:pPr>
        <w:pStyle w:val="muutmisksk"/>
        <w:widowControl/>
      </w:pPr>
      <w:r>
        <w:t>Elektroniskais paraksts</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16" w:rsidRDefault="00680416" w:rsidP="0000457C">
      <w:pPr>
        <w:spacing w:after="0" w:line="240" w:lineRule="auto"/>
      </w:pPr>
      <w:r>
        <w:separator/>
      </w:r>
    </w:p>
  </w:endnote>
  <w:endnote w:type="continuationSeparator" w:id="0">
    <w:p w:rsidR="00680416" w:rsidRDefault="00680416"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16" w:rsidRDefault="00680416" w:rsidP="0000457C">
      <w:pPr>
        <w:spacing w:after="0" w:line="240" w:lineRule="auto"/>
      </w:pPr>
      <w:r>
        <w:separator/>
      </w:r>
    </w:p>
  </w:footnote>
  <w:footnote w:type="continuationSeparator" w:id="0">
    <w:p w:rsidR="00680416" w:rsidRDefault="00680416"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9F"/>
    <w:rsid w:val="0000457C"/>
    <w:rsid w:val="00056899"/>
    <w:rsid w:val="000707A0"/>
    <w:rsid w:val="00083F9E"/>
    <w:rsid w:val="0009318D"/>
    <w:rsid w:val="000C419A"/>
    <w:rsid w:val="000E6B89"/>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80416"/>
    <w:rsid w:val="006A413B"/>
    <w:rsid w:val="006F0FE1"/>
    <w:rsid w:val="00702706"/>
    <w:rsid w:val="00720577"/>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A37D93"/>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047A2-123B-447E-B6B4-4FF432C9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lv-LV"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lang w:val="lv-LV" w:eastAsia="en-GB" w:bidi="en-GB"/>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lv-LV"/>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D05E-37B6-4E19-9A2E-015E9B1E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5065</Characters>
  <Application>Microsoft Office Word</Application>
  <DocSecurity>0</DocSecurity>
  <Lines>42</Lines>
  <Paragraphs>11</Paragraphs>
  <ScaleCrop>false</ScaleCrop>
  <HeadingPairs>
    <vt:vector size="6" baseType="variant">
      <vt:variant>
        <vt:lpstr>Nosaukums</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RIK</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Liu, Lei</cp:lastModifiedBy>
  <cp:revision>2</cp:revision>
  <cp:lastPrinted>2019-03-26T08:28:00Z</cp:lastPrinted>
  <dcterms:created xsi:type="dcterms:W3CDTF">2019-06-21T08:46:00Z</dcterms:created>
  <dcterms:modified xsi:type="dcterms:W3CDTF">2019-06-21T08:46:00Z</dcterms:modified>
</cp:coreProperties>
</file>