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7C" w:rsidRPr="00AF4478" w:rsidRDefault="0000457C" w:rsidP="0000457C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  <w:lang w:val="da-DK"/>
        </w:rPr>
      </w:pPr>
      <w:r w:rsidRPr="00AF4478">
        <w:rPr>
          <w:rFonts w:ascii="Courier New" w:hAnsi="Courier New"/>
          <w:snapToGrid/>
          <w:lang w:val="da-DK"/>
        </w:rPr>
        <w:t>1. ------IND- 2019 0280 EE- PL- ------ 20190621 --- --- PROJET</w:t>
      </w:r>
    </w:p>
    <w:p w:rsidR="00E97C8D" w:rsidRPr="00AF4478" w:rsidRDefault="0000457C" w:rsidP="0000457C">
      <w:pPr>
        <w:pStyle w:val="Default"/>
        <w:jc w:val="right"/>
        <w:rPr>
          <w:lang w:val="da-DK"/>
        </w:rPr>
      </w:pPr>
      <w:r w:rsidRPr="00AF4478">
        <w:rPr>
          <w:lang w:val="da-DK"/>
        </w:rPr>
        <w:t>PROJEKT</w:t>
      </w:r>
    </w:p>
    <w:p w:rsidR="00E97C8D" w:rsidRPr="00AF4478" w:rsidRDefault="00E97C8D" w:rsidP="0000457C">
      <w:pPr>
        <w:pStyle w:val="Default"/>
        <w:jc w:val="right"/>
        <w:rPr>
          <w:lang w:val="da-DK"/>
        </w:rPr>
      </w:pPr>
      <w:r w:rsidRPr="00AF4478">
        <w:rPr>
          <w:lang w:val="da-DK"/>
        </w:rPr>
        <w:t>…….2019 r.</w:t>
      </w:r>
    </w:p>
    <w:p w:rsidR="006F0FE1" w:rsidRPr="00AF4478" w:rsidRDefault="006F0FE1" w:rsidP="0000457C">
      <w:pPr>
        <w:pStyle w:val="Default"/>
        <w:ind w:left="7788"/>
        <w:jc w:val="center"/>
        <w:rPr>
          <w:lang w:val="da-DK"/>
        </w:rPr>
      </w:pPr>
    </w:p>
    <w:p w:rsidR="00DF1C9F" w:rsidRPr="006F0FE1" w:rsidRDefault="00DF1C9F" w:rsidP="0000457C">
      <w:pPr>
        <w:pStyle w:val="eelnupealkiri"/>
        <w:widowControl/>
        <w:rPr>
          <w:szCs w:val="32"/>
        </w:rPr>
      </w:pPr>
      <w:r>
        <w:t>Ustawa zmieniająca ustawę o wyrobach tytoniowych</w:t>
      </w:r>
    </w:p>
    <w:p w:rsidR="00DF1C9F" w:rsidRPr="000F1F61" w:rsidRDefault="00DF1C9F" w:rsidP="0000457C">
      <w:pPr>
        <w:pStyle w:val="muudatustesissejuhatus"/>
        <w:keepNext/>
        <w:keepLines/>
        <w:widowControl/>
      </w:pPr>
      <w:r>
        <w:t>W ustawie o wyrobach tytoniowych wprowadza się następujące zmiany:</w:t>
      </w:r>
    </w:p>
    <w:p w:rsidR="00DF1C9F" w:rsidRDefault="00DF1C9F" w:rsidP="0000457C">
      <w:pPr>
        <w:pStyle w:val="muutmisksk"/>
        <w:keepNext/>
        <w:keepLines/>
        <w:widowControl/>
      </w:pPr>
      <w:r>
        <w:rPr>
          <w:b/>
        </w:rPr>
        <w:t xml:space="preserve">1) </w:t>
      </w:r>
      <w:r>
        <w:t>§ 3 ust. 2 otrzymuje brzmienie:</w:t>
      </w:r>
    </w:p>
    <w:p w:rsidR="00F3659F" w:rsidRDefault="00F3659F" w:rsidP="0000457C">
      <w:pPr>
        <w:pStyle w:val="muutmisksk"/>
        <w:widowControl/>
      </w:pPr>
      <w:r>
        <w:t>„(2) Wyroby tytoniowe klasyfikuje się jako wyroby tytoniowe do palenia, a także jako bezdymne i podgrzewane wyroby tytoniowe.”;</w:t>
      </w:r>
    </w:p>
    <w:p w:rsidR="00CB4A82" w:rsidRDefault="00CB4A82" w:rsidP="0000457C">
      <w:pPr>
        <w:pStyle w:val="muutmisksk"/>
        <w:keepNext/>
        <w:keepLines/>
        <w:widowControl/>
      </w:pPr>
      <w:r>
        <w:rPr>
          <w:b/>
        </w:rPr>
        <w:t xml:space="preserve">2) </w:t>
      </w:r>
      <w:r>
        <w:t>§ 3 ust. 4 otrzymuje brzmienie:</w:t>
      </w:r>
    </w:p>
    <w:p w:rsidR="00F3659F" w:rsidRDefault="00AF4478" w:rsidP="0000457C">
      <w:pPr>
        <w:pStyle w:val="muutmisksk"/>
        <w:widowControl/>
      </w:pPr>
      <w:r>
        <w:t>„</w:t>
      </w:r>
      <w:bookmarkStart w:id="0" w:name="_GoBack"/>
      <w:bookmarkEnd w:id="0"/>
      <w:r w:rsidR="00FA49AA">
        <w:t>(4) Bezdymny wyrób tytoniowy to wyrób tytoniowy (w tym tytoń do żucia, tytoń do nosa i tytoń do stosowania doustnego), którego użycie nie wymaga procesu spalania i który nie jest podgrzewanym wyrobem tytoniowym.”;</w:t>
      </w:r>
    </w:p>
    <w:p w:rsidR="00F3659F" w:rsidRDefault="006405C9" w:rsidP="0000457C">
      <w:pPr>
        <w:pStyle w:val="muutmisksk"/>
        <w:keepNext/>
        <w:keepLines/>
        <w:widowControl/>
      </w:pPr>
      <w:r>
        <w:rPr>
          <w:b/>
        </w:rPr>
        <w:t>3)</w:t>
      </w:r>
      <w:r>
        <w:t xml:space="preserve"> do §3 dodaje się ust. 6 w brzmieniu:</w:t>
      </w:r>
    </w:p>
    <w:p w:rsidR="00302BE2" w:rsidRDefault="00F3659F" w:rsidP="0000457C">
      <w:pPr>
        <w:pStyle w:val="muutmisksk"/>
        <w:widowControl/>
      </w:pPr>
      <w:r>
        <w:t>„(6) Podgrzewany wyrób tytoniowy to nowatorski wyrób tytoniowy, którego użycie odbywa się bez procesu spalania tytoniu, w drodze wykorzystania akcesoriów do podgrzewania tytoniu.”;</w:t>
      </w:r>
    </w:p>
    <w:p w:rsidR="00B0041E" w:rsidRDefault="006405C9" w:rsidP="0000457C">
      <w:pPr>
        <w:pStyle w:val="muutmisksk"/>
        <w:keepNext/>
        <w:keepLines/>
        <w:widowControl/>
      </w:pPr>
      <w:r>
        <w:rPr>
          <w:b/>
        </w:rPr>
        <w:t>4)</w:t>
      </w:r>
      <w:r>
        <w:t xml:space="preserve"> pierwsze zdanie §8 ust. 5 otrzymuje brzmienie:</w:t>
      </w:r>
    </w:p>
    <w:p w:rsidR="00B0041E" w:rsidRDefault="00B0041E" w:rsidP="0000457C">
      <w:pPr>
        <w:pStyle w:val="muutmisksk"/>
        <w:widowControl/>
      </w:pPr>
      <w:r>
        <w:t>„Papierosy, tytoń do samodzielnego skręcania papierosów, a także podgrzewane wyroby tytoniowe nie mogą mieć aromatu charakterystycznego.”;</w:t>
      </w:r>
    </w:p>
    <w:p w:rsidR="000C419A" w:rsidRDefault="000C419A" w:rsidP="0000457C">
      <w:pPr>
        <w:pStyle w:val="muutmisksk"/>
        <w:keepNext/>
        <w:keepLines/>
        <w:widowControl/>
      </w:pPr>
      <w:r>
        <w:rPr>
          <w:b/>
        </w:rPr>
        <w:t>5)</w:t>
      </w:r>
      <w:r>
        <w:t xml:space="preserve"> pierwsze zdanie §8 ust. 6 otrzymuje brzmienie:</w:t>
      </w:r>
    </w:p>
    <w:p w:rsidR="000C419A" w:rsidRDefault="000C419A" w:rsidP="0000457C">
      <w:pPr>
        <w:pStyle w:val="muutmisksk"/>
        <w:widowControl/>
      </w:pPr>
      <w:r>
        <w:t>„Składniki papierosów, tytoniu do samodzielnego skręcania papierosów, a także podgrzewanych wyrobów tytoniowych – takie jak filtry, bibułki, opakowania i kapsułki – nie mogą być aromatyzowane.”;</w:t>
      </w:r>
    </w:p>
    <w:p w:rsidR="00F3659F" w:rsidRDefault="00544F55" w:rsidP="0000457C">
      <w:pPr>
        <w:pStyle w:val="muutmisksk"/>
        <w:keepNext/>
        <w:keepLines/>
        <w:widowControl/>
      </w:pPr>
      <w:r>
        <w:rPr>
          <w:b/>
        </w:rPr>
        <w:t>6)</w:t>
      </w:r>
      <w:r>
        <w:t xml:space="preserve"> pierwsze zdanie §12 ust. 5 otrzymuje brzmienie:</w:t>
      </w:r>
    </w:p>
    <w:p w:rsidR="00F3659F" w:rsidRDefault="002A4570" w:rsidP="0000457C">
      <w:pPr>
        <w:pStyle w:val="muutmisksk"/>
        <w:widowControl/>
      </w:pPr>
      <w:r>
        <w:t>„Informacje, o których mowa w ust. 1 niniejszej sekcji mogą być umieszczane na naklejkach na opakowaniu podstawowym i opakowaniu kombinowanym wyrobu tytoniowego, z wyjątkiem papierosów i tytoniu do samodzielnego skręcania papierosów.”;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7)</w:t>
      </w:r>
      <w:r>
        <w:t xml:space="preserve"> tytuł § 13 otrzymuje brzmienie:</w:t>
      </w:r>
    </w:p>
    <w:p w:rsidR="00CB4A82" w:rsidRDefault="00CB4A82" w:rsidP="0000457C">
      <w:pPr>
        <w:pStyle w:val="muutmisksk"/>
        <w:widowControl/>
      </w:pPr>
      <w:r>
        <w:rPr>
          <w:b/>
        </w:rPr>
        <w:t>„§ 13. Ostrzeżenia zdrowotne na wyrobach tytoniowych do palenia</w:t>
      </w:r>
      <w:r>
        <w:t>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8)</w:t>
      </w:r>
      <w:r>
        <w:t xml:space="preserve"> § 13 ust. 1 otrzymuje brzmienie:</w:t>
      </w:r>
    </w:p>
    <w:p w:rsidR="00CB4A82" w:rsidRDefault="00CB4A82" w:rsidP="0000457C">
      <w:pPr>
        <w:pStyle w:val="muutmisksk"/>
        <w:widowControl/>
      </w:pPr>
      <w:r>
        <w:t>„(1) Ostrzeżenia zdrowotne na wyrobach tytoniowych do palenia dzielą się na ostrzeżenia ogólne, komunikaty informacyjne i mieszane ostrzeżenia zdrowotne.”;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lastRenderedPageBreak/>
        <w:t>9)</w:t>
      </w:r>
      <w:r>
        <w:t xml:space="preserve"> do ustawy dodaje się § 13</w:t>
      </w:r>
      <w:r>
        <w:rPr>
          <w:vertAlign w:val="superscript"/>
        </w:rPr>
        <w:t>1</w:t>
      </w:r>
      <w:r>
        <w:t xml:space="preserve"> w brzmieniu:</w:t>
      </w:r>
    </w:p>
    <w:p w:rsidR="00CB4A82" w:rsidRDefault="00CB4A82" w:rsidP="0000457C">
      <w:pPr>
        <w:pStyle w:val="muutmisksk"/>
        <w:widowControl/>
        <w:rPr>
          <w:b/>
        </w:rPr>
      </w:pPr>
      <w:r>
        <w:t>„</w:t>
      </w:r>
      <w:r>
        <w:rPr>
          <w:b/>
        </w:rPr>
        <w:t>13</w:t>
      </w:r>
      <w:r>
        <w:rPr>
          <w:b/>
          <w:vertAlign w:val="superscript"/>
        </w:rPr>
        <w:t>1</w:t>
      </w:r>
      <w:r>
        <w:rPr>
          <w:b/>
        </w:rPr>
        <w:t>. Ostrzeżenie zdrowotne na podgrzewanych wyrobach tytoniowych</w:t>
      </w:r>
    </w:p>
    <w:p w:rsidR="00FA49AA" w:rsidRDefault="00FA49AA" w:rsidP="0000457C">
      <w:pPr>
        <w:pStyle w:val="muutmisksk"/>
        <w:widowControl/>
      </w:pPr>
      <w:r>
        <w:t>(1) Na każdym opakowaniu podstawowym i opakowaniu kombinowanym podgrzewanych wyrobów tytoniowych umieszcza się następujące ostrzeżenie zdrowotne:</w:t>
      </w:r>
    </w:p>
    <w:p w:rsidR="00FA49AA" w:rsidRDefault="00FA49AA" w:rsidP="0000457C">
      <w:pPr>
        <w:pStyle w:val="muudetavtekst"/>
      </w:pPr>
      <w:r>
        <w:t>„Ten wyrób tytoniowy szkodzi Twojemu zdrowiu i powoduje uzależnienie.”.</w:t>
      </w:r>
    </w:p>
    <w:p w:rsidR="00FA49AA" w:rsidRDefault="00D5650D" w:rsidP="0000457C">
      <w:pPr>
        <w:pStyle w:val="muutmisksk"/>
        <w:widowControl/>
      </w:pPr>
      <w:r>
        <w:t>(2) Ostrzeżenie zdrowotne, o którym mowa w ust. 1 niniejszej sekcji spełnia wymogi określone w art. 16 ust. 6, 10, 11 i 12 niniejszej ustawy.</w:t>
      </w:r>
    </w:p>
    <w:p w:rsidR="00FA49AA" w:rsidRDefault="00D5650D" w:rsidP="0000457C">
      <w:pPr>
        <w:pStyle w:val="muutmisksk"/>
        <w:widowControl/>
      </w:pPr>
      <w:r>
        <w:t>(3) Oprócz spełnienia wymogów, o których mowa w ust. 2 niniejszej sekcji, ostrzeżenie zdrowotne na podgrzewanych wyrobach tytoniowych:</w:t>
      </w:r>
    </w:p>
    <w:p w:rsidR="00FA49AA" w:rsidRDefault="00D5650D" w:rsidP="0000457C">
      <w:pPr>
        <w:pStyle w:val="muudetavtekst"/>
      </w:pPr>
      <w:r>
        <w:t>1) na paczkach prostopadłościennych i ewentualnym opakowaniu kombinowanym umieszcza się równolegle względem krawędzi bocznej opakowania podstawowego lub opakowania kombinowanego. Tekst ostrzeżeń zdrowotnych umieszcza się równolegle względem tekstu głównego na płaszczyźnie zarezerwowanej dla tych ostrzeżeń;</w:t>
      </w:r>
    </w:p>
    <w:p w:rsidR="00FA49AA" w:rsidRDefault="00D5650D" w:rsidP="0000457C">
      <w:pPr>
        <w:pStyle w:val="muudetavtekst"/>
      </w:pPr>
      <w:r>
        <w:t>2) jest widoczne na dwóch największych powierzchniach opakowania podstawowego i ewentualnego opakowania kombinowanego;</w:t>
      </w:r>
    </w:p>
    <w:p w:rsidR="00CB4A82" w:rsidRDefault="00AF4478" w:rsidP="0000457C">
      <w:pPr>
        <w:pStyle w:val="muudetavtekst"/>
      </w:pPr>
      <w:r>
        <w:t>3</w:t>
      </w:r>
      <w:r w:rsidR="00D5650D">
        <w:t>) zajmuje 30 % powierzchni opakowania podstawowego i ewentualnego opakowania kombinowanego.”;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10)</w:t>
      </w:r>
      <w:r>
        <w:t xml:space="preserve"> § 27 ust. 1 otrzymuje brzmienie:</w:t>
      </w:r>
    </w:p>
    <w:p w:rsidR="00D5650D" w:rsidRDefault="00D5650D" w:rsidP="0000457C">
      <w:pPr>
        <w:pStyle w:val="muutmisksk"/>
        <w:widowControl/>
      </w:pPr>
      <w:r>
        <w:t xml:space="preserve">„(1) Osobie poniżej osiemnastego roku życia (zwanej dalej </w:t>
      </w:r>
      <w:r>
        <w:rPr>
          <w:i/>
        </w:rPr>
        <w:t>osobą małoletnią</w:t>
      </w:r>
      <w:r>
        <w:t>) nie wolno palić ani używać wyrobu tytoniowego lub wyrobu używanego w taki sam sposób jak wyroby tytoniowe.”;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11)</w:t>
      </w:r>
      <w:r>
        <w:t xml:space="preserve"> § 29 ust. 2 otrzymuje brzmienie:</w:t>
      </w:r>
    </w:p>
    <w:p w:rsidR="00D5650D" w:rsidRDefault="001B35A3" w:rsidP="0000457C">
      <w:pPr>
        <w:pStyle w:val="muutmisksk"/>
        <w:widowControl/>
      </w:pPr>
      <w:r>
        <w:t>„(2) Zakaz, o którym mowa w ust. 1 niniejszej sekcji ma zastosowanie do papierosów elektronicznych i podgrzewanych wyrobów tytoniowych, a ust. 1 pkt 1 i 2 także do innych wyrobów używanych w taki sam sposób jak wyroby tytoniowe.”;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>12)</w:t>
      </w:r>
      <w:r>
        <w:t xml:space="preserve"> § 30 ust. 5 otrzymuje brzmienie:</w:t>
      </w:r>
    </w:p>
    <w:p w:rsidR="00D5650D" w:rsidRDefault="009F6B90" w:rsidP="0000457C">
      <w:pPr>
        <w:pStyle w:val="muutmisksk"/>
        <w:widowControl/>
      </w:pPr>
      <w:r>
        <w:t>„(5) Ograniczenia ustanowione w ust. 2 niniejszej sekcji mają także zastosowanie do użycia papierosów elektronicznych i podgrzewanych wyrobów tytoniowych.”;</w:t>
      </w:r>
    </w:p>
    <w:p w:rsidR="00C3258B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13) </w:t>
      </w:r>
      <w:r>
        <w:t>§ 31 otrzymuje brzmienie:</w:t>
      </w:r>
    </w:p>
    <w:p w:rsidR="00C3258B" w:rsidRPr="00C3258B" w:rsidRDefault="00C3258B" w:rsidP="0000457C">
      <w:pPr>
        <w:pStyle w:val="muutmisksk"/>
        <w:widowControl/>
        <w:rPr>
          <w:b/>
        </w:rPr>
      </w:pPr>
      <w:r>
        <w:rPr>
          <w:b/>
        </w:rPr>
        <w:t>„§ 31. Palenie i konsumowanie podgrzewanych wyrobów tytoniowych w placówkach gastronomicznych</w:t>
      </w:r>
    </w:p>
    <w:p w:rsidR="00C3258B" w:rsidRDefault="00C3258B" w:rsidP="0000457C">
      <w:pPr>
        <w:pStyle w:val="muutmisksk"/>
        <w:widowControl/>
      </w:pPr>
      <w:r>
        <w:t>(1) W placówkach gastronomicznych palenie i konsumowanie podgrzewanych wyrobów tytoniowych jest dozwolone tylko w specjalnie wyznaczonych strefach dla palących (palarniach) lub na sezonowo wyznaczanym obszarze na zewnątrz, w bezpośrednim sąsiedztwie placówki gastronomicznej.</w:t>
      </w:r>
    </w:p>
    <w:p w:rsidR="00C3258B" w:rsidRDefault="00C3258B" w:rsidP="0000457C">
      <w:pPr>
        <w:pStyle w:val="muutmisksk"/>
        <w:widowControl/>
      </w:pPr>
      <w:r>
        <w:t>(2) Palarnia, o której mowa w ust. 1 niniejszej sekcji nie jest obsługiwana w rozumieniu sprzedaży posiłków, co obejmuje ich przygotowanie i serwowanie do spożycia na terenie placówki lub ich serwowanie do spożycia na terenie placówki.</w:t>
      </w:r>
    </w:p>
    <w:p w:rsidR="00C3258B" w:rsidRDefault="00C3258B" w:rsidP="0000457C">
      <w:pPr>
        <w:pStyle w:val="muutmisksk"/>
        <w:widowControl/>
      </w:pPr>
      <w:r>
        <w:lastRenderedPageBreak/>
        <w:t>(3) Sprzedawca ma prawo odmówić obsługi osobie, która ignoruje zakazy i ograniczenia dotyczące palenia i konsumowania podgrzewanych wyrobów tytoniowych w placówce gastronomicznej, a także poprosić taką osobę o opuszczenie lokalu.”;</w:t>
      </w:r>
    </w:p>
    <w:p w:rsidR="009F6B90" w:rsidRDefault="00C3258B" w:rsidP="0000457C">
      <w:pPr>
        <w:pStyle w:val="muutmisksk"/>
        <w:keepNext/>
        <w:keepLines/>
        <w:widowControl/>
      </w:pPr>
      <w:r>
        <w:rPr>
          <w:b/>
        </w:rPr>
        <w:t>14)</w:t>
      </w:r>
      <w:r>
        <w:t xml:space="preserve"> tekst § 47 zostaje zmieniony i otrzymuje brzmienie:</w:t>
      </w:r>
    </w:p>
    <w:p w:rsidR="009F6B90" w:rsidRDefault="009F6B90" w:rsidP="0000457C">
      <w:pPr>
        <w:pStyle w:val="muutmisksk"/>
        <w:widowControl/>
      </w:pPr>
      <w:r>
        <w:t>„Palenie lub konsumowanie wyrobu tytoniowego lub wyrobu używanego w taki sam sposób jak wyroby tytoniowe przez osobę małoletnią podlega karze grzywny w wysokości do 10 jednostek grzywny.”;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>15)</w:t>
      </w:r>
      <w:r>
        <w:t xml:space="preserve"> tekst § 49 zostaje zmieniony i otrzymuje brzmienie:</w:t>
      </w:r>
    </w:p>
    <w:p w:rsidR="009C5189" w:rsidRDefault="009C5189" w:rsidP="0000457C">
      <w:pPr>
        <w:pStyle w:val="muutmisksk"/>
        <w:widowControl/>
      </w:pPr>
      <w:r>
        <w:t>„Palenie lub konsumowanie podgrzewanego wyrobu tytoniowego lub wyrobu używanego w taki sam sposób jak wyroby tytoniowe w miejscu, w którym zakazane jest palenie lub konsumowanie podgrzewanych wyrobów tytoniowych lub wyrobów używanych w taki sam sposób jak wyroby tytoniowe, podlega karze grzywny w wysokości do 20 jednostek grzywny.”;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>16)</w:t>
      </w:r>
      <w:r>
        <w:t xml:space="preserve"> § 50 ust. 1 otrzymuje brzmienie:</w:t>
      </w:r>
    </w:p>
    <w:p w:rsidR="009C5189" w:rsidRDefault="009C5189" w:rsidP="0000457C">
      <w:pPr>
        <w:pStyle w:val="muutmisksk"/>
        <w:widowControl/>
      </w:pPr>
      <w:r>
        <w:t>„(1) Umożliwianie palenia lub konsumowania podgrzewanego wyrobu tytoniowego lub wyrobu używanego w taki sam sposób jak wyroby tytoniowe w miejscu, w którym zgodnie z prawem nie jest dozwolone palenie lub konsumowanie podgrzewanych wyrobów tytoniowych lub wyrobów używanych w taki sam sposób jak wyroby tytoniowe, a także naruszenie wymogów dotyczących palarni, podlega karze grzywny w wysokości do 200 jednostek grzywny.”;</w:t>
      </w:r>
    </w:p>
    <w:p w:rsidR="000F1F61" w:rsidRDefault="000F1F61" w:rsidP="0000457C">
      <w:pPr>
        <w:pStyle w:val="muutmisksk"/>
        <w:widowControl/>
      </w:pPr>
      <w:r>
        <w:t>Przewodniczący Zgromadzenia Państwowego Estonii</w:t>
      </w:r>
    </w:p>
    <w:p w:rsidR="000F1F61" w:rsidRDefault="000F1F61" w:rsidP="0000457C">
      <w:pPr>
        <w:pStyle w:val="muutmisksk"/>
        <w:widowControl/>
      </w:pPr>
      <w:r>
        <w:t>Tallinn, ........................... 2019 r.</w:t>
      </w:r>
    </w:p>
    <w:p w:rsidR="000F1F61" w:rsidRPr="000F1F61" w:rsidRDefault="000F1F61" w:rsidP="0000457C">
      <w:pPr>
        <w:pStyle w:val="muutmisksk"/>
        <w:widowControl/>
      </w:pPr>
      <w:r>
        <w:t>Z inicjatywy Rządu Republiki w dniu....................... 2019 r.</w:t>
      </w:r>
    </w:p>
    <w:p w:rsidR="000F1F61" w:rsidRPr="000F1F61" w:rsidRDefault="000F1F61" w:rsidP="0000457C">
      <w:pPr>
        <w:pStyle w:val="muutmisksk"/>
        <w:widowControl/>
      </w:pPr>
      <w:r>
        <w:t>Podpisano cyfrowo</w:t>
      </w:r>
    </w:p>
    <w:sectPr w:rsidR="000F1F61" w:rsidRPr="000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95" w:rsidRDefault="00B26B95" w:rsidP="0000457C">
      <w:pPr>
        <w:spacing w:after="0" w:line="240" w:lineRule="auto"/>
      </w:pPr>
      <w:r>
        <w:separator/>
      </w:r>
    </w:p>
  </w:endnote>
  <w:endnote w:type="continuationSeparator" w:id="0">
    <w:p w:rsidR="00B26B95" w:rsidRDefault="00B26B95" w:rsidP="000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95" w:rsidRDefault="00B26B95" w:rsidP="0000457C">
      <w:pPr>
        <w:spacing w:after="0" w:line="240" w:lineRule="auto"/>
      </w:pPr>
      <w:r>
        <w:separator/>
      </w:r>
    </w:p>
  </w:footnote>
  <w:footnote w:type="continuationSeparator" w:id="0">
    <w:p w:rsidR="00B26B95" w:rsidRDefault="00B26B95" w:rsidP="0000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9F"/>
    <w:rsid w:val="0000457C"/>
    <w:rsid w:val="00056899"/>
    <w:rsid w:val="000707A0"/>
    <w:rsid w:val="00083F9E"/>
    <w:rsid w:val="0009318D"/>
    <w:rsid w:val="000C419A"/>
    <w:rsid w:val="000F1F61"/>
    <w:rsid w:val="00117FE9"/>
    <w:rsid w:val="001A0F14"/>
    <w:rsid w:val="001B35A3"/>
    <w:rsid w:val="0028759C"/>
    <w:rsid w:val="00292FDA"/>
    <w:rsid w:val="002A4570"/>
    <w:rsid w:val="00302BE2"/>
    <w:rsid w:val="00316DFA"/>
    <w:rsid w:val="00342FCA"/>
    <w:rsid w:val="004371FC"/>
    <w:rsid w:val="004628AB"/>
    <w:rsid w:val="004A3CE7"/>
    <w:rsid w:val="004B08D1"/>
    <w:rsid w:val="004E2E5A"/>
    <w:rsid w:val="004F68F8"/>
    <w:rsid w:val="00544F55"/>
    <w:rsid w:val="00576D82"/>
    <w:rsid w:val="006405C9"/>
    <w:rsid w:val="006A413B"/>
    <w:rsid w:val="006F0FE1"/>
    <w:rsid w:val="00702706"/>
    <w:rsid w:val="0074406D"/>
    <w:rsid w:val="00762D57"/>
    <w:rsid w:val="00763AA4"/>
    <w:rsid w:val="00787AB4"/>
    <w:rsid w:val="007B3F29"/>
    <w:rsid w:val="007C37B1"/>
    <w:rsid w:val="00830A4B"/>
    <w:rsid w:val="008C30DF"/>
    <w:rsid w:val="008D1695"/>
    <w:rsid w:val="00917A01"/>
    <w:rsid w:val="00937BD8"/>
    <w:rsid w:val="00952903"/>
    <w:rsid w:val="00982C65"/>
    <w:rsid w:val="00986D51"/>
    <w:rsid w:val="009C5189"/>
    <w:rsid w:val="009F6B90"/>
    <w:rsid w:val="00A228FC"/>
    <w:rsid w:val="00A32CCA"/>
    <w:rsid w:val="00AF4478"/>
    <w:rsid w:val="00B0041E"/>
    <w:rsid w:val="00B26B95"/>
    <w:rsid w:val="00BC7517"/>
    <w:rsid w:val="00BD2AD3"/>
    <w:rsid w:val="00C3258B"/>
    <w:rsid w:val="00C57B18"/>
    <w:rsid w:val="00C71875"/>
    <w:rsid w:val="00C71CDF"/>
    <w:rsid w:val="00C74A67"/>
    <w:rsid w:val="00CB4A82"/>
    <w:rsid w:val="00CF6953"/>
    <w:rsid w:val="00D5650D"/>
    <w:rsid w:val="00DD0CD1"/>
    <w:rsid w:val="00DF1C9F"/>
    <w:rsid w:val="00E271A0"/>
    <w:rsid w:val="00E51B56"/>
    <w:rsid w:val="00E97C8D"/>
    <w:rsid w:val="00EA1E2C"/>
    <w:rsid w:val="00EB24C5"/>
    <w:rsid w:val="00F313F5"/>
    <w:rsid w:val="00F3659F"/>
    <w:rsid w:val="00F44C04"/>
    <w:rsid w:val="00F7405A"/>
    <w:rsid w:val="00F757D9"/>
    <w:rsid w:val="00FA49AA"/>
    <w:rsid w:val="00FB29EC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698D2-377A-49E8-AE15-4099A7F9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AC4C-18A4-4326-9457-7331580A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Sarapuu</dc:creator>
  <cp:keywords/>
  <dc:description/>
  <cp:lastModifiedBy>Liu, Lei</cp:lastModifiedBy>
  <cp:revision>4</cp:revision>
  <cp:lastPrinted>2019-03-26T14:28:00Z</cp:lastPrinted>
  <dcterms:created xsi:type="dcterms:W3CDTF">2019-06-14T14:56:00Z</dcterms:created>
  <dcterms:modified xsi:type="dcterms:W3CDTF">2019-06-21T11:27:00Z</dcterms:modified>
</cp:coreProperties>
</file>