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1C74" w:rsidRPr="00817DDD" w:rsidRDefault="00591C74" w:rsidP="00591C74">
      <w:pPr>
        <w:spacing w:after="120"/>
        <w:ind w:right="14"/>
        <w:jc w:val="cente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0469 F-- EL- ------ 20200729 --- --- PROJET</w:t>
      </w:r>
    </w:p>
    <w:p w:rsidR="00A920F2" w:rsidRDefault="00515C32" w:rsidP="00591C74">
      <w:pPr>
        <w:autoSpaceDE w:val="0"/>
        <w:spacing w:after="0" w:line="240" w:lineRule="auto"/>
        <w:jc w:val="right"/>
      </w:pPr>
      <w:r>
        <w:rPr>
          <w:color w:val="000000"/>
          <w:sz w:val="24"/>
          <w:szCs w:val="24"/>
          <w:rFonts w:ascii="Times New Roman" w:hAnsi="Times New Roman"/>
        </w:rPr>
        <w:t xml:space="preserve">Ημερ.: XXXX 2020</w:t>
      </w:r>
    </w:p>
    <w:p w:rsidR="00A920F2" w:rsidRDefault="00A920F2" w:rsidP="00591C74">
      <w:pPr>
        <w:autoSpaceDE w:val="0"/>
        <w:spacing w:after="0" w:line="240" w:lineRule="auto"/>
        <w:jc w:val="center"/>
      </w:pPr>
    </w:p>
    <w:p w:rsidR="00A920F2" w:rsidRDefault="00A920F2" w:rsidP="00591C74">
      <w:pPr>
        <w:autoSpaceDE w:val="0"/>
        <w:spacing w:after="0" w:line="240" w:lineRule="auto"/>
        <w:jc w:val="center"/>
      </w:pPr>
    </w:p>
    <w:p w:rsidR="00A920F2" w:rsidRDefault="00515C32" w:rsidP="00591C74">
      <w:pPr>
        <w:autoSpaceDE w:val="0"/>
        <w:spacing w:after="0" w:line="240" w:lineRule="auto"/>
        <w:jc w:val="center"/>
      </w:pPr>
      <w:r>
        <w:rPr>
          <w:b/>
          <w:bCs/>
          <w:color w:val="000000"/>
          <w:sz w:val="24"/>
          <w:szCs w:val="24"/>
          <w:rFonts w:ascii="Times New Roman" w:hAnsi="Times New Roman"/>
        </w:rPr>
        <w:t xml:space="preserve">Διάταγμα της ΧΧΧΧ σχετικά με τους όρους απεικόνισης, τη σήμανση και τις γενικές παραμέτρους υπολογισμού του δείκτη επισκευασιμότητας.</w:t>
      </w:r>
    </w:p>
    <w:p w:rsidR="00A920F2" w:rsidRDefault="00A920F2" w:rsidP="00591C74">
      <w:pPr>
        <w:autoSpaceDE w:val="0"/>
        <w:spacing w:after="0" w:line="240" w:lineRule="auto"/>
        <w:jc w:val="center"/>
      </w:pPr>
    </w:p>
    <w:p w:rsidR="00A920F2" w:rsidRDefault="00515C32" w:rsidP="00591C74">
      <w:pPr>
        <w:autoSpaceDE w:val="0"/>
        <w:spacing w:after="0" w:line="240" w:lineRule="auto"/>
        <w:jc w:val="center"/>
      </w:pPr>
      <w:r>
        <w:rPr>
          <w:color w:val="000000"/>
          <w:sz w:val="24"/>
          <w:szCs w:val="24"/>
          <w:rFonts w:ascii="Times New Roman" w:hAnsi="Times New Roman"/>
        </w:rPr>
        <w:t xml:space="preserve">ΑΡΙΘ. ΑΝΑΦΟΡΑΣ:</w:t>
      </w:r>
      <w:r>
        <w:rPr>
          <w:color w:val="000000"/>
          <w:sz w:val="24"/>
          <w:szCs w:val="24"/>
          <w:rFonts w:ascii="Times New Roman" w:hAnsi="Times New Roman"/>
        </w:rPr>
        <w:t xml:space="preserve"> </w:t>
      </w:r>
      <w:r>
        <w:rPr>
          <w:color w:val="000000"/>
          <w:sz w:val="24"/>
          <w:szCs w:val="24"/>
          <w:rFonts w:ascii="Times New Roman" w:hAnsi="Times New Roman"/>
        </w:rPr>
        <w:t xml:space="preserve">XXXXX</w:t>
      </w:r>
    </w:p>
    <w:p w:rsidR="00A920F2" w:rsidRDefault="00A920F2" w:rsidP="00591C74">
      <w:pPr>
        <w:autoSpaceDE w:val="0"/>
        <w:spacing w:after="0" w:line="240" w:lineRule="auto"/>
      </w:pPr>
    </w:p>
    <w:p w:rsidR="00A920F2" w:rsidRDefault="00A920F2" w:rsidP="00591C74">
      <w:pPr>
        <w:autoSpaceDE w:val="0"/>
        <w:spacing w:after="0" w:line="240" w:lineRule="auto"/>
      </w:pPr>
    </w:p>
    <w:p w:rsidR="00A920F2" w:rsidRDefault="00A920F2" w:rsidP="00591C74">
      <w:pPr>
        <w:autoSpaceDE w:val="0"/>
        <w:spacing w:after="0" w:line="240" w:lineRule="auto"/>
      </w:pPr>
    </w:p>
    <w:p w:rsidR="00A920F2" w:rsidRDefault="00515C32" w:rsidP="002A489A">
      <w:pPr>
        <w:autoSpaceDE w:val="0"/>
        <w:spacing w:after="0" w:line="240" w:lineRule="auto"/>
        <w:jc w:val="both"/>
      </w:pPr>
      <w:r>
        <w:rPr>
          <w:color w:val="000000"/>
          <w:sz w:val="24"/>
          <w:szCs w:val="24"/>
          <w:rFonts w:ascii="Times New Roman" w:hAnsi="Times New Roman"/>
        </w:rPr>
        <w:t xml:space="preserve">Η υπουργός Οικολογικής Μετάβασης και ο υπουργός Οικονομίας και Οικονομικών</w:t>
      </w:r>
    </w:p>
    <w:p w:rsidR="00A920F2" w:rsidRDefault="00A920F2" w:rsidP="002A489A">
      <w:pPr>
        <w:autoSpaceDE w:val="0"/>
        <w:spacing w:after="0" w:line="240" w:lineRule="auto"/>
        <w:jc w:val="both"/>
      </w:pPr>
    </w:p>
    <w:p w:rsidR="00A920F2" w:rsidRPr="00BD3BED" w:rsidRDefault="00515C32" w:rsidP="002A489A">
      <w:pPr>
        <w:autoSpaceDE w:val="0"/>
        <w:spacing w:after="0" w:line="240" w:lineRule="auto"/>
        <w:jc w:val="both"/>
        <w:rPr>
          <w:color w:val="000000"/>
          <w:sz w:val="24"/>
          <w:rFonts w:ascii="Times New Roman" w:hAnsi="Times New Roman" w:cs="Times New Roman"/>
        </w:rPr>
      </w:pPr>
      <w:r>
        <w:rPr>
          <w:color w:val="000000"/>
          <w:sz w:val="24"/>
          <w:rFonts w:ascii="Times New Roman" w:hAnsi="Times New Roman"/>
        </w:rPr>
        <w:t xml:space="preserve">Έχοντας υπόψη τον κανονισμό (ΕΕ) 2019/2021 της Επιτροπής, της 1ης Οκτωβρίου 2019 για τον καθορισμό απαιτήσεων οικολογικού σχεδιασμού για ηλεκτρονικές διατάξεις απεικόνισης σύμφωνα με την οδηγία 2009/125/ΕΚ του Ευρωπαϊκού Κοινοβουλίου και του Συμβουλίου, για την τροποποίηση του κανονισμού (ΕΚ) αριθ. 1275/2008 της Επιτροπής και για την κατάργηση του κανονισμού (ΕΚ) αριθ. 642/2009 της Επιτροπής,</w:t>
      </w:r>
    </w:p>
    <w:p w:rsidR="00A920F2" w:rsidRDefault="00A920F2" w:rsidP="002A489A">
      <w:pPr>
        <w:autoSpaceDE w:val="0"/>
        <w:spacing w:after="0" w:line="240" w:lineRule="auto"/>
        <w:jc w:val="both"/>
      </w:pPr>
    </w:p>
    <w:p w:rsidR="00A920F2" w:rsidRDefault="00515C32" w:rsidP="002A489A">
      <w:pPr>
        <w:autoSpaceDE w:val="0"/>
        <w:spacing w:after="0" w:line="240" w:lineRule="auto"/>
        <w:jc w:val="both"/>
      </w:pPr>
      <w:r>
        <w:rPr>
          <w:color w:val="000000"/>
          <w:sz w:val="24"/>
          <w:szCs w:val="24"/>
          <w:rFonts w:ascii="Times New Roman" w:hAnsi="Times New Roman"/>
        </w:rPr>
        <w:t xml:space="preserve">Έχοντας υπόψη τον περιβαλλοντικό κώδικα, και ειδικότερα το άρθρο L541-9-2 αυτού,</w:t>
      </w:r>
    </w:p>
    <w:p w:rsidR="00A920F2" w:rsidRDefault="00A920F2" w:rsidP="002A489A">
      <w:pPr>
        <w:autoSpaceDE w:val="0"/>
        <w:spacing w:after="0" w:line="240" w:lineRule="auto"/>
        <w:jc w:val="both"/>
      </w:pPr>
    </w:p>
    <w:p w:rsidR="00A920F2" w:rsidRDefault="00515C32" w:rsidP="002A489A">
      <w:pPr>
        <w:autoSpaceDE w:val="0"/>
        <w:spacing w:after="0" w:line="240" w:lineRule="auto"/>
        <w:jc w:val="both"/>
      </w:pPr>
      <w:r>
        <w:rPr>
          <w:color w:val="000000"/>
          <w:sz w:val="24"/>
          <w:szCs w:val="24"/>
          <w:rFonts w:ascii="Times New Roman" w:hAnsi="Times New Roman"/>
        </w:rPr>
        <w:t xml:space="preserve">Έχοντας υπόψη το διάταγμα αριθ. ΧΧΧ της ΧΧΧΧ σχετικά με τους όρους εφαρμογής του δείκτη επισκευασιμότητας για τα ηλεκτρικά και ηλεκτρονικά προϊόντα, τα κριτήρια και τον τρόπο υπολογισμού του,</w:t>
      </w:r>
    </w:p>
    <w:p w:rsidR="00A920F2" w:rsidRDefault="00A920F2" w:rsidP="00591C74">
      <w:pPr>
        <w:autoSpaceDE w:val="0"/>
        <w:spacing w:after="0" w:line="240" w:lineRule="auto"/>
      </w:pPr>
    </w:p>
    <w:p w:rsidR="00A920F2" w:rsidRDefault="00A920F2" w:rsidP="00591C74">
      <w:pPr>
        <w:autoSpaceDE w:val="0"/>
        <w:spacing w:after="0" w:line="240" w:lineRule="auto"/>
        <w:rPr>
          <w:rFonts w:ascii="Times New Roman" w:hAnsi="Times New Roman" w:cs="Times New Roman"/>
          <w:b/>
          <w:bCs/>
          <w:color w:val="000000"/>
          <w:sz w:val="24"/>
          <w:szCs w:val="24"/>
        </w:rPr>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szCs w:val="24"/>
          <w:rFonts w:ascii="Times New Roman" w:hAnsi="Times New Roman"/>
        </w:rPr>
        <w:t xml:space="preserve">Άρθρο 1:</w:t>
      </w:r>
      <w:r>
        <w:rPr>
          <w:b/>
          <w:color w:val="000000"/>
          <w:sz w:val="24"/>
          <w:szCs w:val="24"/>
          <w:rFonts w:ascii="Times New Roman" w:hAnsi="Times New Roman"/>
        </w:rPr>
        <w:t xml:space="preserve"> </w:t>
      </w:r>
      <w:r>
        <w:rPr>
          <w:b/>
          <w:color w:val="000000"/>
          <w:sz w:val="24"/>
          <w:szCs w:val="24"/>
          <w:rFonts w:ascii="Times New Roman" w:hAnsi="Times New Roman"/>
        </w:rPr>
        <w:t xml:space="preserve">Ηλεκτρικός και ηλεκτρονικός εξοπλισμός που αποτελούν το αντικείμενο της απεικόνισης</w:t>
      </w:r>
    </w:p>
    <w:p w:rsidR="00A920F2" w:rsidRDefault="00A920F2" w:rsidP="00591C74">
      <w:pPr>
        <w:keepNext/>
        <w:keepLines/>
        <w:autoSpaceDE w:val="0"/>
        <w:spacing w:after="0" w:line="240" w:lineRule="auto"/>
        <w:rPr>
          <w:rFonts w:ascii="Times New Roman" w:hAnsi="Times New Roman" w:cs="Times New Roman"/>
          <w:color w:val="000000"/>
          <w:sz w:val="24"/>
          <w:szCs w:val="24"/>
        </w:rPr>
      </w:pPr>
    </w:p>
    <w:p w:rsidR="00A920F2" w:rsidRDefault="00515C32" w:rsidP="00591C74">
      <w:pPr>
        <w:autoSpaceDE w:val="0"/>
        <w:spacing w:after="0" w:line="240" w:lineRule="auto"/>
        <w:jc w:val="both"/>
      </w:pPr>
      <w:r>
        <w:rPr>
          <w:color w:val="000000"/>
          <w:sz w:val="24"/>
          <w:szCs w:val="24"/>
          <w:rFonts w:ascii="Times New Roman" w:hAnsi="Times New Roman"/>
        </w:rPr>
        <w:t xml:space="preserve">Το παρόν διάταγμα εφαρμόζεται στο σύνολο του ηλεκτρικού και ηλεκτρονικού εξοπλισμού που αποτελεί αντικείμενο υπολογισμού και απεικόνισης του δείκτη επισκευασιμότητας σύμφωνα με τις διατάξεις του διατάγματος αριθ. ΧΧΧ της ΧΧΧΧ σχετικά με τους όρους εφαρμογής του δείκτη επισκευασιμότητας για τα ηλεκτρικά και ηλεκτρονικά προϊόντα, τα κριτήρια και τον τρόπο υπολογισμού του.</w:t>
      </w:r>
    </w:p>
    <w:p w:rsidR="00A920F2" w:rsidRDefault="00A920F2" w:rsidP="00591C74">
      <w:pPr>
        <w:autoSpaceDE w:val="0"/>
        <w:spacing w:after="0" w:line="240" w:lineRule="auto"/>
        <w:rPr>
          <w:rFonts w:ascii="Times New Roman" w:hAnsi="Times New Roman" w:cs="Times New Roman"/>
          <w:color w:val="000000"/>
          <w:sz w:val="24"/>
          <w:szCs w:val="24"/>
        </w:rPr>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szCs w:val="24"/>
          <w:rFonts w:ascii="Times New Roman" w:hAnsi="Times New Roman"/>
        </w:rPr>
        <w:t xml:space="preserve">Άρθρο 2:</w:t>
      </w:r>
      <w:r>
        <w:rPr>
          <w:b/>
          <w:color w:val="000000"/>
          <w:sz w:val="24"/>
          <w:szCs w:val="24"/>
          <w:rFonts w:ascii="Times New Roman" w:hAnsi="Times New Roman"/>
        </w:rPr>
        <w:t xml:space="preserve"> </w:t>
      </w:r>
      <w:r>
        <w:rPr>
          <w:b/>
          <w:color w:val="000000"/>
          <w:sz w:val="24"/>
          <w:szCs w:val="24"/>
          <w:rFonts w:ascii="Times New Roman" w:hAnsi="Times New Roman"/>
        </w:rPr>
        <w:t xml:space="preserve">Βαθμολογία που συνιστά τον δείκτη επισκευασιμότητας</w:t>
      </w:r>
    </w:p>
    <w:p w:rsidR="00A920F2" w:rsidRDefault="00A920F2" w:rsidP="00591C74">
      <w:pPr>
        <w:keepNext/>
        <w:keepLines/>
        <w:autoSpaceDE w:val="0"/>
        <w:spacing w:after="0" w:line="240" w:lineRule="auto"/>
        <w:rPr>
          <w:rFonts w:ascii="Times New Roman" w:hAnsi="Times New Roman" w:cs="Times New Roman"/>
          <w:color w:val="000000"/>
          <w:sz w:val="24"/>
          <w:szCs w:val="24"/>
        </w:rPr>
      </w:pPr>
    </w:p>
    <w:p w:rsidR="00A920F2" w:rsidRDefault="00515C32" w:rsidP="00591C74">
      <w:pPr>
        <w:autoSpaceDE w:val="0"/>
        <w:spacing w:after="0" w:line="240" w:lineRule="auto"/>
        <w:jc w:val="both"/>
      </w:pPr>
      <w:r>
        <w:rPr>
          <w:color w:val="000000"/>
          <w:sz w:val="24"/>
          <w:szCs w:val="24"/>
          <w:rFonts w:ascii="Times New Roman" w:hAnsi="Times New Roman"/>
        </w:rPr>
        <w:t xml:space="preserve">Για όλα τα ηλεκτρικά και ηλεκτρονικά προϊόντα που αναφέρονται στο άρθρο 1, ο δείκτης επισκευασιμότητας παρουσιάζεται με τη μορφή βαθμολογίας στα 10 με δυνατότητα προσθήκης ενός δεκαδικού ψηφίου μετά την υποδιαστολή.</w:t>
      </w:r>
    </w:p>
    <w:p w:rsidR="00A920F2" w:rsidRDefault="00515C32" w:rsidP="00591C74">
      <w:pPr>
        <w:autoSpaceDE w:val="0"/>
        <w:spacing w:after="0" w:line="240" w:lineRule="auto"/>
        <w:jc w:val="both"/>
      </w:pPr>
      <w:r>
        <w:rPr>
          <w:color w:val="000000"/>
          <w:sz w:val="24"/>
          <w:szCs w:val="24"/>
          <w:rFonts w:ascii="Times New Roman" w:hAnsi="Times New Roman"/>
        </w:rPr>
        <w:t xml:space="preserve">Εάν το ψηφίο μετά το πρώτο δεκαδικό είναι μικρότερο από 5, η βαθμολογία στρογγυλοποιείται στο προηγούμενο δεκαδικό ψηφίο.</w:t>
      </w:r>
    </w:p>
    <w:p w:rsidR="00A920F2" w:rsidRDefault="00515C32" w:rsidP="00591C74">
      <w:pPr>
        <w:pStyle w:val="Paragraphedeliste"/>
        <w:suppressAutoHyphens w:val="0"/>
        <w:spacing w:after="0" w:line="240" w:lineRule="auto"/>
        <w:ind w:left="0"/>
        <w:jc w:val="both"/>
      </w:pPr>
      <w:r>
        <w:rPr>
          <w:color w:val="000000"/>
          <w:sz w:val="24"/>
          <w:szCs w:val="24"/>
          <w:rFonts w:ascii="Times New Roman" w:hAnsi="Times New Roman"/>
        </w:rPr>
        <w:t xml:space="preserve">Εάν το ψηφίο μετά το πρώτο δεκαδικό είναι μεγαλύτερο ή ίσο με 5, η βαθμολογία στρογγυλοποιείτι στο επόμενο δεκαδικό ψηφίο.</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szCs w:val="24"/>
          <w:rFonts w:ascii="Times New Roman" w:hAnsi="Times New Roman"/>
        </w:rPr>
        <w:t xml:space="preserve">Άρθρο 3:</w:t>
      </w:r>
      <w:r>
        <w:rPr>
          <w:b/>
          <w:color w:val="000000"/>
          <w:sz w:val="24"/>
          <w:szCs w:val="24"/>
          <w:rFonts w:ascii="Times New Roman" w:hAnsi="Times New Roman"/>
        </w:rPr>
        <w:t xml:space="preserve"> </w:t>
      </w:r>
      <w:r>
        <w:rPr>
          <w:b/>
          <w:color w:val="000000"/>
          <w:sz w:val="24"/>
          <w:szCs w:val="24"/>
          <w:rFonts w:ascii="Times New Roman" w:hAnsi="Times New Roman"/>
        </w:rPr>
        <w:t xml:space="preserve">Χρώμα και σήμανση απεικόνισης</w:t>
      </w:r>
    </w:p>
    <w:p w:rsidR="00A920F2" w:rsidRDefault="00A920F2" w:rsidP="00591C74">
      <w:pPr>
        <w:keepNext/>
        <w:keepLines/>
        <w:autoSpaceDE w:val="0"/>
        <w:spacing w:after="0" w:line="240" w:lineRule="auto"/>
        <w:rPr>
          <w:rFonts w:ascii="Times New Roman" w:hAnsi="Times New Roman" w:cs="Times New Roman"/>
          <w:b/>
          <w:color w:val="000000"/>
          <w:sz w:val="24"/>
          <w:szCs w:val="24"/>
        </w:rPr>
      </w:pPr>
    </w:p>
    <w:p w:rsidR="00A920F2" w:rsidRDefault="00515C32" w:rsidP="00591C74">
      <w:pPr>
        <w:pStyle w:val="Paragraphedeliste"/>
        <w:keepNext/>
        <w:keepLines/>
        <w:suppressAutoHyphens w:val="0"/>
        <w:spacing w:after="0" w:line="240" w:lineRule="auto"/>
        <w:ind w:left="0"/>
        <w:jc w:val="both"/>
      </w:pPr>
      <w:r>
        <w:rPr>
          <w:color w:val="000000"/>
          <w:sz w:val="24"/>
          <w:szCs w:val="24"/>
          <w:rFonts w:ascii="Times New Roman" w:hAnsi="Times New Roman"/>
        </w:rPr>
        <w:t xml:space="preserve">Αναλόγως της βαθμολογίας που λαμβάνεται με αυτόν τον τρόπο, χρησιμοποιούνται οι ακόλουθοι χρωματικοί κωδικοί για την απεικόνιση του δείκτη:</w:t>
      </w:r>
    </w:p>
    <w:p w:rsidR="00A920F2" w:rsidRDefault="00515C32" w:rsidP="00591C74">
      <w:pPr>
        <w:pStyle w:val="Paragraphedeliste"/>
        <w:numPr>
          <w:ilvl w:val="0"/>
          <w:numId w:val="1"/>
        </w:numPr>
        <w:suppressAutoHyphens w:val="0"/>
        <w:spacing w:after="0" w:line="240" w:lineRule="auto"/>
        <w:jc w:val="both"/>
      </w:pPr>
      <w:r>
        <w:rPr>
          <w:color w:val="000000"/>
          <w:sz w:val="24"/>
          <w:szCs w:val="24"/>
          <w:rFonts w:ascii="Times New Roman" w:hAnsi="Times New Roman"/>
        </w:rPr>
        <w:t xml:space="preserve">Βαθμολογία μεγαλύτερη ή ίση με 0 και μικρότερη ή ίση με 1,9: κόκκινο, αναφορά Pantone 186 C,</w:t>
      </w:r>
      <w:r>
        <w:rPr>
          <w:color w:val="000000"/>
          <w:sz w:val="24"/>
          <w:szCs w:val="24"/>
          <w:rFonts w:ascii="Times New Roman" w:hAnsi="Times New Roman"/>
        </w:rPr>
        <w:t xml:space="preserve"> </w:t>
      </w:r>
    </w:p>
    <w:p w:rsidR="00A920F2" w:rsidRDefault="00515C32" w:rsidP="00591C74">
      <w:pPr>
        <w:pStyle w:val="Paragraphedeliste"/>
        <w:numPr>
          <w:ilvl w:val="0"/>
          <w:numId w:val="1"/>
        </w:numPr>
        <w:suppressAutoHyphens w:val="0"/>
        <w:spacing w:after="0" w:line="240" w:lineRule="auto"/>
        <w:jc w:val="both"/>
      </w:pPr>
      <w:r>
        <w:rPr>
          <w:color w:val="000000"/>
          <w:sz w:val="24"/>
          <w:szCs w:val="24"/>
          <w:rFonts w:ascii="Times New Roman" w:hAnsi="Times New Roman"/>
        </w:rPr>
        <w:t xml:space="preserve">Βαθμολογία μεγαλύτερη ή ίση με 2 και μικρότερη ή ίση με 3,9: πορτοκαλί, αναφορά Pantone 1585 C,</w:t>
      </w:r>
    </w:p>
    <w:p w:rsidR="00A920F2" w:rsidRDefault="00515C32" w:rsidP="00591C74">
      <w:pPr>
        <w:pStyle w:val="Paragraphedeliste"/>
        <w:numPr>
          <w:ilvl w:val="0"/>
          <w:numId w:val="1"/>
        </w:numPr>
        <w:suppressAutoHyphens w:val="0"/>
        <w:spacing w:after="0" w:line="240" w:lineRule="auto"/>
        <w:jc w:val="both"/>
      </w:pPr>
      <w:r>
        <w:rPr>
          <w:color w:val="000000"/>
          <w:sz w:val="24"/>
          <w:szCs w:val="24"/>
          <w:rFonts w:ascii="Times New Roman" w:hAnsi="Times New Roman"/>
        </w:rPr>
        <w:t xml:space="preserve">Βαθμολογία μεγαλύτερη ή ίση με 4 και μικρότερη ή ίση με 5,9: κίτρινο, αναφορά Pantone 7548 C,</w:t>
      </w:r>
    </w:p>
    <w:p w:rsidR="00A920F2" w:rsidRDefault="00515C32" w:rsidP="00591C74">
      <w:pPr>
        <w:pStyle w:val="Paragraphedeliste"/>
        <w:numPr>
          <w:ilvl w:val="0"/>
          <w:numId w:val="1"/>
        </w:numPr>
        <w:suppressAutoHyphens w:val="0"/>
        <w:spacing w:after="0" w:line="240" w:lineRule="auto"/>
        <w:jc w:val="both"/>
      </w:pPr>
      <w:r>
        <w:rPr>
          <w:color w:val="000000"/>
          <w:sz w:val="24"/>
          <w:szCs w:val="24"/>
          <w:rFonts w:ascii="Times New Roman" w:hAnsi="Times New Roman"/>
        </w:rPr>
        <w:t xml:space="preserve">Βαθμολογία μεγαλύτερη ή ίση με 6 και μικρότερη ή ίση με 7,9: πράσινο ανοικτό, αναφορά Pantone 2291 C,</w:t>
      </w:r>
    </w:p>
    <w:p w:rsidR="00A920F2" w:rsidRDefault="00515C32" w:rsidP="00591C74">
      <w:pPr>
        <w:pStyle w:val="Paragraphedeliste"/>
        <w:numPr>
          <w:ilvl w:val="0"/>
          <w:numId w:val="1"/>
        </w:numPr>
        <w:suppressAutoHyphens w:val="0"/>
        <w:spacing w:after="0" w:line="240" w:lineRule="auto"/>
        <w:jc w:val="both"/>
      </w:pPr>
      <w:r>
        <w:rPr>
          <w:color w:val="000000"/>
          <w:sz w:val="24"/>
          <w:szCs w:val="24"/>
          <w:rFonts w:ascii="Times New Roman" w:hAnsi="Times New Roman"/>
        </w:rPr>
        <w:t xml:space="preserve">Βαθμολογία μεγαλύτερη ή ίση με 8 και μικρότερη ή ίση με 10: πράσινο σκούρο, αναφορά Pantone 347 C,</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Default="00515C32" w:rsidP="00591C74">
      <w:pPr>
        <w:pStyle w:val="Paragraphedeliste"/>
        <w:suppressAutoHyphens w:val="0"/>
        <w:spacing w:after="0" w:line="240" w:lineRule="auto"/>
        <w:ind w:left="0"/>
        <w:jc w:val="both"/>
      </w:pPr>
      <w:r>
        <w:rPr>
          <w:color w:val="000000"/>
          <w:sz w:val="24"/>
          <w:szCs w:val="24"/>
          <w:rFonts w:ascii="Times New Roman" w:hAnsi="Times New Roman"/>
        </w:rPr>
        <w:t xml:space="preserve">Η υποχρεωτική σήμανση για την απεικόνιση του δείκτη επισκευασιμότητας είναι η γραφική παράσταση της αναφοράς «δείκτης επισκευασιμότητας» και του εικονογράμματος που εικονίζει τη βαθμολογία του δείκτη ως ακολούθως [που αντιστοιχεί στο σήμα «δείκτης επισκευασιμότητας»].</w:t>
      </w:r>
      <w:r>
        <w:rPr>
          <w:color w:val="000000"/>
          <w:sz w:val="24"/>
          <w:szCs w:val="24"/>
          <w:rFonts w:ascii="Times New Roman" w:hAnsi="Times New Roman"/>
        </w:rPr>
        <w:t xml:space="preserve"> </w:t>
      </w:r>
    </w:p>
    <w:p w:rsidR="00A920F2" w:rsidRDefault="00C93306" w:rsidP="00591C74">
      <w:pPr>
        <w:pStyle w:val="Paragraphedeliste"/>
        <w:suppressAutoHyphens w:val="0"/>
        <w:spacing w:after="0" w:line="240" w:lineRule="auto"/>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51.5pt;mso-wrap-distance-left:0;mso-wrap-distance-top:0;mso-wrap-distance-right:0;mso-wrap-distance-bottom:0;mso-position-horizontal:center;mso-position-horizontal-relative:text;mso-position-vertical:top;mso-position-vertical-relative:text" filled="t">
            <v:fill color2="black"/>
            <v:imagedata r:id="rId7" o:title=""/>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863"/>
        <w:gridCol w:w="4863"/>
      </w:tblGrid>
      <w:tr w:rsidR="00882C27" w:rsidRPr="00882C27" w:rsidTr="00882C27">
        <w:trPr>
          <w:hidden/>
        </w:trPr>
        <w:tc>
          <w:tcPr>
            <w:tcW w:w="2500" w:type="pct"/>
            <w:shd w:val="clear" w:color="auto" w:fill="auto"/>
          </w:tcPr>
          <w:p w:rsidR="00591C74" w:rsidRPr="00882C27" w:rsidRDefault="00591C74" w:rsidP="00882C27">
            <w:pPr>
              <w:pStyle w:val="Paragraphedeliste"/>
              <w:suppressAutoHyphens w:val="0"/>
              <w:spacing w:after="0" w:line="240" w:lineRule="auto"/>
              <w:ind w:left="0"/>
              <w:rPr>
                <w:vanish/>
              </w:rPr>
            </w:pPr>
            <w:r>
              <w:rPr>
                <w:vanish/>
              </w:rPr>
              <w:t xml:space="preserve">INDICE DE REPETABILITE</w:t>
            </w:r>
          </w:p>
        </w:tc>
        <w:tc>
          <w:tcPr>
            <w:tcW w:w="2500" w:type="pct"/>
            <w:shd w:val="clear" w:color="auto" w:fill="auto"/>
          </w:tcPr>
          <w:p w:rsidR="00591C74" w:rsidRPr="00882C27" w:rsidRDefault="00591C74" w:rsidP="00882C27">
            <w:pPr>
              <w:pStyle w:val="Paragraphedeliste"/>
              <w:suppressAutoHyphens w:val="0"/>
              <w:spacing w:after="0" w:line="240" w:lineRule="auto"/>
              <w:ind w:left="0"/>
              <w:rPr>
                <w:color w:val="000000"/>
                <w:sz w:val="24"/>
                <w:szCs w:val="24"/>
                <w:rFonts w:ascii="Times New Roman" w:hAnsi="Times New Roman" w:cs="Times New Roman"/>
              </w:rPr>
            </w:pPr>
            <w:r>
              <w:t xml:space="preserve">ΔΕΙΚΤΗΣ ΕΠΑΝΑΛΗΨΙΜΟΤΗΤΑΣ</w:t>
            </w:r>
          </w:p>
        </w:tc>
      </w:tr>
    </w:tbl>
    <w:p w:rsidR="00A920F2" w:rsidRDefault="00515C32" w:rsidP="00591C74">
      <w:pPr>
        <w:pStyle w:val="Paragraphedeliste"/>
        <w:suppressAutoHyphens w:val="0"/>
        <w:spacing w:after="0" w:line="240" w:lineRule="auto"/>
        <w:ind w:left="0"/>
        <w:jc w:val="both"/>
      </w:pPr>
      <w:r>
        <w:rPr>
          <w:color w:val="000000"/>
          <w:sz w:val="24"/>
          <w:szCs w:val="24"/>
          <w:rFonts w:ascii="Times New Roman" w:hAnsi="Times New Roman"/>
        </w:rPr>
        <w:t xml:space="preserve">Το μέγεθος της γραμματοσειράς της βαθμολογίας στα 10 πρέπει να είναι τουλάχιστον αντίστοιχο με το μέγεθος της γραμματοσειράς της τιμής στο ράφι.</w:t>
      </w:r>
    </w:p>
    <w:p w:rsidR="00A920F2" w:rsidRDefault="00515C32" w:rsidP="00591C74">
      <w:pPr>
        <w:pStyle w:val="Paragraphedeliste"/>
        <w:suppressAutoHyphens w:val="0"/>
        <w:spacing w:after="0" w:line="240" w:lineRule="auto"/>
        <w:ind w:left="0"/>
        <w:jc w:val="both"/>
      </w:pPr>
      <w:r>
        <w:rPr>
          <w:color w:val="000000"/>
          <w:sz w:val="24"/>
          <w:szCs w:val="24"/>
          <w:rFonts w:ascii="Times New Roman" w:hAnsi="Times New Roman"/>
        </w:rPr>
        <w:t xml:space="preserve">Κάθε προσαρμογή του μεγέθους αυτής της σήμανσης πρέπει να εφαρμόζεται με τρόπο ομοθετικό.</w:t>
      </w:r>
    </w:p>
    <w:p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rsidR="00A920F2" w:rsidRDefault="00515C32" w:rsidP="00591C74">
      <w:pPr>
        <w:pStyle w:val="Paragraphedeliste"/>
        <w:suppressAutoHyphens w:val="0"/>
        <w:spacing w:after="0" w:line="240" w:lineRule="auto"/>
        <w:ind w:left="0"/>
        <w:jc w:val="both"/>
        <w:rPr>
          <w:color w:val="000000"/>
          <w:sz w:val="24"/>
          <w:szCs w:val="24"/>
          <w:rFonts w:ascii="Times New Roman" w:hAnsi="Times New Roman" w:cs="Times New Roman"/>
        </w:rPr>
      </w:pPr>
      <w:r>
        <w:rPr>
          <w:color w:val="000000"/>
          <w:sz w:val="24"/>
          <w:szCs w:val="24"/>
          <w:rFonts w:ascii="Times New Roman" w:hAnsi="Times New Roman"/>
        </w:rPr>
        <w:t xml:space="preserve">Στην περίπτωση που ο δείκτης επίσης επικολλάται απευθείας σε κάθε τεμάχιο μοντέλου ή στη συσκευασία με τη μορφή ετικέτας ή επισήμανσης, το μέγεθος της γραφικής παράστασης αφήνεται ελεύθερο στον βαθμό που είναι ορατό και ευανάγνωστο.</w:t>
      </w:r>
    </w:p>
    <w:p w:rsidR="00591C74" w:rsidRDefault="00591C74" w:rsidP="00591C74">
      <w:pPr>
        <w:pStyle w:val="Paragraphedeliste"/>
        <w:suppressAutoHyphens w:val="0"/>
        <w:spacing w:after="0" w:line="240" w:lineRule="auto"/>
        <w:ind w:left="0"/>
        <w:jc w:val="both"/>
      </w:pPr>
    </w:p>
    <w:p w:rsidR="00A920F2" w:rsidRPr="00591C74" w:rsidRDefault="00515C32" w:rsidP="00591C74">
      <w:pPr>
        <w:keepNext/>
        <w:keepLines/>
        <w:autoSpaceDE w:val="0"/>
        <w:spacing w:after="0" w:line="240" w:lineRule="auto"/>
        <w:rPr>
          <w:b/>
          <w:color w:val="000000"/>
          <w:sz w:val="24"/>
          <w:szCs w:val="24"/>
          <w:rFonts w:ascii="Times New Roman" w:hAnsi="Times New Roman" w:cs="Times New Roman"/>
        </w:rPr>
      </w:pPr>
      <w:r>
        <w:rPr>
          <w:b/>
          <w:color w:val="000000"/>
          <w:sz w:val="24"/>
          <w:szCs w:val="24"/>
          <w:rFonts w:ascii="Times New Roman" w:hAnsi="Times New Roman"/>
        </w:rPr>
        <w:t xml:space="preserve">Άρθρο 4:</w:t>
      </w:r>
      <w:r>
        <w:rPr>
          <w:b/>
          <w:color w:val="000000"/>
          <w:sz w:val="24"/>
          <w:szCs w:val="24"/>
          <w:rFonts w:ascii="Times New Roman" w:hAnsi="Times New Roman"/>
        </w:rPr>
        <w:t xml:space="preserve"> </w:t>
      </w:r>
      <w:r>
        <w:rPr>
          <w:b/>
          <w:color w:val="000000"/>
          <w:sz w:val="24"/>
          <w:szCs w:val="24"/>
          <w:rFonts w:ascii="Times New Roman" w:hAnsi="Times New Roman"/>
        </w:rPr>
        <w:t xml:space="preserve">Υπολογισμός του δείκτη επισκευασιμότητας και παρουσίαση των παραμέτρων που κατέστησαν δυνατό τον καθορισμό του</w:t>
      </w:r>
    </w:p>
    <w:p w:rsidR="00A920F2" w:rsidRDefault="00A920F2" w:rsidP="00591C74">
      <w:pPr>
        <w:keepNext/>
        <w:keepLines/>
        <w:autoSpaceDE w:val="0"/>
        <w:spacing w:after="0" w:line="240" w:lineRule="auto"/>
        <w:rPr>
          <w:rFonts w:ascii="Times New Roman" w:hAnsi="Times New Roman" w:cs="Times New Roman"/>
          <w:b/>
          <w:color w:val="000000"/>
          <w:sz w:val="24"/>
          <w:szCs w:val="24"/>
        </w:rPr>
      </w:pPr>
    </w:p>
    <w:p w:rsidR="00A920F2" w:rsidRDefault="00515C32" w:rsidP="00591C74">
      <w:pPr>
        <w:autoSpaceDE w:val="0"/>
        <w:spacing w:after="0" w:line="240" w:lineRule="auto"/>
        <w:jc w:val="both"/>
      </w:pPr>
      <w:r>
        <w:rPr>
          <w:color w:val="000000"/>
          <w:sz w:val="24"/>
          <w:szCs w:val="24"/>
          <w:rFonts w:ascii="Times New Roman" w:hAnsi="Times New Roman"/>
        </w:rPr>
        <w:t xml:space="preserve">Κάθε επιμέρους κριτήριο του δείκτη βαθμολογείται στα δέκα επί συντελεστή που καταλήγει σε μια βαθμολογία στα 20 ανά κριτήριο, όπως φαίνεται στον πίνακα που ακολουθεί.</w:t>
      </w:r>
      <w:r>
        <w:rPr>
          <w:color w:val="000000"/>
          <w:sz w:val="24"/>
          <w:szCs w:val="24"/>
          <w:rFonts w:ascii="Times New Roman" w:hAnsi="Times New Roman"/>
        </w:rPr>
        <w:t xml:space="preserve"> </w:t>
      </w:r>
      <w:r>
        <w:rPr>
          <w:color w:val="000000"/>
          <w:sz w:val="24"/>
          <w:szCs w:val="24"/>
          <w:rFonts w:ascii="Times New Roman" w:hAnsi="Times New Roman"/>
        </w:rPr>
        <w:t xml:space="preserve">Η πρόσθεση με ίση στάθμιση των βαθμολογιών κάθε κριτηρίου καταλήγει σε ένα άθροισμα στα εκατό, που επαναφέρεται σε βαθμολογία στα δέκα του δείκτη.</w:t>
      </w:r>
    </w:p>
    <w:p w:rsidR="00A920F2" w:rsidRDefault="00A920F2" w:rsidP="00591C74">
      <w:pPr>
        <w:autoSpaceDE w:val="0"/>
        <w:spacing w:after="0" w:line="240" w:lineRule="auto"/>
        <w:jc w:val="both"/>
        <w:rPr>
          <w:rFonts w:ascii="Times New Roman" w:hAnsi="Times New Roman" w:cs="Times New Roman"/>
          <w:color w:val="000000"/>
          <w:sz w:val="24"/>
          <w:szCs w:val="24"/>
        </w:rPr>
      </w:pPr>
    </w:p>
    <w:p w:rsidR="00A920F2" w:rsidRDefault="00515C32" w:rsidP="00591C74">
      <w:pPr>
        <w:pStyle w:val="SNSignatureGauche"/>
        <w:spacing w:before="0" w:after="0" w:line="240" w:lineRule="auto"/>
        <w:ind w:left="0" w:right="0" w:firstLine="0"/>
        <w:jc w:val="both"/>
      </w:pPr>
      <w:r>
        <w:rPr>
          <w:color w:val="000000"/>
          <w:rFonts w:ascii="Times New Roman" w:hAnsi="Times New Roman"/>
        </w:rPr>
        <w:t xml:space="preserve">Η κοινοποίηση και η διάθεση των παραμέτρων που κατέστησαν δυνατό τον καθορισμό του δείκτη επισκευασιμότητας κάθε εξοπλισμού παρουσιάζονται σύμφωνα με τον πίνακα που ακολουθεί, με μη τροποποιήσιμο ψηφιακό μορφότυπο, με διαστάσεις 21x29,7cm.</w:t>
      </w:r>
    </w:p>
    <w:p w:rsidR="00A920F2" w:rsidRDefault="00A920F2" w:rsidP="00591C74">
      <w:pPr>
        <w:suppressAutoHyphens w:val="0"/>
        <w:spacing w:after="0" w:line="240" w:lineRule="auto"/>
        <w:rPr>
          <w:rFonts w:ascii="Times New Roman" w:hAnsi="Times New Roman" w:cs="Times New Roman"/>
          <w:color w:val="000000"/>
          <w:sz w:val="24"/>
          <w:szCs w:val="24"/>
        </w:rPr>
      </w:pPr>
    </w:p>
    <w:tbl>
      <w:tblPr>
        <w:tblW w:w="5000" w:type="pct"/>
        <w:tblLayout w:type="fixed"/>
        <w:tblCellMar>
          <w:left w:w="43" w:type="dxa"/>
          <w:right w:w="43" w:type="dxa"/>
        </w:tblCellMar>
        <w:tblLook w:val="0000" w:firstRow="0" w:lastRow="0" w:firstColumn="0" w:lastColumn="0" w:noHBand="0" w:noVBand="0"/>
      </w:tblPr>
      <w:tblGrid>
        <w:gridCol w:w="1797"/>
        <w:gridCol w:w="3439"/>
        <w:gridCol w:w="1070"/>
        <w:gridCol w:w="1319"/>
        <w:gridCol w:w="1004"/>
        <w:gridCol w:w="1097"/>
      </w:tblGrid>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Κριτήριο</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Επιμέρους κριτήριο</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szCs w:val="24"/>
                <w:rFonts w:ascii="Times New Roman" w:hAnsi="Times New Roman"/>
              </w:rPr>
              <w:t xml:space="preserve">Βαθμολογία του επιμέρους κριτηρίου</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szCs w:val="24"/>
                <w:rFonts w:ascii="Times New Roman" w:hAnsi="Times New Roman"/>
              </w:rPr>
              <w:t xml:space="preserve">Συντελεστής του επιμέρους κριτηρίου</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szCs w:val="24"/>
                <w:rFonts w:ascii="Times New Roman" w:hAnsi="Times New Roman"/>
              </w:rPr>
              <w:t xml:space="preserve">Βαθμολογία του κριτηρίου</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keepNext/>
              <w:keepLines/>
              <w:suppressAutoHyphens w:val="0"/>
              <w:spacing w:after="0" w:line="240" w:lineRule="auto"/>
              <w:jc w:val="center"/>
            </w:pPr>
            <w:r>
              <w:rPr>
                <w:b/>
                <w:color w:val="000000"/>
                <w:sz w:val="24"/>
                <w:szCs w:val="24"/>
                <w:rFonts w:ascii="Times New Roman" w:hAnsi="Times New Roman"/>
              </w:rPr>
              <w:t xml:space="preserve">Σύνολο βαθμολογιών των κριτηρίων</w:t>
            </w:r>
          </w:p>
        </w:tc>
      </w:tr>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szCs w:val="24"/>
                <w:rFonts w:ascii="Times New Roman" w:hAnsi="Times New Roman"/>
              </w:rPr>
              <w:t xml:space="preserve">1.</w:t>
            </w:r>
            <w:r>
              <w:rPr>
                <w:b/>
                <w:color w:val="000000"/>
                <w:sz w:val="24"/>
                <w:szCs w:val="24"/>
                <w:rFonts w:ascii="Times New Roman" w:hAnsi="Times New Roman"/>
              </w:rPr>
              <w:t xml:space="preserve"> </w:t>
            </w:r>
            <w:r>
              <w:rPr>
                <w:b/>
                <w:color w:val="000000"/>
                <w:sz w:val="24"/>
                <w:szCs w:val="24"/>
                <w:rFonts w:ascii="Times New Roman" w:hAnsi="Times New Roman"/>
              </w:rPr>
              <w:t xml:space="preserve">Τεκμηρίωση</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1.1.</w:t>
            </w:r>
            <w:r>
              <w:rPr>
                <w:color w:val="000000"/>
                <w:sz w:val="24"/>
                <w:szCs w:val="24"/>
                <w:rFonts w:ascii="Times New Roman" w:hAnsi="Times New Roman"/>
              </w:rPr>
              <w:t xml:space="preserve"> </w:t>
            </w:r>
            <w:r>
              <w:rPr>
                <w:color w:val="000000"/>
                <w:sz w:val="24"/>
                <w:szCs w:val="24"/>
                <w:rFonts w:ascii="Times New Roman" w:hAnsi="Times New Roman"/>
              </w:rPr>
              <w:t xml:space="preserve">Διάρκεια διαθεσιμότητας της τεχνικής τεκμηρίωσης και αυτής που αφορά τις συμβουλές χρήσης και συντήρησης</w:t>
            </w:r>
          </w:p>
        </w:tc>
        <w:tc>
          <w:tcPr>
            <w:tcW w:w="550" w:type="pct"/>
            <w:tcBorders>
              <w:top w:val="single" w:sz="8"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▀▀/20</w:t>
            </w:r>
          </w:p>
        </w:tc>
        <w:tc>
          <w:tcPr>
            <w:tcW w:w="564" w:type="pct"/>
            <w:vMerge w:val="restart"/>
            <w:tcBorders>
              <w:top w:val="single" w:sz="8" w:space="0" w:color="00000A"/>
              <w:left w:val="single" w:sz="8" w:space="0" w:color="00000A"/>
              <w:bottom w:val="single" w:sz="8" w:space="0" w:color="00000A"/>
              <w:right w:val="single" w:sz="8" w:space="0" w:color="00000A"/>
            </w:tcBorders>
            <w:shd w:val="clear" w:color="auto" w:fill="auto"/>
            <w:vAlign w:val="center"/>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▀▀/100</w:t>
            </w: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szCs w:val="24"/>
                <w:rFonts w:ascii="Times New Roman" w:hAnsi="Times New Roman"/>
              </w:rPr>
              <w:t xml:space="preserve">2.</w:t>
            </w:r>
            <w:r>
              <w:rPr>
                <w:b/>
                <w:color w:val="000000"/>
                <w:sz w:val="24"/>
                <w:szCs w:val="24"/>
                <w:rFonts w:ascii="Times New Roman" w:hAnsi="Times New Roman"/>
              </w:rPr>
              <w:t xml:space="preserve"> </w:t>
            </w:r>
            <w:r>
              <w:rPr>
                <w:b/>
                <w:color w:val="000000"/>
                <w:sz w:val="24"/>
                <w:szCs w:val="24"/>
                <w:rFonts w:ascii="Times New Roman" w:hAnsi="Times New Roman"/>
              </w:rPr>
              <w:t xml:space="preserve">Δυνατότητα αποσυναρμολόγησης και πρόσβαση, εργαλεία, στηρίγματα</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2.1 Ευκολία αποσυναρμολόγησης των στοιχείων του καταλόγου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2.2.</w:t>
            </w:r>
            <w:r>
              <w:rPr>
                <w:color w:val="000000"/>
                <w:sz w:val="24"/>
                <w:szCs w:val="24"/>
                <w:rFonts w:ascii="Times New Roman" w:hAnsi="Times New Roman"/>
              </w:rPr>
              <w:t xml:space="preserve"> </w:t>
            </w:r>
            <w:r>
              <w:rPr>
                <w:color w:val="000000"/>
                <w:sz w:val="24"/>
                <w:szCs w:val="24"/>
                <w:rFonts w:ascii="Times New Roman" w:hAnsi="Times New Roman"/>
              </w:rPr>
              <w:t xml:space="preserve">Απαραίτητα εργαλεία (κατάλογος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2.3.</w:t>
            </w:r>
            <w:r>
              <w:rPr>
                <w:color w:val="000000"/>
                <w:sz w:val="24"/>
                <w:szCs w:val="24"/>
                <w:rFonts w:ascii="Times New Roman" w:hAnsi="Times New Roman"/>
              </w:rPr>
              <w:t xml:space="preserve"> </w:t>
            </w:r>
            <w:r>
              <w:rPr>
                <w:color w:val="000000"/>
                <w:sz w:val="24"/>
                <w:szCs w:val="24"/>
                <w:rFonts w:ascii="Times New Roman" w:hAnsi="Times New Roman"/>
              </w:rPr>
              <w:t xml:space="preserve">Χαρακτηριστικά των στηριγμάτων μεταξύ των στοιχείων του καταλόγου 1** και του καταλόγου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szCs w:val="24"/>
                <w:rFonts w:ascii="Times New Roman" w:hAnsi="Times New Roman"/>
              </w:rPr>
              <w:t xml:space="preserve">3.</w:t>
            </w:r>
            <w:r>
              <w:rPr>
                <w:b/>
                <w:color w:val="000000"/>
                <w:sz w:val="24"/>
                <w:szCs w:val="24"/>
                <w:rFonts w:ascii="Times New Roman" w:hAnsi="Times New Roman"/>
              </w:rPr>
              <w:t xml:space="preserve"> </w:t>
            </w:r>
            <w:r>
              <w:rPr>
                <w:b/>
                <w:color w:val="000000"/>
                <w:sz w:val="24"/>
                <w:szCs w:val="24"/>
                <w:rFonts w:ascii="Times New Roman" w:hAnsi="Times New Roman"/>
              </w:rPr>
              <w:t xml:space="preserve">Διαθεσιμότητα των εξαρτημάτων</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3.1 Διάρκεια διαθεσιμότητας των στοιχείων του καταλόγου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3.2.</w:t>
            </w:r>
            <w:r>
              <w:rPr>
                <w:color w:val="000000"/>
                <w:sz w:val="24"/>
                <w:szCs w:val="24"/>
                <w:rFonts w:ascii="Times New Roman" w:hAnsi="Times New Roman"/>
              </w:rPr>
              <w:t xml:space="preserve"> </w:t>
            </w:r>
            <w:r>
              <w:rPr>
                <w:color w:val="000000"/>
                <w:sz w:val="24"/>
                <w:szCs w:val="24"/>
                <w:rFonts w:ascii="Times New Roman" w:hAnsi="Times New Roman"/>
              </w:rPr>
              <w:t xml:space="preserve">Διάρκεια διαθεσιμότητας των στοιχείων του καταλόγου 1</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3.3.</w:t>
            </w:r>
            <w:r>
              <w:rPr>
                <w:color w:val="000000"/>
                <w:sz w:val="24"/>
                <w:szCs w:val="24"/>
                <w:rFonts w:ascii="Times New Roman" w:hAnsi="Times New Roman"/>
              </w:rPr>
              <w:t xml:space="preserve"> </w:t>
            </w:r>
            <w:r>
              <w:rPr>
                <w:color w:val="000000"/>
                <w:sz w:val="24"/>
                <w:szCs w:val="24"/>
                <w:rFonts w:ascii="Times New Roman" w:hAnsi="Times New Roman"/>
              </w:rPr>
              <w:t xml:space="preserve">Προθεσμία παράδοσης των στοιχείων του καταλόγου 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0,3</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3.4.</w:t>
            </w:r>
            <w:r>
              <w:rPr>
                <w:color w:val="000000"/>
                <w:sz w:val="24"/>
                <w:szCs w:val="24"/>
                <w:rFonts w:ascii="Times New Roman" w:hAnsi="Times New Roman"/>
              </w:rPr>
              <w:t xml:space="preserve"> </w:t>
            </w:r>
            <w:r>
              <w:rPr>
                <w:color w:val="000000"/>
                <w:sz w:val="24"/>
                <w:szCs w:val="24"/>
                <w:rFonts w:ascii="Times New Roman" w:hAnsi="Times New Roman"/>
              </w:rPr>
              <w:t xml:space="preserve">Προθεσμία παράδοσης των στοιχείων του καταλόγου 1</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0,2</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szCs w:val="24"/>
                <w:rFonts w:ascii="Times New Roman" w:hAnsi="Times New Roman"/>
              </w:rPr>
              <w:t xml:space="preserve">4.</w:t>
            </w:r>
            <w:r>
              <w:rPr>
                <w:b/>
                <w:color w:val="000000"/>
                <w:sz w:val="24"/>
                <w:szCs w:val="24"/>
                <w:rFonts w:ascii="Times New Roman" w:hAnsi="Times New Roman"/>
              </w:rPr>
              <w:t xml:space="preserve"> </w:t>
            </w:r>
            <w:r>
              <w:rPr>
                <w:b/>
                <w:color w:val="000000"/>
                <w:sz w:val="24"/>
                <w:szCs w:val="24"/>
                <w:rFonts w:ascii="Times New Roman" w:hAnsi="Times New Roman"/>
              </w:rPr>
              <w:t xml:space="preserve">Τιμή των εξαρτημάτων</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4.1.</w:t>
            </w:r>
            <w:r>
              <w:rPr>
                <w:color w:val="000000"/>
                <w:sz w:val="24"/>
                <w:szCs w:val="24"/>
                <w:rFonts w:ascii="Times New Roman" w:hAnsi="Times New Roman"/>
              </w:rPr>
              <w:t xml:space="preserve"> </w:t>
            </w:r>
            <w:r>
              <w:rPr>
                <w:color w:val="000000"/>
                <w:sz w:val="24"/>
                <w:szCs w:val="24"/>
                <w:rFonts w:ascii="Times New Roman" w:hAnsi="Times New Roman"/>
              </w:rPr>
              <w:t xml:space="preserve">Σχέση τιμής των στοιχείων του καταλόγου 2 έναντι τιμής του καινούριου εξοπλισμού</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w:t>
            </w:r>
          </w:p>
        </w:tc>
        <w:tc>
          <w:tcPr>
            <w:tcW w:w="515"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val="restar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b/>
                <w:color w:val="000000"/>
                <w:sz w:val="24"/>
                <w:szCs w:val="24"/>
                <w:rFonts w:ascii="Times New Roman" w:hAnsi="Times New Roman"/>
              </w:rPr>
              <w:t xml:space="preserve">5.</w:t>
            </w:r>
            <w:r>
              <w:rPr>
                <w:b/>
                <w:color w:val="000000"/>
                <w:sz w:val="24"/>
                <w:szCs w:val="24"/>
                <w:rFonts w:ascii="Times New Roman" w:hAnsi="Times New Roman"/>
              </w:rPr>
              <w:t xml:space="preserve"> </w:t>
            </w:r>
            <w:r>
              <w:rPr>
                <w:b/>
                <w:color w:val="000000"/>
                <w:sz w:val="24"/>
                <w:szCs w:val="24"/>
                <w:rFonts w:ascii="Times New Roman" w:hAnsi="Times New Roman"/>
              </w:rPr>
              <w:t xml:space="preserve">Ειδικό κριτήριο</w:t>
            </w:r>
          </w:p>
          <w:p w:rsidR="00A920F2" w:rsidRDefault="00515C32" w:rsidP="00591C74">
            <w:pPr>
              <w:suppressAutoHyphens w:val="0"/>
              <w:spacing w:after="0" w:line="240" w:lineRule="auto"/>
              <w:rPr>
                <w:b/>
                <w:color w:val="000000"/>
                <w:sz w:val="24"/>
                <w:szCs w:val="24"/>
                <w:rFonts w:ascii="Times New Roman" w:hAnsi="Times New Roman" w:cs="Times New Roman"/>
              </w:rPr>
            </w:pPr>
            <w:r>
              <w:rPr>
                <w:b/>
                <w:color w:val="000000"/>
                <w:sz w:val="24"/>
                <w:szCs w:val="24"/>
                <w:rFonts w:ascii="Times New Roman" w:hAnsi="Times New Roman"/>
              </w:rPr>
              <w:t xml:space="preserve">(Παράδειγμα με 3 επιμέρους κριτήρια)</w:t>
            </w: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5.1.</w:t>
            </w:r>
            <w:r>
              <w:rPr>
                <w:color w:val="000000"/>
                <w:sz w:val="24"/>
                <w:szCs w:val="24"/>
                <w:rFonts w:ascii="Times New Roman" w:hAnsi="Times New Roman"/>
              </w:rPr>
              <w:t xml:space="preserve"> </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w:t>
            </w:r>
          </w:p>
        </w:tc>
        <w:tc>
          <w:tcPr>
            <w:tcW w:w="515" w:type="pct"/>
            <w:vMerge w:val="restar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5.2.</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924" w:type="pct"/>
            <w:vMerge/>
            <w:tcBorders>
              <w:top w:val="single" w:sz="4" w:space="0" w:color="00000A"/>
              <w:left w:val="single" w:sz="4" w:space="0" w:color="00000A"/>
              <w:bottom w:val="single" w:sz="4" w:space="0" w:color="00000A"/>
            </w:tcBorders>
            <w:shd w:val="clear" w:color="auto" w:fill="auto"/>
          </w:tcPr>
          <w:p w:rsidR="00A920F2" w:rsidRDefault="00A920F2" w:rsidP="00591C74">
            <w:pPr>
              <w:suppressAutoHyphens w:val="0"/>
              <w:snapToGrid w:val="0"/>
              <w:spacing w:after="0" w:line="240" w:lineRule="auto"/>
              <w:rPr>
                <w:rFonts w:ascii="Times New Roman" w:hAnsi="Times New Roman" w:cs="Times New Roman"/>
                <w:color w:val="000000"/>
                <w:sz w:val="24"/>
                <w:szCs w:val="24"/>
              </w:rPr>
            </w:pPr>
          </w:p>
        </w:tc>
        <w:tc>
          <w:tcPr>
            <w:tcW w:w="1768" w:type="pct"/>
            <w:tcBorders>
              <w:top w:val="single" w:sz="4" w:space="0" w:color="00000A"/>
              <w:left w:val="single" w:sz="4" w:space="0" w:color="00000A"/>
              <w:bottom w:val="single" w:sz="4" w:space="0" w:color="00000A"/>
            </w:tcBorders>
            <w:shd w:val="clear" w:color="auto" w:fill="auto"/>
          </w:tcPr>
          <w:p w:rsidR="00A920F2" w:rsidRDefault="00515C32" w:rsidP="00591C74">
            <w:pPr>
              <w:suppressAutoHyphens w:val="0"/>
              <w:spacing w:after="0" w:line="240" w:lineRule="auto"/>
            </w:pPr>
            <w:r>
              <w:rPr>
                <w:color w:val="000000"/>
                <w:sz w:val="24"/>
                <w:szCs w:val="24"/>
                <w:rFonts w:ascii="Times New Roman" w:hAnsi="Times New Roman"/>
              </w:rPr>
              <w:t xml:space="preserve">5.3.</w:t>
            </w:r>
          </w:p>
        </w:tc>
        <w:tc>
          <w:tcPr>
            <w:tcW w:w="550" w:type="pct"/>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c>
          <w:tcPr>
            <w:tcW w:w="678" w:type="pct"/>
            <w:tcBorders>
              <w:top w:val="single" w:sz="4" w:space="0" w:color="00000A"/>
              <w:left w:val="single" w:sz="8" w:space="0" w:color="00000A"/>
              <w:bottom w:val="single" w:sz="4"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0,5</w:t>
            </w:r>
          </w:p>
        </w:tc>
        <w:tc>
          <w:tcPr>
            <w:tcW w:w="515" w:type="pct"/>
            <w:vMerge/>
            <w:tcBorders>
              <w:top w:val="single" w:sz="8" w:space="0" w:color="00000A"/>
              <w:left w:val="single" w:sz="8" w:space="0" w:color="00000A"/>
              <w:bottom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rsidR="00A920F2" w:rsidRDefault="00A920F2" w:rsidP="00591C74">
            <w:pPr>
              <w:suppressAutoHyphens w:val="0"/>
              <w:snapToGrid w:val="0"/>
              <w:spacing w:after="0" w:line="240" w:lineRule="auto"/>
              <w:jc w:val="center"/>
              <w:rPr>
                <w:rFonts w:ascii="Times New Roman" w:hAnsi="Times New Roman" w:cs="Times New Roman"/>
                <w:color w:val="000000"/>
                <w:sz w:val="24"/>
                <w:szCs w:val="24"/>
              </w:rPr>
            </w:pPr>
          </w:p>
        </w:tc>
      </w:tr>
      <w:tr w:rsidR="00A920F2" w:rsidTr="00591C74">
        <w:tc>
          <w:tcPr>
            <w:tcW w:w="4436" w:type="pct"/>
            <w:gridSpan w:val="5"/>
            <w:tcBorders>
              <w:top w:val="single" w:sz="8" w:space="0" w:color="00000A"/>
              <w:left w:val="single" w:sz="8" w:space="0" w:color="00000A"/>
              <w:bottom w:val="single" w:sz="8" w:space="0" w:color="00000A"/>
            </w:tcBorders>
            <w:shd w:val="clear" w:color="auto" w:fill="auto"/>
          </w:tcPr>
          <w:p w:rsidR="00A920F2" w:rsidRDefault="00515C32" w:rsidP="00591C74">
            <w:pPr>
              <w:suppressAutoHyphens w:val="0"/>
              <w:spacing w:after="0" w:line="240" w:lineRule="auto"/>
              <w:jc w:val="right"/>
            </w:pPr>
            <w:r>
              <w:rPr>
                <w:b/>
                <w:color w:val="000000"/>
                <w:sz w:val="24"/>
                <w:szCs w:val="24"/>
                <w:rFonts w:ascii="Times New Roman" w:hAnsi="Times New Roman"/>
              </w:rPr>
              <w:t xml:space="preserve">Βαθμολογία δείκτη</w:t>
            </w:r>
            <w:r>
              <w:rPr>
                <w:b/>
                <w:color w:val="000000"/>
                <w:sz w:val="24"/>
                <w:szCs w:val="24"/>
                <w:rFonts w:ascii="Times New Roman" w:hAnsi="Times New Roman"/>
              </w:rPr>
              <w:t xml:space="preserve"> </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suppressAutoHyphens w:val="0"/>
              <w:spacing w:after="0" w:line="240" w:lineRule="auto"/>
              <w:jc w:val="center"/>
            </w:pPr>
            <w:r>
              <w:rPr>
                <w:color w:val="000000"/>
                <w:sz w:val="24"/>
                <w:szCs w:val="24"/>
                <w:rFonts w:ascii="Times New Roman" w:hAnsi="Times New Roman"/>
              </w:rPr>
              <w:t xml:space="preserve">▀▀/10</w:t>
            </w:r>
          </w:p>
        </w:tc>
      </w:tr>
      <w:tr w:rsidR="00A920F2" w:rsidTr="00591C74">
        <w:tc>
          <w:tcPr>
            <w:tcW w:w="5000" w:type="pct"/>
            <w:gridSpan w:val="6"/>
            <w:tcBorders>
              <w:top w:val="single" w:sz="8" w:space="0" w:color="00000A"/>
              <w:left w:val="single" w:sz="8" w:space="0" w:color="00000A"/>
              <w:bottom w:val="single" w:sz="8" w:space="0" w:color="00000A"/>
              <w:right w:val="single" w:sz="8" w:space="0" w:color="00000A"/>
            </w:tcBorders>
            <w:shd w:val="clear" w:color="auto" w:fill="auto"/>
          </w:tcPr>
          <w:p w:rsidR="00A920F2" w:rsidRDefault="00515C32" w:rsidP="00591C74">
            <w:pPr>
              <w:pStyle w:val="SNSignatureGauche"/>
              <w:suppressAutoHyphens w:val="0"/>
              <w:spacing w:before="0" w:after="0" w:line="240" w:lineRule="auto"/>
              <w:ind w:left="0" w:right="0" w:firstLine="0"/>
              <w:jc w:val="both"/>
            </w:pPr>
            <w:r>
              <w:rPr>
                <w:i/>
                <w:color w:val="000000"/>
                <w:rFonts w:ascii="Times New Roman" w:hAnsi="Times New Roman"/>
              </w:rPr>
              <w:t xml:space="preserve">*κατάλογος 2: κατάλογος 3 έως 5 εξαρτημάτων κατ’ ανώτατο όριο (ανάλογα με τη σχετική κατηγορία εξοπλισμού) των οποίων οι ζημίες ή οι βλάβες είναι οι συχνότερες,</w:t>
            </w:r>
          </w:p>
          <w:p w:rsidR="00A920F2" w:rsidRDefault="00515C32" w:rsidP="00BD3BED">
            <w:pPr>
              <w:pStyle w:val="SNSignatureGauche"/>
              <w:suppressAutoHyphens w:val="0"/>
              <w:spacing w:before="0" w:after="0" w:line="240" w:lineRule="auto"/>
              <w:ind w:left="0" w:right="0" w:firstLine="0"/>
              <w:jc w:val="both"/>
            </w:pPr>
            <w:r>
              <w:rPr>
                <w:i/>
                <w:color w:val="000000"/>
                <w:rFonts w:ascii="Times New Roman" w:hAnsi="Times New Roman"/>
              </w:rPr>
              <w:t xml:space="preserve">**κατάλογος 1: κατάλογος 10 άλλων εξαρτημάτων κατ’ ανώτατο όριο (ανάλογα με τη σχετική κατηγορία εξοπλισμού) η καλή κατάσταση των οποίων είναι απαραίτητη για τη λειτουργία του εξοπλισμού.</w:t>
            </w:r>
          </w:p>
        </w:tc>
      </w:tr>
    </w:tbl>
    <w:p w:rsidR="00A920F2" w:rsidRDefault="00A920F2" w:rsidP="00591C74">
      <w:pPr>
        <w:pStyle w:val="SNSignatureGauche"/>
        <w:spacing w:before="0" w:after="0" w:line="240" w:lineRule="auto"/>
        <w:ind w:left="0" w:right="0" w:firstLine="0"/>
        <w:jc w:val="both"/>
        <w:rPr>
          <w:rFonts w:ascii="Times New Roman" w:hAnsi="Times New Roman"/>
          <w:color w:val="000000"/>
        </w:rPr>
      </w:pPr>
    </w:p>
    <w:p w:rsidR="00A920F2" w:rsidRDefault="00515C32" w:rsidP="00591C74">
      <w:pPr>
        <w:spacing w:after="0" w:line="240" w:lineRule="auto"/>
      </w:pPr>
      <w:r>
        <w:rPr>
          <w:color w:val="000000"/>
          <w:sz w:val="24"/>
          <w:szCs w:val="24"/>
          <w:rFonts w:ascii="Times New Roman" w:hAnsi="Times New Roman"/>
        </w:rPr>
        <w:t xml:space="preserve">Για ένα κριτήριο, το άθροισμα των συντελεστών των επιμέρους κριτηρίων ισούται με 2.</w:t>
      </w:r>
    </w:p>
    <w:p w:rsidR="009451F9" w:rsidRDefault="00515C32" w:rsidP="00591C74">
      <w:pPr>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Οι λεπτομερείς κλίμακες βαθμολόγησης ειδικά για κάθε κατηγορία εξοπλισμού που υποδεικνύουν τους καταλόγους στοιχείων και τα στοιχεία κάθε επιμέρους κριτηρίου ορίζονται με διάταγμα.</w:t>
      </w:r>
    </w:p>
    <w:p w:rsidR="00A920F2" w:rsidRDefault="00A920F2" w:rsidP="00591C74">
      <w:pPr>
        <w:spacing w:after="0" w:line="240" w:lineRule="auto"/>
      </w:pPr>
    </w:p>
    <w:p w:rsidR="00591C74" w:rsidRDefault="00515C32" w:rsidP="00591C74">
      <w:pPr>
        <w:pStyle w:val="SNSignatureGauche"/>
        <w:keepNext/>
        <w:keepLines/>
        <w:spacing w:before="0" w:after="0" w:line="240" w:lineRule="auto"/>
        <w:ind w:left="0" w:right="0" w:firstLine="0"/>
        <w:jc w:val="both"/>
        <w:rPr>
          <w:b/>
          <w:color w:val="000000"/>
          <w:rFonts w:ascii="Times New Roman" w:hAnsi="Times New Roman"/>
        </w:rPr>
      </w:pPr>
      <w:r>
        <w:rPr>
          <w:b/>
          <w:color w:val="000000"/>
          <w:rFonts w:ascii="Times New Roman" w:hAnsi="Times New Roman"/>
        </w:rPr>
        <w:t xml:space="preserve">Άρθρο 5:</w:t>
      </w:r>
      <w:r>
        <w:rPr>
          <w:b/>
          <w:color w:val="000000"/>
          <w:rFonts w:ascii="Times New Roman" w:hAnsi="Times New Roman"/>
        </w:rPr>
        <w:t xml:space="preserve"> </w:t>
      </w:r>
      <w:r>
        <w:rPr>
          <w:b/>
          <w:color w:val="000000"/>
          <w:rFonts w:ascii="Times New Roman" w:hAnsi="Times New Roman"/>
        </w:rPr>
        <w:t xml:space="preserve">Ορισμός των επιμέρους κριτηρίων</w:t>
      </w:r>
    </w:p>
    <w:p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rsidR="00591C74" w:rsidRDefault="00515C32" w:rsidP="00591C74">
      <w:pPr>
        <w:pStyle w:val="SNSignatureGauche"/>
        <w:keepNext/>
        <w:keepLines/>
        <w:spacing w:before="0" w:after="0" w:line="240" w:lineRule="auto"/>
        <w:ind w:left="0" w:right="0" w:firstLine="0"/>
        <w:jc w:val="both"/>
        <w:rPr>
          <w:b/>
          <w:color w:val="000000"/>
          <w:rFonts w:ascii="Times New Roman" w:hAnsi="Times New Roman"/>
        </w:rPr>
      </w:pPr>
      <w:r>
        <w:rPr>
          <w:b/>
          <w:color w:val="000000"/>
          <w:rFonts w:ascii="Times New Roman" w:hAnsi="Times New Roman"/>
        </w:rPr>
        <w:t xml:space="preserve">Κριτήριο αριθ.1 - Τεκμηρίωση:</w:t>
      </w:r>
    </w:p>
    <w:p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rsidR="009451F9" w:rsidRDefault="00515C32" w:rsidP="00591C74">
      <w:pPr>
        <w:pStyle w:val="SNSignatureGauche"/>
        <w:keepNext/>
        <w:keepLines/>
        <w:spacing w:before="0" w:after="0" w:line="240" w:lineRule="auto"/>
        <w:ind w:left="0" w:right="0" w:firstLine="0"/>
        <w:jc w:val="both"/>
        <w:rPr>
          <w:b/>
          <w:color w:val="000000"/>
          <w:rFonts w:ascii="Times New Roman" w:hAnsi="Times New Roman"/>
        </w:rPr>
      </w:pPr>
      <w:r>
        <w:rPr>
          <w:b/>
          <w:color w:val="000000"/>
          <w:rFonts w:ascii="Times New Roman" w:hAnsi="Times New Roman"/>
        </w:rPr>
        <w:t xml:space="preserve">Επιμέρους κριτήριο 1.1:</w:t>
      </w:r>
      <w:r>
        <w:rPr>
          <w:b/>
          <w:color w:val="000000"/>
          <w:rFonts w:ascii="Times New Roman" w:hAnsi="Times New Roman"/>
        </w:rPr>
        <w:t xml:space="preserve"> </w:t>
      </w:r>
      <w:r>
        <w:rPr>
          <w:b/>
          <w:color w:val="000000"/>
          <w:rFonts w:ascii="Times New Roman" w:hAnsi="Times New Roman"/>
        </w:rPr>
        <w:t xml:space="preserve">Διάρκεια διαθεσιμότητας της τεχνικής τεκμηρίωσης και αυτής που αφορά τις συμβουλές χρήσης και συντήρησης</w:t>
      </w:r>
    </w:p>
    <w:p w:rsidR="00A920F2" w:rsidRPr="009451F9" w:rsidRDefault="00515C32" w:rsidP="009451F9">
      <w:pPr>
        <w:suppressAutoHyphens w:val="0"/>
        <w:spacing w:after="0" w:line="240" w:lineRule="auto"/>
        <w:jc w:val="both"/>
        <w:rPr>
          <w:color w:val="000000"/>
          <w:sz w:val="24"/>
          <w:szCs w:val="24"/>
          <w:rFonts w:ascii="Times New Roman" w:hAnsi="Times New Roman" w:cs="Times New Roman"/>
        </w:rPr>
      </w:pPr>
      <w:r>
        <w:rPr>
          <w:color w:val="000000"/>
          <w:sz w:val="24"/>
          <w:szCs w:val="24"/>
          <w:rFonts w:ascii="Times New Roman" w:hAnsi="Times New Roman"/>
        </w:rPr>
        <w:t xml:space="preserve">Καθορίζεται ως αριθμός ετών από τη δέσμευση του παραγωγού να καθιστά διαθέσιμα δωρεάν τα τεχνικά έγγραφα στους εξουσιοδοτημένους και ανεξάρτητους επισκευαστές και τους καταναλωτές, καθώς και τα έγγραφα που αφορούν τις συμβουλές χρήσης και συντήρησης στους καταναλωτές, αρχής γενομένης από την κυκλοφορία του τελευταίου τεμαχίου στην αγορά.</w:t>
      </w:r>
    </w:p>
    <w:p w:rsidR="00A920F2" w:rsidRDefault="00A920F2" w:rsidP="00591C74">
      <w:pPr>
        <w:pStyle w:val="SNSignatureGauche"/>
        <w:spacing w:before="0" w:after="0" w:line="240" w:lineRule="auto"/>
        <w:ind w:left="0" w:right="0" w:firstLine="0"/>
        <w:jc w:val="left"/>
        <w:rPr>
          <w:rFonts w:ascii="Times New Roman" w:hAnsi="Times New Roman"/>
          <w:b/>
          <w:color w:val="000000"/>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Κριτήριο αριθ. 2 - Δυνατότητα αποσυναρμολόγησης και πρόσβαση, εργαλεία, στηρίγματα:</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Επιμέρους κριτήριο 2.1.</w:t>
      </w:r>
      <w:r>
        <w:rPr>
          <w:b/>
          <w:color w:val="000000"/>
          <w:sz w:val="24"/>
          <w:szCs w:val="24"/>
          <w:rFonts w:ascii="Times New Roman" w:hAnsi="Times New Roman"/>
        </w:rPr>
        <w:t xml:space="preserve"> </w:t>
      </w:r>
      <w:r>
        <w:rPr>
          <w:b/>
          <w:color w:val="000000"/>
          <w:sz w:val="24"/>
          <w:szCs w:val="24"/>
          <w:rFonts w:ascii="Times New Roman" w:hAnsi="Times New Roman"/>
        </w:rPr>
        <w:t xml:space="preserve">Ευκολία αποσυναρμολόγησης των στοιχείων του καταλόγου 2:</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από τον αριθμό σταδίων αποσυναρμολόγησης που επιτρέπουν, για κάθε εξάρτημα του καταλόγου 2, τη μοναδιαία πρόσβαση στο εν λόγω εξάρτημα και την αποσύνδεσή του από τον εξοπλισμό ενόψει της αντικατάστασής του.</w:t>
      </w:r>
      <w:r>
        <w:rPr>
          <w:color w:val="000000"/>
          <w:sz w:val="24"/>
          <w:szCs w:val="24"/>
          <w:rFonts w:ascii="Times New Roman" w:hAnsi="Times New Roman"/>
        </w:rPr>
        <w:t xml:space="preserve"> </w:t>
      </w:r>
      <w:r>
        <w:rPr>
          <w:color w:val="000000"/>
          <w:sz w:val="24"/>
          <w:szCs w:val="24"/>
          <w:rFonts w:ascii="Times New Roman" w:hAnsi="Times New Roman"/>
        </w:rPr>
        <w:t xml:space="preserve">Θεσπίζεται σχέση μεταξύ της βαθμολόγησης του εν λόγω επιμέρους κριτηρίου και αυτής του επιμέρους κριτηρίου 3.1, στην περίπτωση που ένα εξάρτημα δεν αποσυναρμολογείται: η μηδενική βαθμολογία μεταφέρεται τότε από το ένα επιμέρους κριτήριο στο άλλο.</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Επιμέρους κριτήριο 2.2.</w:t>
      </w:r>
      <w:r>
        <w:rPr>
          <w:b/>
          <w:color w:val="000000"/>
          <w:sz w:val="24"/>
          <w:szCs w:val="24"/>
          <w:rFonts w:ascii="Times New Roman" w:hAnsi="Times New Roman"/>
        </w:rPr>
        <w:t xml:space="preserve"> </w:t>
      </w:r>
      <w:r>
        <w:rPr>
          <w:b/>
          <w:color w:val="000000"/>
          <w:sz w:val="24"/>
          <w:szCs w:val="24"/>
          <w:rFonts w:ascii="Times New Roman" w:hAnsi="Times New Roman"/>
        </w:rPr>
        <w:t xml:space="preserve">Απαραίτητα εργαλεία:</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από το είδος εργαλείων που απαιτούνται για την αποσυναρμολόγηση κάθε εξαρτήματος του καταλόγου 2, αναλόγως της τυπολογίας που κάνει διάκριση ανάμεσα στα «κοινά», τα «ειδικά» και τα «ιδιόκτητα» εργαλεία.</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Επιμέρους κριτήριο 2.3.</w:t>
      </w:r>
      <w:r>
        <w:rPr>
          <w:b/>
          <w:color w:val="000000"/>
          <w:sz w:val="24"/>
          <w:szCs w:val="24"/>
          <w:rFonts w:ascii="Times New Roman" w:hAnsi="Times New Roman"/>
        </w:rPr>
        <w:t xml:space="preserve"> </w:t>
      </w:r>
      <w:r>
        <w:rPr>
          <w:b/>
          <w:color w:val="000000"/>
          <w:sz w:val="24"/>
          <w:szCs w:val="24"/>
          <w:rFonts w:ascii="Times New Roman" w:hAnsi="Times New Roman"/>
        </w:rPr>
        <w:t xml:space="preserve">Χαρακτηριστικά των στηριγμάτων:</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για καθένα από τα εξαρτήματα των καταλόγων 1 και 2, από τον τύπο στηριγμάτων που διασφαλίζουν τη σύνδεσή τους με τα άλλα εξαρτήματα του εξοπλισμού, ανάλογα με την τυπολογία που κάνει διάκριση ανάμεσα σε «αποσπώμενα και επαναχρησιμοποιούμενα», «αποσπώμενα και μη επαναχρησιμοποιούμενα» ή «μη αποσπώμενα και μη επαναχρησιμοποιούμενα» στηρίγματα.</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Κριτήριο αριθ. 3 - Διαθεσιμότητα των εξαρτημάτων</w:t>
      </w:r>
    </w:p>
    <w:p w:rsidR="00A920F2" w:rsidRDefault="00A920F2" w:rsidP="00591C74">
      <w:pPr>
        <w:keepNext/>
        <w:keepLines/>
        <w:suppressAutoHyphens w:val="0"/>
        <w:spacing w:after="0" w:line="240" w:lineRule="auto"/>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Επιμέρους κριτήριο 3.1.</w:t>
      </w:r>
      <w:r>
        <w:rPr>
          <w:b/>
          <w:color w:val="000000"/>
          <w:sz w:val="24"/>
          <w:szCs w:val="24"/>
          <w:rFonts w:ascii="Times New Roman" w:hAnsi="Times New Roman"/>
        </w:rPr>
        <w:t xml:space="preserve"> </w:t>
      </w:r>
      <w:r>
        <w:rPr>
          <w:b/>
          <w:color w:val="000000"/>
          <w:sz w:val="24"/>
          <w:szCs w:val="24"/>
          <w:rFonts w:ascii="Times New Roman" w:hAnsi="Times New Roman"/>
        </w:rPr>
        <w:t xml:space="preserve">Διάρκεια διαθεσιμότητας των στοιχείων του καταλόγου 2</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ως αριθμός ετών από τη δέσμευση του παραγωγού να καθιστά διαθέσιμα τα εξαρτήματα του καταλόγου 2 στους διανομείς εξαρτημάτων, τους εξουσιοδοτημένους και ανεξάρτητους επισκευαστές και τους καταναλωτές, αρχής γενομένης από την κυκλοφορία του τελευταίου τεμαχίου στην αγορά.</w:t>
      </w:r>
    </w:p>
    <w:p w:rsidR="00A920F2" w:rsidRDefault="00A920F2" w:rsidP="00591C74">
      <w:pPr>
        <w:suppressAutoHyphens w:val="0"/>
        <w:spacing w:after="0" w:line="240" w:lineRule="auto"/>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Επιμέρους κριτήριο 3.2.</w:t>
      </w:r>
      <w:r>
        <w:rPr>
          <w:b/>
          <w:color w:val="000000"/>
          <w:sz w:val="24"/>
          <w:szCs w:val="24"/>
          <w:rFonts w:ascii="Times New Roman" w:hAnsi="Times New Roman"/>
        </w:rPr>
        <w:t xml:space="preserve"> </w:t>
      </w:r>
      <w:r>
        <w:rPr>
          <w:b/>
          <w:color w:val="000000"/>
          <w:sz w:val="24"/>
          <w:szCs w:val="24"/>
          <w:rFonts w:ascii="Times New Roman" w:hAnsi="Times New Roman"/>
        </w:rPr>
        <w:t xml:space="preserve">Διάρκεια διαθεσιμότητας των στοιχείων του καταλόγου 1.</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ως αριθμός ετών από τη δέσμευση του παραγωγού να καθιστά διαθέσιμα τα εξαρτήματα του καταλόγου 1 στους διανομείς εξαρτημάτων, τους εξουσιοδοτημένους και ανεξάρτητους επισκευαστές και τους καταναλωτές, αρχής γενομένης από την κυκλοφορία του τελευταίου τεμαχίου στην αγορά.</w:t>
      </w:r>
    </w:p>
    <w:p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Επιμέρους κριτήριο 3.3.</w:t>
      </w:r>
      <w:r>
        <w:rPr>
          <w:b/>
          <w:color w:val="000000"/>
          <w:sz w:val="24"/>
          <w:szCs w:val="24"/>
          <w:rFonts w:ascii="Times New Roman" w:hAnsi="Times New Roman"/>
        </w:rPr>
        <w:t xml:space="preserve"> </w:t>
      </w:r>
      <w:r>
        <w:rPr>
          <w:b/>
          <w:color w:val="000000"/>
          <w:sz w:val="24"/>
          <w:szCs w:val="24"/>
          <w:rFonts w:ascii="Times New Roman" w:hAnsi="Times New Roman"/>
        </w:rPr>
        <w:t xml:space="preserve">Προθεσμία παράδοσης των στοιχείων του καταλόγου 2</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ως αριθμός εργάσιμων ημερών από την ημέρα παραγγελίας από τη δέσμευση του παραγωγού να τηρεί μια προθεσμία παράδοσης των στοιχείων του καταλόγου 2 στους διανομείς εξαρτημάτων, τους εξουσιοδοτημένους και ανεξάρτητους επισκευαστές και τους καταναλωτές.</w:t>
      </w:r>
    </w:p>
    <w:p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pPr>
      <w:r>
        <w:rPr>
          <w:b/>
          <w:color w:val="000000"/>
          <w:sz w:val="24"/>
          <w:szCs w:val="24"/>
          <w:rFonts w:ascii="Times New Roman" w:hAnsi="Times New Roman"/>
        </w:rPr>
        <w:t xml:space="preserve">Επιμέρους κριτήριο 3.4.</w:t>
      </w:r>
      <w:r>
        <w:rPr>
          <w:b/>
          <w:color w:val="000000"/>
          <w:sz w:val="24"/>
          <w:szCs w:val="24"/>
          <w:rFonts w:ascii="Times New Roman" w:hAnsi="Times New Roman"/>
        </w:rPr>
        <w:t xml:space="preserve"> </w:t>
      </w:r>
      <w:r>
        <w:rPr>
          <w:b/>
          <w:color w:val="000000"/>
          <w:sz w:val="24"/>
          <w:szCs w:val="24"/>
          <w:rFonts w:ascii="Times New Roman" w:hAnsi="Times New Roman"/>
        </w:rPr>
        <w:t xml:space="preserve">Προθεσμία παράδοσης των στοιχείων του καταλόγου 1</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Καθορίζεται ως αριθμός εργάσιμων ημερών από την ημέρα παραγγελίας από τη δέσμευση του παραγωγού να τηρεί μια προθεσμία παράδοσης των στοιχείων του καταλόγου 1 στους διανομείς εξαρτημάτων, τους εξουσιοδοτημένους και ανεξάρτητους επισκευαστές και τους καταναλωτές.</w:t>
      </w:r>
    </w:p>
    <w:p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Κριτήριο αριθ. 4 - Τιμή των εξαρτημάτων</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591C74" w:rsidRPr="00591C74" w:rsidRDefault="00515C32" w:rsidP="00591C74">
      <w:pPr>
        <w:keepNext/>
        <w:keepLines/>
        <w:suppressAutoHyphens w:val="0"/>
        <w:spacing w:after="0" w:line="240" w:lineRule="auto"/>
        <w:jc w:val="both"/>
        <w:rPr>
          <w:b/>
          <w:color w:val="000000"/>
          <w:sz w:val="24"/>
          <w:szCs w:val="24"/>
          <w:rFonts w:ascii="Times New Roman" w:hAnsi="Times New Roman" w:cs="Times New Roman"/>
        </w:rPr>
      </w:pPr>
      <w:r>
        <w:rPr>
          <w:b/>
          <w:color w:val="000000"/>
          <w:sz w:val="24"/>
          <w:szCs w:val="24"/>
          <w:rFonts w:ascii="Times New Roman" w:hAnsi="Times New Roman"/>
        </w:rPr>
        <w:t xml:space="preserve">Επιμέρους κριτήριο 4.1.</w:t>
      </w:r>
      <w:r>
        <w:rPr>
          <w:b/>
          <w:color w:val="000000"/>
          <w:sz w:val="24"/>
          <w:szCs w:val="24"/>
          <w:rFonts w:ascii="Times New Roman" w:hAnsi="Times New Roman"/>
        </w:rPr>
        <w:t xml:space="preserve"> </w:t>
      </w:r>
      <w:r>
        <w:rPr>
          <w:b/>
          <w:color w:val="000000"/>
          <w:sz w:val="24"/>
          <w:szCs w:val="24"/>
          <w:rFonts w:ascii="Times New Roman" w:hAnsi="Times New Roman"/>
        </w:rPr>
        <w:t xml:space="preserve">Σχέση μεταξύ της τιμής πώλησης των στοιχείων από τον κατασκευαστή ή τον εισαγωγέα και της τιμής πώλησης του εξοπλισμού από τον κατασκευαστή ή τον εισαγωγέα.</w:t>
      </w:r>
    </w:p>
    <w:p w:rsidR="00A920F2" w:rsidRDefault="00515C32" w:rsidP="00591C74">
      <w:pPr>
        <w:keepNext/>
        <w:keepLines/>
        <w:suppressAutoHyphens w:val="0"/>
        <w:spacing w:after="0" w:line="240" w:lineRule="auto"/>
        <w:jc w:val="both"/>
      </w:pPr>
      <w:r>
        <w:rPr>
          <w:color w:val="000000"/>
          <w:sz w:val="24"/>
          <w:szCs w:val="24"/>
          <w:rFonts w:ascii="Times New Roman" w:hAnsi="Times New Roman"/>
        </w:rPr>
        <w:t xml:space="preserve">Το κριτήριο καθορίζεται εδραιώνοντας τη σχέση:</w:t>
      </w:r>
    </w:p>
    <w:p w:rsidR="00591C74" w:rsidRDefault="00515C32" w:rsidP="00591C74">
      <w:pPr>
        <w:suppressAutoHyphens w:val="0"/>
        <w:spacing w:after="0" w:line="240" w:lineRule="auto"/>
        <w:jc w:val="both"/>
        <w:rPr>
          <w:color w:val="000000"/>
          <w:sz w:val="24"/>
          <w:szCs w:val="24"/>
          <w:rFonts w:ascii="Times New Roman" w:hAnsi="Times New Roman" w:cs="Times New Roman"/>
        </w:rPr>
      </w:pPr>
      <w:r>
        <w:rPr>
          <w:color w:val="000000"/>
          <w:sz w:val="24"/>
          <w:szCs w:val="24"/>
          <w:rFonts w:ascii="Times New Roman" w:hAnsi="Times New Roman"/>
        </w:rPr>
        <w:t xml:space="preserve">μεταξύ τιμής προ φόρου του ακριβότερου εξαρτήματος του καταλόγου 2 + (μέσος όρος των τιμών προ φόρου των άλλων στοιχείων του καταλόγου 2)/2 και</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της τιμής προ φόρου του σχετικού μοντέλου εξοπλισμού όπου κάθε τιμή νοείται ως η τιμή προ φόρου της ισχύουσας τιμολογιακής κλίμακας κατά τον χρόνο υπολογισμού του δείκτη και όπως εμφανίζεται στους γενικούς όρους πώλησης του κατασκευαστή ή του εισαγωγέα ή, ελλείψει αυτών, σε οποιοδήποτε ισχύον συμβατικό έγγραφο.</w:t>
      </w:r>
      <w:r>
        <w:rPr>
          <w:color w:val="000000"/>
          <w:sz w:val="24"/>
          <w:szCs w:val="24"/>
          <w:rFonts w:ascii="Times New Roman" w:hAnsi="Times New Roman"/>
        </w:rPr>
        <w:t xml:space="preserve"> </w:t>
      </w:r>
    </w:p>
    <w:p w:rsidR="00A920F2" w:rsidRDefault="00A920F2" w:rsidP="00591C74">
      <w:pPr>
        <w:suppressAutoHyphens w:val="0"/>
        <w:spacing w:after="0" w:line="240" w:lineRule="auto"/>
        <w:jc w:val="both"/>
        <w:rPr>
          <w:rFonts w:ascii="Times New Roman" w:hAnsi="Times New Roman" w:cs="Times New Roman"/>
          <w:color w:val="000000"/>
          <w:sz w:val="24"/>
          <w:szCs w:val="24"/>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Σε περίπτωση που ο κατασκευαστής ή ένας εισαγωγέας διαθέτει, για τα εν λόγω εξαρτήματα, ή τον εν λόγω εξοπλισμό, πολλές τιμολογιακές κλίμακες ανάλογα με τις διαφορετικές κατηγορίες πελατών, διανομέων ή πωλητών, οι τιμές που ισχύουν για τον υπολογισμό του δείκτη είναι αυτές της κλίμακας που αντιπροσωπεύει το μεγαλύτερο τμήμα του κύκλου εργασιών του κατασκευαστή ή του εισαγωγέα για τον συναφή τύπο στοιχείων ή εξοπλισμού, κατά τη διάρκεια του τελευταίου οικονομικού έτους που έκλεισε.</w:t>
      </w:r>
      <w:r>
        <w:rPr>
          <w:color w:val="000000"/>
          <w:sz w:val="24"/>
          <w:szCs w:val="24"/>
          <w:rFonts w:ascii="Times New Roman" w:hAnsi="Times New Roman"/>
        </w:rPr>
        <w:t xml:space="preserve"> </w:t>
      </w:r>
    </w:p>
    <w:p w:rsidR="00A920F2" w:rsidRDefault="00A920F2" w:rsidP="00591C74">
      <w:pPr>
        <w:suppressAutoHyphens w:val="0"/>
        <w:spacing w:after="0" w:line="240" w:lineRule="auto"/>
        <w:jc w:val="both"/>
        <w:rPr>
          <w:rFonts w:ascii="Times New Roman" w:hAnsi="Times New Roman" w:cs="Times New Roman"/>
          <w:color w:val="000000"/>
          <w:sz w:val="24"/>
          <w:szCs w:val="24"/>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Σε περίπτωση που ορισμένα από αυτά τα εξαρτήματα είναι αλληλένδετα ή ακόμη σε περίπτωση που το προβλεπόμενο εξάρτημα είναι ενσωματωμένο σε δομοστοιχείο που διατίθεται μόνο του, η τιμή που θα λαμβάνεται υπόψη είναι η σωρευτική τιμή των στοιχείων ή η τιμή του δομοστοιχείου.</w:t>
      </w:r>
    </w:p>
    <w:p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Κριτήριο αριθ. 5 - Ειδικό κριτήριο ανά κατηγορία σχετικού εξοπλισμού</w:t>
      </w:r>
    </w:p>
    <w:p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Αυτό το κριτήριο συναποτελείται από ένα ή πολλαπλά επιμέρους κριτήρια που εξειδικεύονται ανά κατηγορία σχετικού εξοπλισμού.</w:t>
      </w:r>
      <w:r>
        <w:rPr>
          <w:color w:val="000000"/>
          <w:sz w:val="24"/>
          <w:szCs w:val="24"/>
          <w:rFonts w:ascii="Times New Roman" w:hAnsi="Times New Roman"/>
        </w:rPr>
        <w:t xml:space="preserve"> </w:t>
      </w:r>
      <w:r>
        <w:rPr>
          <w:color w:val="000000"/>
          <w:sz w:val="24"/>
          <w:szCs w:val="24"/>
          <w:rFonts w:ascii="Times New Roman" w:hAnsi="Times New Roman"/>
        </w:rPr>
        <w:t xml:space="preserve">Όταν αυτό ισχύει στην σχετική κατηγορία εξοπλισμού, το κριτήριο 5 για τη συγκεκριμένη κατηγορία περιλαμβάνει ένα επιμέρους κριτήριο που σχετίζεται με την παρουσία μετρητή χρήσης ορατού από τον καταναλωτή, του οποίου ο συντελεστής είναι τότε τουλάχιστον 1.</w:t>
      </w:r>
    </w:p>
    <w:p w:rsidR="00A920F2" w:rsidRDefault="00A920F2" w:rsidP="00591C74">
      <w:pPr>
        <w:pStyle w:val="SNSignatureGauche"/>
        <w:spacing w:before="0" w:after="0" w:line="240" w:lineRule="auto"/>
        <w:ind w:left="0" w:right="0" w:firstLine="0"/>
        <w:jc w:val="left"/>
        <w:rPr>
          <w:rFonts w:ascii="Times New Roman" w:hAnsi="Times New Roman"/>
          <w:b/>
          <w:color w:val="000000"/>
        </w:rPr>
      </w:pPr>
    </w:p>
    <w:p w:rsidR="00A920F2" w:rsidRDefault="00515C32" w:rsidP="00591C74">
      <w:pPr>
        <w:pStyle w:val="SNSignatureGauche"/>
        <w:keepNext/>
        <w:keepLines/>
        <w:spacing w:before="0" w:after="0" w:line="240" w:lineRule="auto"/>
        <w:ind w:left="0" w:right="0" w:firstLine="0"/>
        <w:jc w:val="left"/>
      </w:pPr>
      <w:r>
        <w:rPr>
          <w:b/>
          <w:color w:val="000000"/>
          <w:rFonts w:ascii="Times New Roman" w:hAnsi="Times New Roman"/>
        </w:rPr>
        <w:t xml:space="preserve">Άρθρο 6 - Ορισμοί που χρησιμοποιούνται</w:t>
      </w:r>
    </w:p>
    <w:p w:rsidR="00A920F2" w:rsidRDefault="00A920F2" w:rsidP="00591C74">
      <w:pPr>
        <w:pStyle w:val="SNSignatureGauche"/>
        <w:keepNext/>
        <w:keepLines/>
        <w:spacing w:before="0" w:after="0" w:line="240" w:lineRule="auto"/>
        <w:ind w:left="0" w:right="0" w:firstLine="0"/>
        <w:jc w:val="left"/>
        <w:rPr>
          <w:rFonts w:ascii="Times New Roman" w:hAnsi="Times New Roman"/>
          <w:b/>
          <w:color w:val="000000"/>
        </w:rPr>
      </w:pPr>
    </w:p>
    <w:p w:rsidR="00591C74" w:rsidRDefault="00515C32" w:rsidP="00591C74">
      <w:pPr>
        <w:pStyle w:val="SNSignatureGauche"/>
        <w:keepNext/>
        <w:keepLines/>
        <w:spacing w:before="0" w:after="0" w:line="240" w:lineRule="auto"/>
        <w:ind w:left="0" w:right="0" w:firstLine="0"/>
        <w:jc w:val="left"/>
        <w:rPr>
          <w:b/>
          <w:color w:val="000000"/>
          <w:rFonts w:ascii="Times New Roman" w:hAnsi="Times New Roman"/>
        </w:rPr>
      </w:pPr>
      <w:r>
        <w:rPr>
          <w:b/>
          <w:color w:val="000000"/>
          <w:rFonts w:ascii="Times New Roman" w:hAnsi="Times New Roman"/>
        </w:rPr>
        <w:t xml:space="preserve">Κατάλογος στοιχείων</w:t>
      </w:r>
    </w:p>
    <w:p w:rsidR="00591C74" w:rsidRDefault="00515C32" w:rsidP="002A489A">
      <w:pPr>
        <w:pStyle w:val="SNSignatureGauche"/>
        <w:keepNext/>
        <w:keepLines/>
        <w:spacing w:before="0" w:after="0" w:line="240" w:lineRule="auto"/>
        <w:ind w:left="0" w:right="0" w:firstLine="0"/>
        <w:jc w:val="both"/>
        <w:rPr>
          <w:color w:val="000000"/>
          <w:rFonts w:ascii="Times New Roman" w:hAnsi="Times New Roman"/>
        </w:rPr>
      </w:pPr>
      <w:r>
        <w:rPr>
          <w:color w:val="000000"/>
          <w:rFonts w:ascii="Times New Roman" w:hAnsi="Times New Roman"/>
        </w:rPr>
        <w:t xml:space="preserve">Ορίζονται δύο κατάλογοι στοιχείων για κάθε κατηγορία εξοπλισμού:</w:t>
      </w:r>
    </w:p>
    <w:p w:rsidR="00591C74" w:rsidRDefault="00515C32" w:rsidP="002A489A">
      <w:pPr>
        <w:pStyle w:val="SNSignatureGauche"/>
        <w:spacing w:before="0" w:after="0" w:line="240" w:lineRule="auto"/>
        <w:ind w:left="0" w:right="0" w:firstLine="0"/>
        <w:jc w:val="both"/>
        <w:rPr>
          <w:color w:val="000000"/>
          <w:rFonts w:ascii="Times New Roman" w:hAnsi="Times New Roman"/>
        </w:rPr>
      </w:pPr>
      <w:r>
        <w:rPr>
          <w:color w:val="000000"/>
          <w:rFonts w:ascii="Times New Roman" w:hAnsi="Times New Roman"/>
        </w:rPr>
        <w:t xml:space="preserve">- κατάλογος 2: κατάλογος τριών έως πέντε εξαρτημάτων κατ’ ανώτατο όριο (ανάλογα με τη σχετική κατηγορία εξοπλισμού) των οποίων οι ζημίες ή οι βλάβες είναι οι συχνότερες,</w:t>
      </w:r>
    </w:p>
    <w:p w:rsidR="00A920F2" w:rsidRDefault="00BD3BED" w:rsidP="002A489A">
      <w:pPr>
        <w:pStyle w:val="SNSignatureGauche"/>
        <w:spacing w:before="0" w:after="0" w:line="240" w:lineRule="auto"/>
        <w:ind w:left="0" w:right="0" w:firstLine="0"/>
        <w:jc w:val="both"/>
        <w:rPr>
          <w:color w:val="000000"/>
          <w:rFonts w:ascii="Times New Roman" w:hAnsi="Times New Roman"/>
        </w:rPr>
      </w:pPr>
      <w:r>
        <w:rPr>
          <w:color w:val="000000"/>
          <w:rFonts w:ascii="Times New Roman" w:hAnsi="Times New Roman"/>
        </w:rPr>
        <w:t xml:space="preserve">- κατάλογος 1: κατάλογος δέκα άλλων εξαρτημάτων κατ’ ανώτατο όριο (ανάλογα με τη σχετική κατηγορία εξοπλισμού) η καλή κατάσταση των οποίων είναι απαραίτητη για τη λειτουργία του εξοπλισμού.</w:t>
      </w:r>
    </w:p>
    <w:p w:rsidR="00591C74" w:rsidRDefault="00591C74" w:rsidP="00591C74">
      <w:pPr>
        <w:pStyle w:val="SNSignatureGauche"/>
        <w:spacing w:before="0" w:after="0" w:line="240" w:lineRule="auto"/>
        <w:ind w:left="0" w:right="0" w:firstLine="0"/>
        <w:jc w:val="left"/>
      </w:pPr>
    </w:p>
    <w:p w:rsidR="00A920F2" w:rsidRDefault="00515C32" w:rsidP="00591C74">
      <w:pPr>
        <w:pStyle w:val="SNSignatureGauche"/>
        <w:spacing w:before="0" w:after="0" w:line="240" w:lineRule="auto"/>
        <w:ind w:left="0" w:right="0" w:firstLine="0"/>
        <w:jc w:val="left"/>
      </w:pPr>
      <w:r>
        <w:rPr>
          <w:color w:val="000000"/>
          <w:rFonts w:ascii="Times New Roman" w:hAnsi="Times New Roman"/>
        </w:rPr>
        <w:t xml:space="preserve">Αυτοί οι κατάλογοι δεν καλύπτουν κατ’ ανάγκη το σύνολο των στοιχείων που συναποτελούν τον εξοπλισμό.</w:t>
      </w:r>
      <w:r>
        <w:rPr>
          <w:color w:val="000000"/>
          <w:rFonts w:ascii="Times New Roman" w:hAnsi="Times New Roman"/>
        </w:rPr>
        <w:t xml:space="preserve"> </w:t>
      </w:r>
    </w:p>
    <w:p w:rsidR="00591C74" w:rsidRDefault="00591C74" w:rsidP="00591C74">
      <w:pPr>
        <w:suppressAutoHyphens w:val="0"/>
        <w:spacing w:after="0" w:line="240" w:lineRule="auto"/>
        <w:jc w:val="both"/>
        <w:rPr>
          <w:rFonts w:ascii="Times New Roman" w:hAnsi="Times New Roman" w:cs="Times New Roman"/>
          <w:b/>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Η έννοια του σταδίου</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Ένα στάδιο είναι μια λειτουργία που καταλήγει στην αποξήλωση μιας διάταξης ή ενός εξαρτήματος ή στην αλλαγή εργαλείου.</w:t>
      </w:r>
      <w:r>
        <w:rPr>
          <w:color w:val="000000"/>
          <w:sz w:val="24"/>
          <w:szCs w:val="24"/>
          <w:rFonts w:ascii="Times New Roman" w:hAnsi="Times New Roman"/>
        </w:rPr>
        <w:t xml:space="preserve"> </w:t>
      </w:r>
      <w:r>
        <w:rPr>
          <w:color w:val="000000"/>
          <w:sz w:val="24"/>
          <w:szCs w:val="24"/>
          <w:rFonts w:ascii="Times New Roman" w:hAnsi="Times New Roman"/>
        </w:rPr>
        <w:t xml:space="preserve">Μια διάταξη μπορεί να περιλαμβάνει ένα ή περισσότερα εξαρτήματα.</w:t>
      </w:r>
    </w:p>
    <w:p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rsidR="00A920F2" w:rsidRDefault="00515C32" w:rsidP="00591C74">
      <w:pPr>
        <w:suppressAutoHyphens w:val="0"/>
        <w:spacing w:after="0" w:line="240" w:lineRule="auto"/>
        <w:jc w:val="both"/>
      </w:pPr>
      <w:r>
        <w:rPr>
          <w:bCs/>
          <w:color w:val="000000"/>
          <w:sz w:val="24"/>
          <w:szCs w:val="24"/>
          <w:rFonts w:ascii="Times New Roman" w:hAnsi="Times New Roman"/>
        </w:rPr>
        <w:t xml:space="preserve">Αυτός ο ευρύς ορισμός ενδέχεται να έχει εξαιρέσεις που αιτιολογούνται με πρακτικούς προβληματισμούς ή ζητήματα ασφάλειας.</w:t>
      </w:r>
      <w:r>
        <w:rPr>
          <w:bCs/>
          <w:color w:val="000000"/>
          <w:sz w:val="24"/>
          <w:szCs w:val="24"/>
          <w:rFonts w:ascii="Times New Roman" w:hAnsi="Times New Roman"/>
        </w:rPr>
        <w:t xml:space="preserve"> </w:t>
      </w:r>
      <w:r>
        <w:rPr>
          <w:bCs/>
          <w:color w:val="000000"/>
          <w:sz w:val="24"/>
          <w:szCs w:val="24"/>
          <w:rFonts w:ascii="Times New Roman" w:hAnsi="Times New Roman"/>
        </w:rPr>
        <w:t xml:space="preserve">Οι εν λόγω εξαιρέσεις προσδιορίζονται με διάταγμα του υπουργού Περιβάλλοντος και του υπουργού Οικονομίας και Οικονομικών για κάθε κατηγορία εξοπλισμού.</w:t>
      </w:r>
    </w:p>
    <w:p w:rsidR="00A920F2" w:rsidRDefault="00A920F2" w:rsidP="00591C74">
      <w:pPr>
        <w:suppressAutoHyphens w:val="0"/>
        <w:spacing w:after="0" w:line="240" w:lineRule="auto"/>
        <w:jc w:val="both"/>
        <w:rPr>
          <w:rFonts w:ascii="Times New Roman" w:hAnsi="Times New Roman" w:cs="Times New Roman"/>
          <w:bCs/>
          <w:color w:val="000000"/>
          <w:sz w:val="24"/>
          <w:szCs w:val="24"/>
        </w:rPr>
      </w:pPr>
    </w:p>
    <w:p w:rsidR="00A920F2" w:rsidRDefault="00515C32" w:rsidP="00591C74">
      <w:pPr>
        <w:suppressAutoHyphens w:val="0"/>
        <w:spacing w:after="0" w:line="240" w:lineRule="auto"/>
        <w:jc w:val="both"/>
      </w:pPr>
      <w:r>
        <w:rPr>
          <w:bCs/>
          <w:color w:val="000000"/>
          <w:sz w:val="24"/>
          <w:szCs w:val="24"/>
          <w:rFonts w:ascii="Times New Roman" w:hAnsi="Times New Roman"/>
        </w:rPr>
        <w:t xml:space="preserve">Τα στηρίγματα ή οι συνδέσεις ορίζονται ως τεχνικές συναρμολόγησης, στήριξης ή σφράγισης.</w:t>
      </w:r>
      <w:r>
        <w:rPr>
          <w:bCs/>
          <w:color w:val="000000"/>
          <w:sz w:val="24"/>
          <w:szCs w:val="24"/>
          <w:rFonts w:ascii="Times New Roman" w:hAnsi="Times New Roman"/>
        </w:rPr>
        <w:t xml:space="preserve"> </w:t>
      </w:r>
      <w:r>
        <w:rPr>
          <w:bCs/>
          <w:color w:val="000000"/>
          <w:sz w:val="24"/>
          <w:szCs w:val="24"/>
          <w:rFonts w:ascii="Times New Roman" w:hAnsi="Times New Roman"/>
        </w:rPr>
        <w:t xml:space="preserve">Τα στοιχεία στήριξης ή σύνδεσης δεν θεωρούνται εξαρτήματα.</w:t>
      </w:r>
    </w:p>
    <w:p w:rsidR="00A920F2" w:rsidRDefault="00A920F2" w:rsidP="00591C74">
      <w:pPr>
        <w:suppressAutoHyphens w:val="0"/>
        <w:spacing w:after="0" w:line="240" w:lineRule="auto"/>
        <w:jc w:val="both"/>
        <w:rPr>
          <w:rFonts w:ascii="Times New Roman" w:hAnsi="Times New Roman" w:cs="Times New Roman"/>
          <w:bCs/>
          <w:color w:val="000000"/>
          <w:sz w:val="24"/>
          <w:szCs w:val="24"/>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Τύποι στηριγμάτων</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Αποσπώμενο και επαναχρησιμοποιούμενο: ένα εργοστασιακό σύστημα στηριγμάτων που μπορεί να αφαιρεθεί εξ ολοκλήρου χωρίς να προκαλέσει βλάβη στον εξοπλισμό ή να αφήσει υπολείμματα, και μπορεί να χρησιμοποιηθεί εκ νέου.</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Αποσπώμενο και μη επαναχρησιμοποιούμενο: ένα εργοστασιακό σύστημα στηριγμάτων που μπορεί να αφαιρεθεί εξ ολοκλήρου χωρίς να προκαλέσει βλάβη ή να αφήσει υπολείμματα, αλλά δεν μπορεί να χρησιμοποιηθεί εκ νέου.</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Μη αποσπώμενο και μη επαναχρησιμοποιούμενο: ένα εργοστασιακό σύστημα στηριγμάτων που δεν μπορεί να αφαιρεθεί εξ ολοκλήρου χωρίς να προκαλέσει βλάβη στον εξοπλισμό ή να αφήσει υπολείμματα, και δεν μπορεί να χρησιμοποιηθεί εκ νέου.</w:t>
      </w:r>
    </w:p>
    <w:p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Τύποι εργαλείων</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Ο κατάλογος των κοινών εργαλείων αποτελείται από τον κατάλογο που ακολουθεί ο οποίος αντιστοιχεί στα πρότυπα αναφοράς:</w:t>
      </w:r>
    </w:p>
    <w:p w:rsidR="00A920F2" w:rsidRDefault="00A920F2" w:rsidP="00591C74">
      <w:pPr>
        <w:pStyle w:val="Tabletitle"/>
        <w:keepNext w:val="0"/>
        <w:spacing w:before="0" w:after="0" w:line="240" w:lineRule="auto"/>
        <w:jc w:val="left"/>
        <w:rPr>
          <w:rFonts w:ascii="Times New Roman" w:hAnsi="Times New Roman"/>
          <w:color w:val="000000"/>
          <w:sz w:val="24"/>
          <w:lang w:val="fr-FR" w:eastAsia="fr-FR"/>
        </w:rPr>
      </w:pPr>
    </w:p>
    <w:tbl>
      <w:tblPr>
        <w:tblW w:w="5000" w:type="pct"/>
        <w:tblLayout w:type="fixed"/>
        <w:tblCellMar>
          <w:left w:w="43" w:type="dxa"/>
          <w:right w:w="43" w:type="dxa"/>
        </w:tblCellMar>
        <w:tblLook w:val="0000" w:firstRow="0" w:lastRow="0" w:firstColumn="0" w:lastColumn="0" w:noHBand="0" w:noVBand="0"/>
      </w:tblPr>
      <w:tblGrid>
        <w:gridCol w:w="4828"/>
        <w:gridCol w:w="4898"/>
      </w:tblGrid>
      <w:tr w:rsidR="00A920F2" w:rsidRPr="009451F9" w:rsidTr="00591C74">
        <w:trPr>
          <w:tblHeader/>
        </w:trPr>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header"/>
              <w:keepNext/>
              <w:keepLines/>
              <w:spacing w:before="0" w:after="0" w:line="240" w:lineRule="auto"/>
              <w:jc w:val="center"/>
              <w:rPr>
                <w:b/>
                <w:color w:val="000000"/>
                <w:sz w:val="24"/>
                <w:szCs w:val="24"/>
                <w:rFonts w:ascii="Times New Roman" w:hAnsi="Times New Roman"/>
              </w:rPr>
            </w:pPr>
            <w:r>
              <w:rPr>
                <w:b/>
                <w:color w:val="000000"/>
                <w:sz w:val="24"/>
                <w:szCs w:val="24"/>
                <w:rFonts w:ascii="Times New Roman" w:hAnsi="Times New Roman"/>
              </w:rPr>
              <w:t xml:space="preserve">Κοινά εργαλεία</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header"/>
              <w:keepNext/>
              <w:keepLines/>
              <w:spacing w:before="0" w:after="0" w:line="240" w:lineRule="auto"/>
              <w:jc w:val="center"/>
              <w:rPr>
                <w:b/>
                <w:color w:val="000000"/>
                <w:sz w:val="24"/>
                <w:szCs w:val="24"/>
                <w:rFonts w:ascii="Times New Roman" w:hAnsi="Times New Roman"/>
              </w:rPr>
            </w:pPr>
            <w:r>
              <w:rPr>
                <w:b/>
                <w:color w:val="000000"/>
                <w:sz w:val="24"/>
                <w:szCs w:val="24"/>
                <w:rFonts w:ascii="Times New Roman" w:hAnsi="Times New Roman"/>
              </w:rPr>
              <w:t xml:space="preserve">Αναφορά</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Ίσιο κατσαβίδι, κατσαβίδι με σταυροειδή χάραξη, κατσαβίδι τύπου τορξ (αστεροκατσάβιδο).</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2380, ISO 8764, ISO 10664</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Κλειδί για κοχλίες µε έξι κοίλες πλευρές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2936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Μεικτό κλειδί</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7738</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Πένσα γενικής χρήσης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5746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Μυτοτσίμπιδο</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5745</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Πένσα διαγώνιας κοπής (κοφτάκι)</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5749</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Καζοτανάλια</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8976</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Μέγκενη</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Απογυμνωτής καλωδίων και πένσα πτύχωσης τερματικών</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Μοχλός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Τσιμπίδα</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Σφυρί (μεταλλική κεφαλή)</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rPr>
                <w:color w:val="000000"/>
                <w:sz w:val="24"/>
                <w:szCs w:val="24"/>
                <w:rFonts w:ascii="Times New Roman" w:hAnsi="Times New Roman"/>
              </w:rPr>
            </w:pPr>
            <w:r>
              <w:rPr>
                <w:color w:val="000000"/>
                <w:sz w:val="24"/>
                <w:szCs w:val="24"/>
                <w:rFonts w:ascii="Times New Roman" w:hAnsi="Times New Roman"/>
              </w:rPr>
              <w:t xml:space="preserve">ISO 15601</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Κοπίδι με ανασυρόμενη λεπίδα</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Πολύμετρο</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Βολτόμετρο (δοκιμαστής τάσης)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Σίδηρος συγκόλλησης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Πιστόλι κόλλας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r w:rsidR="00A920F2" w:rsidTr="00591C74">
        <w:tc>
          <w:tcPr>
            <w:tcW w:w="2482" w:type="pct"/>
            <w:tcBorders>
              <w:top w:val="single" w:sz="4" w:space="0" w:color="00000A"/>
              <w:left w:val="single" w:sz="4" w:space="0" w:color="00000A"/>
              <w:bottom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Φακός</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rsidR="00A920F2" w:rsidRPr="009451F9" w:rsidRDefault="00515C32" w:rsidP="00591C74">
            <w:pPr>
              <w:pStyle w:val="Tablebody"/>
              <w:spacing w:before="0" w:after="0" w:line="240" w:lineRule="auto"/>
              <w:jc w:val="both"/>
              <w:rPr>
                <w:color w:val="000000"/>
                <w:sz w:val="24"/>
                <w:szCs w:val="24"/>
                <w:rFonts w:ascii="Times New Roman" w:hAnsi="Times New Roman"/>
              </w:rPr>
            </w:pPr>
            <w:r>
              <w:rPr>
                <w:color w:val="000000"/>
                <w:sz w:val="24"/>
                <w:szCs w:val="24"/>
                <w:rFonts w:ascii="Times New Roman" w:hAnsi="Times New Roman"/>
              </w:rPr>
              <w:t xml:space="preserve">/</w:t>
            </w:r>
          </w:p>
        </w:tc>
      </w:tr>
    </w:tbl>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Τα ειδικά εργαλεία είναι εργαλεία που δεν περιλαμβάνονται στον κατάλογο των κοινών εργαλείων, χωρίς να είναι ιδιόκτητα εργαλεία.</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suppressAutoHyphens w:val="0"/>
        <w:spacing w:after="0" w:line="240" w:lineRule="auto"/>
        <w:jc w:val="both"/>
      </w:pPr>
      <w:r>
        <w:rPr>
          <w:color w:val="000000"/>
          <w:sz w:val="24"/>
          <w:szCs w:val="24"/>
          <w:rFonts w:ascii="Times New Roman" w:hAnsi="Times New Roman"/>
        </w:rPr>
        <w:t xml:space="preserve">Τα ιδιόκτητα εργαλεία είναι εργαλεία των οποίων τα δικαιώματα διανοητικής ιδιοκτησίας κατέχονται από τον παραγωγό ή έναν συγκεκριμένο φορέα.</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515C32" w:rsidP="00591C74">
      <w:pPr>
        <w:keepNext/>
        <w:keepLines/>
        <w:suppressAutoHyphens w:val="0"/>
        <w:spacing w:after="0" w:line="240" w:lineRule="auto"/>
        <w:jc w:val="both"/>
      </w:pPr>
      <w:r>
        <w:rPr>
          <w:b/>
          <w:color w:val="000000"/>
          <w:sz w:val="24"/>
          <w:szCs w:val="24"/>
          <w:rFonts w:ascii="Times New Roman" w:hAnsi="Times New Roman"/>
        </w:rPr>
        <w:t xml:space="preserve">Μετρητής χρήσης</w:t>
      </w:r>
    </w:p>
    <w:p w:rsidR="00A920F2" w:rsidRDefault="00515C32" w:rsidP="00591C74">
      <w:pPr>
        <w:suppressAutoHyphens w:val="0"/>
        <w:spacing w:after="0" w:line="240" w:lineRule="auto"/>
        <w:jc w:val="both"/>
      </w:pPr>
      <w:r>
        <w:rPr>
          <w:color w:val="000000"/>
          <w:sz w:val="24"/>
          <w:szCs w:val="24"/>
          <w:rFonts w:ascii="Times New Roman" w:hAnsi="Times New Roman"/>
        </w:rPr>
        <w:t xml:space="preserve">Διάταξη που καταγράφει σωρευτικά τη χρήση του εξοπλισμού σε πλήθος μονάδων.</w:t>
      </w:r>
      <w:r>
        <w:rPr>
          <w:color w:val="000000"/>
          <w:sz w:val="24"/>
          <w:szCs w:val="24"/>
          <w:rFonts w:ascii="Times New Roman" w:hAnsi="Times New Roman"/>
        </w:rPr>
        <w:t xml:space="preserve"> </w:t>
      </w:r>
      <w:r>
        <w:rPr>
          <w:color w:val="000000"/>
          <w:sz w:val="24"/>
          <w:szCs w:val="24"/>
          <w:rFonts w:ascii="Times New Roman" w:hAnsi="Times New Roman"/>
        </w:rPr>
        <w:t xml:space="preserve">Ο μετρητής χρήσης μπορεί να είναι ορατός απευθείας από τον καταναλωτή σε κάθε ενεργοποίηση της συσκευής ή να απαιτεί εκούσια ενέργεια εκ μέρους του χρήστη ώστε να πληροφορηθεί την τιμή που αναγράφεται στον μετρητή χρήσης.</w:t>
      </w:r>
    </w:p>
    <w:p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rsidR="00A920F2" w:rsidRDefault="00A920F2" w:rsidP="00591C74">
      <w:pPr>
        <w:spacing w:after="0" w:line="240" w:lineRule="auto"/>
        <w:rPr>
          <w:rFonts w:ascii="Times New Roman" w:hAnsi="Times New Roman" w:cs="Times New Roman"/>
          <w:color w:val="000000"/>
          <w:sz w:val="24"/>
          <w:szCs w:val="24"/>
          <w:lang w:eastAsia="fr-FR"/>
        </w:rPr>
      </w:pPr>
    </w:p>
    <w:p w:rsidR="00591C74" w:rsidRDefault="00591C74" w:rsidP="00591C74">
      <w:pPr>
        <w:spacing w:after="0" w:line="240" w:lineRule="auto"/>
        <w:rPr>
          <w:rFonts w:ascii="Times New Roman" w:hAnsi="Times New Roman" w:cs="Times New Roman"/>
          <w:color w:val="000000"/>
          <w:sz w:val="24"/>
          <w:szCs w:val="24"/>
          <w:lang w:eastAsia="fr-FR"/>
        </w:rPr>
      </w:pPr>
    </w:p>
    <w:p w:rsidR="00A920F2" w:rsidRPr="00247F97" w:rsidRDefault="00515C32" w:rsidP="0084523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Η υπουργός Οικολογικής Μετάβασης:</w:t>
      </w:r>
    </w:p>
    <w:p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0C5560">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Για την υπουργό και κατ’ εντολήν αυτής, ο γενικός επίτροπος για τη βιώσιμη ανάπτυξη,</w:t>
      </w:r>
    </w:p>
    <w:p w:rsidR="00BD3BED" w:rsidRDefault="00BD3BED" w:rsidP="000C5560">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84523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T. Lesueur</w:t>
      </w:r>
    </w:p>
    <w:p w:rsidR="00BD3BED" w:rsidRDefault="00BD3BED" w:rsidP="00845239">
      <w:pPr>
        <w:autoSpaceDE w:val="0"/>
        <w:spacing w:after="0" w:line="240" w:lineRule="auto"/>
        <w:rPr>
          <w:rFonts w:ascii="Times New Roman" w:hAnsi="Times New Roman" w:cs="Times New Roman"/>
          <w:color w:val="000000"/>
          <w:sz w:val="24"/>
          <w:szCs w:val="24"/>
        </w:rPr>
      </w:pPr>
    </w:p>
    <w:p w:rsidR="00BD3BED" w:rsidRDefault="00BD3BED" w:rsidP="00845239">
      <w:pPr>
        <w:autoSpaceDE w:val="0"/>
        <w:spacing w:after="0" w:line="240" w:lineRule="auto"/>
        <w:rPr>
          <w:rFonts w:ascii="Times New Roman" w:hAnsi="Times New Roman" w:cs="Times New Roman"/>
          <w:color w:val="000000"/>
          <w:sz w:val="24"/>
          <w:szCs w:val="24"/>
        </w:rPr>
      </w:pPr>
    </w:p>
    <w:p w:rsidR="00BD3BED" w:rsidRDefault="00BD3BED" w:rsidP="00845239">
      <w:pPr>
        <w:autoSpaceDE w:val="0"/>
        <w:spacing w:after="0" w:line="240" w:lineRule="auto"/>
        <w:rPr>
          <w:rFonts w:ascii="Times New Roman" w:hAnsi="Times New Roman" w:cs="Times New Roman"/>
          <w:color w:val="000000"/>
          <w:sz w:val="24"/>
          <w:szCs w:val="24"/>
        </w:rPr>
      </w:pPr>
    </w:p>
    <w:p w:rsidR="00A920F2" w:rsidRPr="00247F97" w:rsidRDefault="00515C32" w:rsidP="0084523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Ο υπουργός Οικονομίας και Οικονομικών:</w:t>
      </w:r>
    </w:p>
    <w:p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0C5560">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Για τον υπουργό και κατ’ εντολήν αυτού, η γενική διευθύντρια ανταγωνισμού, κατανάλωσης και καταπολέμησης της απάτης</w:t>
      </w:r>
    </w:p>
    <w:p w:rsidR="00BD3BED" w:rsidRDefault="00BD3BED" w:rsidP="000C5560">
      <w:pPr>
        <w:keepNext/>
        <w:keepLines/>
        <w:autoSpaceDE w:val="0"/>
        <w:spacing w:after="0" w:line="240" w:lineRule="auto"/>
        <w:rPr>
          <w:rFonts w:ascii="Times New Roman" w:hAnsi="Times New Roman" w:cs="Times New Roman"/>
          <w:color w:val="000000"/>
          <w:sz w:val="24"/>
          <w:szCs w:val="24"/>
        </w:rPr>
      </w:pPr>
    </w:p>
    <w:p w:rsidR="00A920F2" w:rsidRPr="00247F97" w:rsidRDefault="00515C32" w:rsidP="0084523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V. Beaumeunier</w:t>
      </w:r>
    </w:p>
    <w:sectPr w:rsidR="00A920F2" w:rsidRPr="00247F97">
      <w:pgSz w:w="11906" w:h="16838"/>
      <w:pgMar w:top="1416" w:right="1133" w:bottom="1133" w:left="1133" w:header="113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06" w:rsidRDefault="00C93306">
      <w:pPr>
        <w:spacing w:after="0" w:line="240" w:lineRule="auto"/>
      </w:pPr>
      <w:r>
        <w:separator/>
      </w:r>
    </w:p>
  </w:endnote>
  <w:endnote w:type="continuationSeparator" w:id="0">
    <w:p w:rsidR="00C93306" w:rsidRDefault="00C9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06" w:rsidRDefault="00C93306">
      <w:pPr>
        <w:spacing w:after="0" w:line="240" w:lineRule="auto"/>
      </w:pPr>
      <w:r>
        <w:separator/>
      </w:r>
    </w:p>
  </w:footnote>
  <w:footnote w:type="continuationSeparator" w:id="0">
    <w:p w:rsidR="00C93306" w:rsidRDefault="00C93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C32"/>
    <w:rsid w:val="000C5560"/>
    <w:rsid w:val="00247F97"/>
    <w:rsid w:val="002A489A"/>
    <w:rsid w:val="00515C32"/>
    <w:rsid w:val="00591C74"/>
    <w:rsid w:val="00596751"/>
    <w:rsid w:val="006039E8"/>
    <w:rsid w:val="00801F0A"/>
    <w:rsid w:val="00845239"/>
    <w:rsid w:val="00882C27"/>
    <w:rsid w:val="00924F06"/>
    <w:rsid w:val="009451F9"/>
    <w:rsid w:val="009A7F5C"/>
    <w:rsid w:val="00A920F2"/>
    <w:rsid w:val="00BD3BED"/>
    <w:rsid w:val="00C93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E3F2D20-FD34-434E-B052-5EB6BBD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hAnsi="Calibri" w:cs="Calibri"/>
      <w:kern w:val="2"/>
      <w:sz w:val="22"/>
      <w:szCs w:val="22"/>
      <w:lang w:val="el-GR"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sz w:val="20"/>
      <w:szCs w:val="20"/>
      <w:lang w:eastAsia="fr-FR"/>
    </w:rPr>
  </w:style>
  <w:style w:type="character" w:customStyle="1" w:styleId="WW8Num4z0">
    <w:name w:val="WW8Num4z0"/>
    <w:rPr>
      <w:rFonts w:ascii="Times New Roman" w:hAnsi="Times New Roman" w:cs="Times New Roman" w:hint="default"/>
      <w:sz w:val="20"/>
      <w:szCs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Policepardfaut">
    <w:name w:val="Police par défaut"/>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3">
    <w:name w:val="Police par défaut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rPr>
  </w:style>
  <w:style w:type="character" w:customStyle="1" w:styleId="CarCar">
    <w:name w:val="Car Car"/>
    <w:rPr>
      <w:sz w:val="24"/>
      <w:szCs w:val="24"/>
    </w:rPr>
  </w:style>
  <w:style w:type="character" w:customStyle="1" w:styleId="TabletitleChar">
    <w:name w:val="Table title Char"/>
    <w:rPr>
      <w:rFonts w:ascii="Arial" w:eastAsia="Calibri" w:hAnsi="Arial" w:cs="Arial"/>
      <w:b/>
      <w:szCs w:val="24"/>
      <w:lang w:val="el-GR"/>
    </w:rPr>
  </w:style>
  <w:style w:type="character" w:customStyle="1" w:styleId="TablebodyChar">
    <w:name w:val="Table body Char"/>
    <w:rPr>
      <w:rFonts w:ascii="Arial" w:eastAsia="Calibri" w:hAnsi="Arial" w:cs="Arial"/>
      <w:szCs w:val="22"/>
      <w:lang w:val="el-GR"/>
    </w:rPr>
  </w:style>
  <w:style w:type="character" w:customStyle="1" w:styleId="TableheaderChar">
    <w:name w:val="Table header Char"/>
    <w:rPr>
      <w:rFonts w:ascii="Arial" w:eastAsia="Calibri" w:hAnsi="Arial" w:cs="Arial"/>
      <w:szCs w:val="22"/>
      <w:lang w:val="el-GR"/>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3">
    <w:name w:val="Titre3"/>
    <w:basedOn w:val="Normal"/>
    <w:next w:val="BodyText"/>
    <w:pPr>
      <w:keepNext/>
      <w:spacing w:before="240" w:after="120"/>
    </w:pPr>
    <w:rPr>
      <w:rFonts w:ascii="Liberation Sans" w:eastAsia="Microsoft YaHei" w:hAnsi="Liberation Sans" w:cs="Lucida Sans"/>
      <w:sz w:val="28"/>
      <w:szCs w:val="28"/>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val="el-GR"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val="el-GR"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val="el-GR"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NSignatureprnomnomDroite">
    <w:name w:val="SNSignature prénom+nom Droite"/>
    <w:basedOn w:val="Normal"/>
    <w:pPr>
      <w:spacing w:before="120" w:after="120" w:line="240" w:lineRule="auto"/>
      <w:ind w:left="5041"/>
      <w:jc w:val="right"/>
    </w:pPr>
    <w:rPr>
      <w:rFonts w:ascii="Times New Roman" w:hAnsi="Times New Roman" w:cs="Times New Roman"/>
      <w:color w:val="000000"/>
      <w:kern w:val="0"/>
      <w:sz w:val="24"/>
      <w:szCs w:val="24"/>
    </w:rPr>
  </w:style>
  <w:style w:type="paragraph" w:customStyle="1" w:styleId="Tabletitle">
    <w:name w:val="Table title"/>
    <w:basedOn w:val="Normal"/>
    <w:pPr>
      <w:keepNext/>
      <w:spacing w:before="120" w:after="120" w:line="240" w:lineRule="atLeast"/>
      <w:jc w:val="center"/>
    </w:pPr>
    <w:rPr>
      <w:rFonts w:ascii="Arial" w:eastAsia="Calibri" w:hAnsi="Arial" w:cs="Times New Roman"/>
      <w:b/>
      <w:kern w:val="0"/>
      <w:sz w:val="20"/>
      <w:szCs w:val="24"/>
      <w:lang w:val="el-GR"/>
    </w:rPr>
  </w:style>
  <w:style w:type="paragraph" w:customStyle="1" w:styleId="Tablebody">
    <w:name w:val="Table body"/>
    <w:basedOn w:val="Normal"/>
    <w:pPr>
      <w:suppressAutoHyphens w:val="0"/>
      <w:spacing w:before="60" w:after="60" w:line="210" w:lineRule="atLeast"/>
    </w:pPr>
    <w:rPr>
      <w:rFonts w:ascii="Arial" w:eastAsia="Calibri" w:hAnsi="Arial" w:cs="Times New Roman"/>
      <w:kern w:val="0"/>
      <w:sz w:val="20"/>
      <w:lang w:val="el-GR"/>
    </w:rPr>
  </w:style>
  <w:style w:type="paragraph" w:customStyle="1" w:styleId="Tableheader">
    <w:name w:val="Table header"/>
    <w:basedOn w:val="Tablebody"/>
  </w:style>
  <w:style w:type="table" w:styleId="TableGrid">
    <w:name w:val="Table Grid"/>
    <w:basedOn w:val="TableNormal"/>
    <w:uiPriority w:val="39"/>
    <w:rsid w:val="0059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2074</Words>
  <Characters>11822</Characters>
  <Application>Microsoft Office Word</Application>
  <DocSecurity>0</DocSecurity>
  <Lines>98</Lines>
  <Paragraphs>27</Paragraphs>
  <ScaleCrop>false</ScaleCrop>
  <Company>Microsoft</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Ke, Tingting</cp:lastModifiedBy>
  <cp:revision>2</cp:revision>
  <cp:lastPrinted>1899-12-31T16:00:00Z</cp:lastPrinted>
  <dcterms:created xsi:type="dcterms:W3CDTF">2020-07-22T01:03:00Z</dcterms:created>
  <dcterms:modified xsi:type="dcterms:W3CDTF">2020-07-22T04:03:00Z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