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BG- ------ 20200812 --- --- PROJET</w:t>
      </w:r>
    </w:p>
    <w:p w14:paraId="5AB4C723" w14:textId="5E46F097" w:rsidR="007104F8" w:rsidRPr="008E1574" w:rsidRDefault="007104F8" w:rsidP="00206537">
      <w:pPr>
        <w:keepNext/>
        <w:keepLines/>
        <w:jc w:val="center"/>
        <w:rPr>
          <w:b/>
          <w:sz w:val="32"/>
          <w:szCs w:val="32"/>
        </w:rPr>
      </w:pPr>
      <w:r>
        <w:rPr>
          <w:b/>
          <w:sz w:val="32"/>
          <w:szCs w:val="32"/>
        </w:rPr>
        <w:t>Проект на закон за намаляването на въздействието на определени пластмасови продукти върху околната среда</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Член 1. Цели</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Целите на настоящия закон са да се предотврати и да се намали въздействието на определени пластмасови продукти върху околната среда, и по-специално върху водната среда, и върху здравето на човека, и да се насърчи преходът към кръгова икономика с иновативни и устойчиви бизнес модели, продукти и материали, като по този начин се допринесе и за ефикасното функциониране на вътрешния пазар.</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Член 2. Обхват</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Настоящият закон се прилага за пластмасовите продукти за еднократна употреба, изброени в приложението, продуктите, изработени от оксо-разградима пластмаса, и риболовните съоръжения, съдържащи пластмаса.</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Той представлява специален закон по отношение на изменения закон от 21 март 2012 г. за отпадъците и ресурсите, наричан по-нататък „закон от 21 март 2012 г.“, и изменения закон от 21 март 2017 г. за опаковките и отпадъците от опаковки.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Член 3. Определения</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За целите на настоящия закон се прилагат следните определения: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„отпадък от риболовно съоръжение“ означава всяко риболовно съоръжение, обхванато от определението за отпадък в член 4 от закона от 21 март 2012 г., включително всички отделни компоненти, вещества или материали, които са били част от такова риболовно съоръжение или са били прикрепени към него в момента на изхвърлянето му, включително когато то е било изоставено или изгубено;</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„опаковка“ означава опаковка, както е определена в член 3 от изменения закон от 21 март 2017 г. за опаковките и отпадъците от опаковки;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„риболовни съоръжения“ означава всяко изделие или част от оборудване, което се използва в риболова или аквакултурата за насочване към, улавяне или развъждане на морски биологични ресурси или което плава по морската повърхност и се разполага с цел привличането и улавянето на морски биологични ресурси или с цел развъждането им;</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„предоставяне на пазара“ означава всяка доставка на продукт за дистрибуция, потребление или използване на пазара на Люксембург в процеса на търговска дейност, срещу заплащане или безплатно;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5) „пускане на пазара“ означава предоставянето за първи път на даден продукт на пазара на Люксембург;</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„хармонизиран стандарт“ означава хармонизиран стандарт, както е определен в член 2, точка 1, буква в) от Регламент (ЕС) №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„пластмаса“ означава материал, състоящ се от полимер, както е определен в член 3, точка 5 от Регламент (ЕО) № 1907/2006, към който може да са добавени адитиви или други вещества и който може да функционира като основен структурен компонент на крайни продукти, включително каучукови изделия на полимерна основа и пластмаси на биологична основа или биоразградими пластмаси, независимо от това дали са получени от биомаса или е предвидено да се разградят биологично с течение на времето.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В обхвата на това определение не попадат естествените полимери, които не са били химически модифицирани;</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„биоразградима пластмаса“ означава пластмаса, която може да претърпи физическо и биологично разлагане, така че в крайна сметка да се разложи до въглероден диоксид (CO</w:t>
      </w:r>
      <w:r>
        <w:rPr>
          <w:rFonts w:asciiTheme="minorHAnsi" w:hAnsiTheme="minorHAnsi"/>
          <w:b w:val="0"/>
          <w:sz w:val="24"/>
          <w:szCs w:val="24"/>
          <w:vertAlign w:val="subscript"/>
        </w:rPr>
        <w:t>2</w:t>
      </w:r>
      <w:r>
        <w:rPr>
          <w:rFonts w:asciiTheme="minorHAnsi" w:hAnsiTheme="minorHAnsi"/>
          <w:b w:val="0"/>
          <w:sz w:val="24"/>
          <w:szCs w:val="24"/>
        </w:rPr>
        <w:t>), биомаса и вода, и която, в съответствие с европейските стандарти за опаковките, подлежи на рециклиране чрез компостиране и анаеробно разграждане;</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„оксо-разградима пластмаса“ означава пластмасови материали, съдържащи добавки, които при окисляване водят до разпадане на пластмасовия материал на микрофрагменти или до химично разграждане;</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„тютюневи изделия“ означава тютюневи изделия, както са определени в член 2, точка 1, буква а) от изменения закон от 11 август 2006 г. за контрол на тютюна;</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„пластмасов продукт за еднократна употреба“ означава продукт, който е направен изцяло или отчасти от пластмаса и не е замислен, проектиран или пуснат на пазара, за да направи в рамките на своя експлоатационен живот многократни цикли или обороти, като се връща на производител за повторно пълнене или повторна употреба за същата цел, за която е бил замислен;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Прилагат се определенията за понятията „отпадъци“, „събиране“, „разделно събиране“, „третиране“, „производител на продукти“ и „схема за разширена отговорност на производителя“, които са посочени в член 4 от изменения закон от 21 март 2012 г.</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Член 4. Намаляване на потреблението</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Производителите на продукти предприемат мерките, чрез които до 2026 г. се постига измеримо спрямо 2022 г. количествено намаление на потреблението на пластмасовите продукти за еднократна употреба, посочени в част А от приложението. Това намаление следва да бъде за съответния период от най-малко 20 % по отношение на бройките, пуснати на пазара. От 1 януари 2026 г. всяка година следва да се постига намаление от най-малко 10 % по отношение на количествата, пуснати на пазара през предходната година. </w:t>
      </w:r>
      <w:r>
        <w:rPr>
          <w:rFonts w:asciiTheme="minorHAnsi" w:hAnsiTheme="minorHAnsi"/>
          <w:b w:val="0"/>
          <w:sz w:val="24"/>
          <w:szCs w:val="24"/>
        </w:rPr>
        <w:lastRenderedPageBreak/>
        <w:t xml:space="preserve">Производителите на продукти следва да задължат с изпълнението на това задължение орган, одобрен в съответствие с член 19 от закона от 21 март 2012 г.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Министърът, отговарящ за околната среда, наричан по-нататък „министърът“, гарантира координацията на необходимите мерки за постигане на амбициозно и устойчиво намаляване на потреблението на пластмасовите продукти за еднократна употреба, посочени в част А от приложението, в съответствие с общите цели на политиката на Съюза в областта на отпадъците, по-специално за предотвратяване на отпадъците, които да доведат до съществен обрат в тенденциите за нарастващо потребление.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Администрацията за околната среда извършва наблюдение на пластмасовите продукти за еднократна употреба, посочени в част А от приложението, които се пускат на пазара, и на предприетите мерки за намаляването им.</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За тази цел, одобреният орган съобщава в рамките на годишния доклад, посочен в член 35 от закона от 21 март 2012 г., количествата на пластмасовите продукти за еднократна употреба, изброени в приложенията, част А, предоставени на пазара през предходната година.</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Член 5. Ограничения за пускането на пазара</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Пускането на пазара на пластмасовите продукти за еднократна употреба, посочени в част Б от приложението, и на продуктите, изработени от оксо-разградима пластмаса, се забранява.</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Член 6. Изисквания по отношение на продуктите</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Пластмасовите продукти за еднократна употреба, посочени в част В от приложението, които имат капачки и капаци, произведени от пластмаса, могат да бъдат пуснати на пазара само ако капачките и капаците остават прикрепени към съдовете по време на предвидения етап на употреба на продукта.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Не се счита, че металните капачки или капаци с пластмасови уплътнения са произведени от пластмаса.</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По отношение на бутилките за напитки, посочени в част Е от приложението, се прилагат следните изисквания: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1) от 2025 г. бутилките за напитки, посочени в част Е от приложението, които са произведени от полиетилентерефталат като основен компонент („бутилки от PET“) съдържат най-малко 25 % рециклирана пластмаса, изчислени като средна стойност за всички бутилки от PET, пуснати на пазара</w:t>
      </w:r>
      <w:bookmarkStart w:id="1" w:name="_Hlk25242138"/>
      <w:r>
        <w:rPr>
          <w:rFonts w:asciiTheme="minorHAnsi" w:hAnsiTheme="minorHAnsi"/>
          <w:b w:val="0"/>
          <w:sz w:val="24"/>
          <w:szCs w:val="24"/>
        </w:rPr>
        <w:t xml:space="preserve"> от един и същ производител</w:t>
      </w:r>
      <w:bookmarkEnd w:id="1"/>
      <w:r>
        <w:rPr>
          <w:rFonts w:asciiTheme="minorHAnsi" w:hAnsiTheme="minorHAnsi"/>
          <w:b w:val="0"/>
          <w:sz w:val="24"/>
          <w:szCs w:val="24"/>
        </w:rPr>
        <w:t>; и</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от 2030 г. бутилките за напитки, изброени в част Е от приложението, съдържат най-малко 30 % рециклирана пластмаса, изчислени като средна стойност за всички бутилки за напитки, пуснати на пазара от един и същ производител.</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За тази цел, одобреният орган в съответствие с член 19 от закона от 21 март 2012 г. съобщава в рамките на годишния доклад, посочен в член 35 от същия закон, количествата на бутилките от PET, предоставени на пазара през предходната година, и средната стойност на процента рециклирана пластмаса за тези бутилки. При липса на акт за изпълнение на Европейския съюз, методите за изчисляване и проверка на целите се определят от администрацията за околната среда.</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Член 7. Изисквания относно маркировката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На всеки пуснат на пазара пластмасов продукт за еднократна употреба, посочен в част Г от приложението, е нанесена — върху неговата опаковка или върху самия продукт — видима, ясно четлива и незаличима маркировка, която информира потребителите за следните елементи:</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подходящите варианти за управление на отпадъците от продукта или начините за обезвреждане на отпадъците, които трябва да се избягват за този продукт, в съответствие с йерархията на отпадъците; и</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наличието на пластмаси в продукта и произтичащото от това отрицателно въздействие върху околната среда от замърсяване или друг неправилен начин за обезвреждане на отпадъците от продукта.</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Разпоредбите на настоящия член относно тютюневите изделия се добавят към предвидените с изменения закон от 11 август 2006 г. за контрол на тютюна.</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Член 8. Разширена отговорност на производителя</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За всички пластмасови продукти за еднократна употреба, посочени в част Д от приложението, и за риболовните съоръжения, съдържащи пластмаса, се създават схеми за разширена отговорност на производителя в съответствие със съответните разпоредби на закона от 21 март 2012 г.</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Производителите на пластмасови продукти за еднократна употреба, посочени в раздел I от част Д от приложението, покриват разходите в съответствие с разпоредбите за разширена отговорност на производителя в закона от 21 март 2012 г. и закона от 21 март 2017 г. за опаковките и отпадъците от опаковки, както и следните разходи, доколкото вече не са включени: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разходите по мерките за повишаване на осведомеността, посочени в член 10, във връзка с тези продукти; </w:t>
      </w:r>
    </w:p>
    <w:p w14:paraId="780C6E6C" w14:textId="77777777" w:rsidR="007104F8" w:rsidRPr="006125F8"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6125F8">
        <w:rPr>
          <w:rFonts w:asciiTheme="minorHAnsi" w:hAnsiTheme="minorHAnsi"/>
          <w:b w:val="0"/>
          <w:spacing w:val="-4"/>
          <w:sz w:val="24"/>
          <w:szCs w:val="24"/>
        </w:rPr>
        <w:t xml:space="preserve">2) разходите за събиране на отпадъците от тези продукти, които са изхвърлени в обществени системи за събиране, включително за инфраструктурата и нейното функциониране, и за последващото транспортиране и третиране на тези отпадъци; и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3) разходите за почистване на замърсяването с отпадъци, които произтичат от тези продукти, и за последващото транспортиране и третиране на тези отпадъци.</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Производителите на пластмасови продукти за еднократна употреба, посочени в раздели II </w:t>
      </w:r>
      <w:bookmarkEnd w:id="2"/>
      <w:r>
        <w:rPr>
          <w:rFonts w:asciiTheme="minorHAnsi" w:hAnsiTheme="minorHAnsi"/>
          <w:b w:val="0"/>
          <w:sz w:val="24"/>
          <w:szCs w:val="24"/>
        </w:rPr>
        <w:t>и III на част Д от приложението, покриват най-малко следните разходи</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разходите за мерките за повишаване на осведомеността, посочени в член 10 от настоящата директива, във връзка с тези продукти;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разходите за почистване на замърсяването с отпадъци, които произтичат от тези продукти, и за последващото транспортиране и третиране на тези отпадъци; и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разходите за събирането на данни и докладването в съответствие с член 19 от закона от 21 март 2012 г.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По отношение на пластмасовите продукти за еднократна употреба, посочени в раздел III на част Д от приложението, производителите на продукти покриват и разходите за събирането на отпадъците от тези продукти, които са изхвърлени в обществени системи за събиране, включително за инфраструктурата и нейното функциониране, и за последващото транспортиране и третиране на тези отпадъци. Разходите включват създаването на специална инфраструктура за събирането на отпадъците от тези продукти, като например подходящи контейнери за отпадъци на обичайни места на замърсяване.</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Производителите на пластмасови продукти за еднократна употреба, посочени в раздел III на част Д, следва да предприемат необходимите мерки за предотвратяване на изоставянето, изхвърлянето и неконтролираното управление на тези продукти, които са се превърнали в отпадъци.</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От 1 януари 2024 г. всяка година следва да се постига намаление от най-малко 10 % по отношение на количествата, изхвърлени през предходната година. Компетентната администрация създава и публикува методология за количествено определяне на изхвърлените количества и за проверка на намалението.</w:t>
      </w:r>
    </w:p>
    <w:p w14:paraId="2FA016B7" w14:textId="77777777" w:rsidR="007104F8" w:rsidRPr="006125F8" w:rsidRDefault="007104F8" w:rsidP="007104F8">
      <w:pPr>
        <w:pStyle w:val="Article"/>
        <w:numPr>
          <w:ilvl w:val="0"/>
          <w:numId w:val="0"/>
        </w:numPr>
        <w:spacing w:before="240"/>
        <w:rPr>
          <w:rFonts w:asciiTheme="minorHAnsi" w:hAnsiTheme="minorHAnsi" w:cs="TimesNewRoman"/>
          <w:b w:val="0"/>
          <w:spacing w:val="-2"/>
          <w:sz w:val="24"/>
          <w:szCs w:val="24"/>
        </w:rPr>
      </w:pPr>
      <w:r w:rsidRPr="006125F8">
        <w:rPr>
          <w:rFonts w:asciiTheme="minorHAnsi" w:hAnsiTheme="minorHAnsi"/>
          <w:b w:val="0"/>
          <w:spacing w:val="-2"/>
          <w:sz w:val="24"/>
          <w:szCs w:val="24"/>
        </w:rPr>
        <w:t xml:space="preserve">5. Разходите, които подлежат на покриване съгласно параграфи 2 и 3, не надвишават разходите, необходими за икономически ефективното предоставяне на посочените в тези параграфи услуги, и се определят по прозрачен начин между съответните участници. Разходите за почистване на замърсяването с отпадъци се ограничават до дейности, извършвани от публични органи или от тяхно име. Методологията за изчисляване се разработва по начин, позволяващ разходите за почистването на замърсяването с отпадъци да бъдат определяни пропорционално. С цел свеждане до минимум на административните разходи може да бъде определен финансов принос към разходите за почистване на замърсяването с отпадъци чрез определянето на подходящи многогодишни фиксирани суми.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6. На производителите на продукти, установени в друга държава — членка на Европейския съюз, които пускат продукти на пазара на Люксембург, е разрешено да назначават юридическо или физическо лице, установено на националната територия или в друга държава членка, в качеството му на упълномощен представител за целите на изпълнението на задълженията на производителя, свързани със схемите на разширена отговорност на производителя.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Всеки производител, установен във Великото херцогство и който продава пластмасови продукти за еднократна употреба, посочени в част Д от приложението, и риболовни съоръжения, съдържащи пластмаса, в друга държава — членка на Европейския съюз, назначава упълномощен представител в тази друга държава — членка на Европейския съюз. Упълномощеният представител е лицето, което отговаря за изпълнението на задълженията на производителя съгласно настоящия закон на територията на тази друга държава — членка на Европейския съюз.</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По отношение на схемите за разширена отговорност на производителя относно риболовните съоръжения, съдържащи пластмаса, производителите на риболовни съоръжения, съдържащи пластмаса, покриват разходите за разделно събиране на отпадъците от риболовни съоръжения, съдържащи пластмаса, които са предадени на специфична система за събиране, както и разходите за тяхното последващо транспортиране и третиране.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Производителите също така покриват разходите за мерките за повишаване на осведомеността, посочени в член 10, във връзка с риболовните съоръжения, съдържащи пластмаса.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Член 9. Разделно събиране</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С цел рециклиране, събраното разделно количество отпадъчни пластмасови продукти за еднократна употреба, посочени в част Е от приложението, се равнява на: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а) до 2025 г., </w:t>
      </w:r>
      <w:bookmarkStart w:id="4" w:name="_Hlk25246527"/>
      <w:r>
        <w:rPr>
          <w:rFonts w:asciiTheme="minorHAnsi" w:hAnsiTheme="minorHAnsi"/>
          <w:b w:val="0"/>
          <w:sz w:val="24"/>
          <w:szCs w:val="24"/>
        </w:rPr>
        <w:t>на 77 тегловни процента от общото количество отпадъци от тези образувани отпадъци за дадена година, включително отпадъците</w:t>
      </w:r>
      <w:bookmarkEnd w:id="4"/>
      <w:r>
        <w:rPr>
          <w:rFonts w:asciiTheme="minorHAnsi" w:hAnsiTheme="minorHAnsi"/>
          <w:b w:val="0"/>
          <w:sz w:val="24"/>
          <w:szCs w:val="24"/>
        </w:rPr>
        <w:t xml:space="preserve">; </w:t>
      </w:r>
    </w:p>
    <w:p w14:paraId="39395F5D" w14:textId="78D5B66C" w:rsidR="007104F8" w:rsidRPr="008E1574" w:rsidRDefault="006125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lang w:val="en-US"/>
        </w:rPr>
        <w:t>b</w:t>
      </w:r>
      <w:r w:rsidR="007104F8">
        <w:rPr>
          <w:rFonts w:asciiTheme="minorHAnsi" w:hAnsiTheme="minorHAnsi"/>
          <w:b w:val="0"/>
          <w:sz w:val="24"/>
          <w:szCs w:val="24"/>
        </w:rPr>
        <w:t>) до 2029 г., на 90 тегловни процента от общото количество отпадъци от тези образувани отпадъци за дадена година, включително отпадъците.</w:t>
      </w:r>
    </w:p>
    <w:p w14:paraId="690C365E" w14:textId="77777777" w:rsidR="007104F8" w:rsidRPr="008E1574" w:rsidRDefault="007104F8" w:rsidP="006125F8">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Член 10. Мерки за повишаване на осведомеността</w:t>
      </w:r>
    </w:p>
    <w:p w14:paraId="148EAE36" w14:textId="77777777" w:rsidR="007104F8" w:rsidRPr="008E1574" w:rsidRDefault="007104F8" w:rsidP="006125F8">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Администрацията за околната среда и администрацията за управлението на водите, всяка в съответната област, гарантират информирането на потребителите и за насърчаване на отговорното им поведение с цел намаляване на отпадъците от продукти, попадащи в приложното поле на настоящия закон, и гарантират информирането на потребителите на пластмасовите продукти за еднократна употреба, посочени в част Ж от приложението, и на ползвателите на риболовни съоръжения, съдържащи пластмаса, относно следното: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наличността на алтернативи за многократно използване, системи за повторно използване и варианти за управление на отпадъците за тези пластмасови продукти за еднократна употреба и за риболовните съоръжения, съдържащи пластмаса, както и за най-добрите практики за добро управление на отпадъците, осъществявано в съответствие с член 10 от закона от 21 март 2012 г.;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въздействието на замърсяването с отпадъци и на други неправилни начини за обезвреждане на отпадъците от такива пластмасови продукти за еднократна употреба и на риболовните съоръжения, съдържащи пластмаса, върху околната среда и по-специално върху морската среда; и</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въздействието на неправилните начини за обезвреждане на тези пластмасови продукти за еднократна употреба върху канализационната мрежа.</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Член 11. Координиране на мерките</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Без да се засяга член 4, параграф 1, първа алинея, предприетите мерки в рамките на настоящия закон са неразделна част от програмите от мерки, установени съгласно изменения закон от 19 декември 2008 г. за водите и плановете за управление на отпадъците и програмите за предотвратяване на отпадъци, установени съгласно закона от 21 март 2012 г., и са в съответствие с тези програми и планове.</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Предприетите мерки в членове 4—9 са съобразени с разпоредбите във връзка с храните, за да се гарантира, че хигиената на храните и безопасността на храните не се излагат на риск.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Администрацията за околната среда и дирекция „Здравеопазване“, всяка в съответната област, гарантират насърчаването на използването на устойчиви алтернативи на пластмасата за еднократна употреба за материалите, предназначени за контакт с храни.</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Член 12. Спецификации и насоки относно пластмасовите продукти за еднократна употреба</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За да се определи дали даден съд за храна следва да се счита за пластмасов продукт за еднократна употреба за целите на настоящия закон, в допълнение към критериите, посочени в приложението по отношение на съдовете за храна, решаваща роля играе </w:t>
      </w:r>
      <w:r>
        <w:rPr>
          <w:sz w:val="24"/>
          <w:szCs w:val="24"/>
        </w:rPr>
        <w:lastRenderedPageBreak/>
        <w:t>вероятността той да се превърне в отпадък поради обема или размера си, по-специално при съдовете за единична порция.</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Член 13. Административни мерки</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В случай на неспазване на разпоредбите на член 5, член 6, параграфи 1 и член 6, параграф 2, точки 1 и 2, член 7 и член 9, министърът може: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да определи на производител или одобрен орган срок, в рамките на който последният да се съобрази с тези разпоредби, срок, който не може да бъде по-голям от две години;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да прекрати изцяло или частично дейността на производителя или експлоатацията на обекта с временна мярка или да закрие обекта изцяло или частично и да го запечата.</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Всяко заинтересовано лице може да поиска прилагането на мерките, посочени в параграф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Мерките, посочени в параграф 1, се отменят, когато производителят или одобреният орган се съобразят с разпоредбите.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Член 14. Специални разпоредби</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Прилагат се следните разпоредби от закона от 21 март 2012 г:</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членове 44, 45 и 46 относно проучването и установяването на нарушения, правомощията за упражняването на контрол и правата за упражняването на контрол; и</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член 50, параграф 2 относно правото на юрисдикция на одобрените екологични сдружения.</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Член 15. Приложение</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Приложението може да се изменя с наредба на Великия херцог с цел адаптиране към развитието на законодателството на Европейския съюз в тази област.</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Член 16. Наказания</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С наказание лишаване от свобода от осем дни до три години и глоба от 251 евро до 750 000 евро или с едно от тези наказания само за нарушенията по член 5, член 6, параграф 1, първа алинея и член 6, параграф 2, точки 1 и 2, член 7, параграф 1, член 8, параграф 4 и член 9.</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Същите наказания се прилагат в случай на възпрепятстване или в случай на неспазване на административните мерки, предприети съгласно член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Член 17. Административни глоби</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Министърът може да наложи административна глоба от 250 евро до 10 000 евро в случай на нарушение на член 4, параграф 4 и член 6, параграф 2, втора алинея.</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Глобите се плащат в рамките на два месеца от уведомяването за решението в писмен вид.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Административните глоби се събират от администрацията за регистрацията, домейните и ДДС. Възстановяването се извършва както в областта на таксите за регистрация.</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Член 18. Обжалване</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Срещу взетите решения съгласно настоящия закон, жалба за отмяна се внася в административния съд. В противен случай тази жалба се завежда в рамките на 40 дни от уведомяването за решението.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Член 19. Влизане в сила</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Настоящият закон влиза в сила на 3 юли 2021 г.</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При все това, разпоредбите на член 6, параграф 1, влизат в сила едва на 3 юли 2024 г. и разпоредбите на член 8 влизат в сила на 31 декември 2026 г., с изключение на пластмасовите продукти за еднократна употреба, посочени в част Д, раздел III от приложението, за които те влизат в сила на 5 януари 2023 г.</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Приложение</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ЧАСТ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Пластмасови продукти за еднократна употреба в обхвата на член 4 относно намаляване на потреблението</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Чаши за напитки и техните капаци и капачки;</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Съдове за храна, т.е. съдове като кутии, със или без капак, използвани за съхранение на храна, която:</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а) e предназначена за незабавна консумация, както на място, така и за изнасяне от обекта;</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б) по принцип се консумира от съда; и</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lastRenderedPageBreak/>
        <w:t xml:space="preserve">в) е готова за консумация без по-нататъшна подготовка, като например готвене, варене или загряване,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включително съдове, използвани за „бързи храни“ или други ястия, готови за незабавна консумация, с изключение на съдове за напитки, чинии, пликове и обвивки, съдържащи храни.</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ЧАСТ Б</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Пластмасови продукти за еднократна употреба в обхвата на член 5 относно ограничения за пускането на пазара</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Клечки за уши, освен ако не попадат в приложното поле на Директива 90/385/ЕИО на Съвета</w:t>
      </w:r>
      <w:r>
        <w:rPr>
          <w:rStyle w:val="FootnoteReference"/>
          <w:rFonts w:cs="TimesNewRoman"/>
          <w:sz w:val="24"/>
          <w:szCs w:val="24"/>
          <w:lang w:val="fr-LU" w:eastAsia="fr-BE"/>
        </w:rPr>
        <w:footnoteReference w:id="1"/>
      </w:r>
      <w:r>
        <w:rPr>
          <w:sz w:val="24"/>
          <w:szCs w:val="24"/>
        </w:rPr>
        <w:t xml:space="preserve"> или Директива 93/42/ЕИО на Съвета</w:t>
      </w:r>
      <w:r>
        <w:rPr>
          <w:rStyle w:val="FootnoteReference"/>
          <w:rFonts w:cs="TimesNewRoman"/>
          <w:sz w:val="24"/>
          <w:szCs w:val="24"/>
          <w:lang w:val="fr-LU" w:eastAsia="fr-BE"/>
        </w:rPr>
        <w:footnoteReference w:id="2"/>
      </w:r>
      <w:r>
        <w:rPr>
          <w:sz w:val="24"/>
          <w:szCs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Прибори за хранене (вилици, ножове, лъжици, пръчици за хранене);</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Чинии;</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Сламки, освен ако не попадат в приложното поле на Директива 90/385/ЕИО или Директива 93/42/ЕИО;</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Бъркалки за напитки;</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Пръчици, които следва да бъдат прикрепени и да поддържат балони, с изключение на балони за промишлена или друга професионална употреба и приложения, които не се разпространяват между потребителите, включително механизмите за такива пръчици;</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Съдове за храна, изработени от експандиран полистирен, т.е. съдове като кутии, със или без капак, използвани за съхранение на храна, която:</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а) e предназначена за незабавна консумация, както на място, така и за изнасяне от обекта;</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б) по принцип се консумира от съда; и</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в) е готова за консумация без по-нататъшна подготовка, като например готвене, варене или загряване,</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включително съдове, използвани за „бързи храни“ или други ястия, готови за незабавна консумация, с изключение на съдове за напитки, чинии, пликове и обвивки, съдържащи храни;</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8) Съдове за напитки, изработени от експандиран полистирен, включително капачки и капаци за тях;</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Чаши за напитки, изработени от експандиран полистирен, включително капаци и капачки за тях.</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ЧАСТ В</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Пластмасови продукти за еднократна употреба в обхвата на член 6, параграф 1 относно изисквания по отношение на продуктите</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Съдове за напитки с вместимост до три литра, т.е. съдове, които се използват за съхранение на течност, като например бутилки за напитки, включително техните капачки и капаци, и композитни опаковки за напитки и техните капачки и капаци, но не:</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а) стъклени или метални съдове за напитки, които имат капачки и капаци, изработени от пластмаса;</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б) съдове за напитки, предназначени и използвани за храни за специални медицински цели, които са в течно състояние, съгласно определението в член 2, буква ж) от Регламент (ЕС) № 609/2013 на Европейския парламент и на Съвета</w:t>
      </w:r>
      <w:r>
        <w:rPr>
          <w:rStyle w:val="FootnoteReference"/>
          <w:rFonts w:cs="TimesNewRoman"/>
          <w:sz w:val="24"/>
          <w:szCs w:val="24"/>
          <w:lang w:val="fr-LU" w:eastAsia="fr-BE"/>
        </w:rPr>
        <w:footnoteReference w:id="3"/>
      </w:r>
      <w:r>
        <w:rPr>
          <w:sz w:val="24"/>
          <w:szCs w:val="24"/>
        </w:rPr>
        <w:t>.</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ЧАСТ Г</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Пластмасови продукти за еднократна употреба в обхвата на член 7 относно изисквания към маркировката</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Дамски превръзки, хигиенни тампони и апликатори за тампони;</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Мокри кърпички, т.е. предварително навлажнени кърпички за лична хигиена и битова употреба;</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Тютюневи изделия с филтри и филтри, продавани за употреба в комбинация с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тютюневи изделия;</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Чаши за напитки.</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ЧАСТ Д</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Пластмасови продукти за еднократна употреба в обхвата на член 8 относно разширената отговорност на производителя</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Съдове за храна, т.е. съдове като кутии, със или без капак, използвани за съхранение на храна, която:</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а) e предназначена за незабавна консумация, както на място, така и за изнасяне от обекта;</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б) по принцип се консумира от съда; и</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в) е готова за консумация без по-нататъшна подготовка, като например готвене, варене или претопляне,</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включително съдове, използвани за „бързи храни“ или други ястия, готови за незабавна консумация, с изключение на съдове за напитки, чинии, пликове и обвивки, съдържащи храни;</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Пликове и обвивки, направени от гъвкав материал, съдържащи храни, предназначени за незабавна консумация от плика или обвивката, без по-нататъшна подготовка;</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Съдове за напитки с вместимост до три литра, т.е. съдове, които се използват за съхранение на течност, като например бутилки за напитки, включително техните капачки и капаци, и смесените опаковки за напитки и техните капачки и капаци, но не стъклени или метални съдове за напитки, които имат капачки и капаци, изработени от пластмаса;</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Чаши за напитки, включително техните капаци и капачки;</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Тънки пластмасови торбички за пазаруване съгласно определението в член 3, точка 1в от Директива 94/62/ЕО.</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Пластмасови продукти за еднократна употреба в обхвата на член 8, параграф 3 относно разширената отговорност на производителя</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Мокри кърпички, т.е. предварително навлажнени кърпички за лична хигиена и битова употреба;</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Балони, с изключение на балони за промишлена или друга професионална употреба и приложения, които не се разпространяват между потребителите.</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Други пластмасови продукти за еднократна употреба в обхвата на член 8, параграф 3 относно разширената отговорност на производителя</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Тютюневи изделия с филтри и филтри, продавани за употреба в комбинация с тютюневи изделия.</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ЧАСТ Е</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Пластмасови продукти за еднократна употреба в обхвата на член 9 относно разделното събиране и на член 6, параграф 2 относно изискванията за продукти</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Pr="006125F8" w:rsidRDefault="007104F8" w:rsidP="00206537">
      <w:pPr>
        <w:keepNext/>
        <w:keepLines/>
        <w:autoSpaceDE w:val="0"/>
        <w:autoSpaceDN w:val="0"/>
        <w:adjustRightInd w:val="0"/>
        <w:spacing w:after="0" w:line="240" w:lineRule="auto"/>
        <w:rPr>
          <w:rFonts w:cs="TimesNewRoman"/>
          <w:spacing w:val="-4"/>
          <w:sz w:val="24"/>
          <w:szCs w:val="24"/>
        </w:rPr>
      </w:pPr>
      <w:r w:rsidRPr="006125F8">
        <w:rPr>
          <w:spacing w:val="-4"/>
          <w:sz w:val="24"/>
          <w:szCs w:val="24"/>
        </w:rPr>
        <w:t>Бутилки за напитки с вместимост до три литра, включително техните капачки и капаци, но не:</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а) стъклени или метални бутилки за напитки, които имат капачки и капаци, изработени от пластмаса,</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б) бутилки за напитки, предназначени и използвани за храни за специални медицински цели, които са в течно състояние, съгласно определението в член 2, буква ж) от Регламент (ЕС) № 609/2013.</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ЧАСТ Ж</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Пластмасови продукти за еднократна употреба в обхвата на член 10 относно повишаването на осведомеността</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Съдове за храна, т.е. съдове като кутии, със или без капак, използвани за съхранение на храна, която:</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а) e предназначена за незабавна консумация, както на място, така и за изнасяне от обекта;</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б) по принцип се консумира от съда; и</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в) е готова за консумация без по-нататъшна подготовка, като например готвене, варене или загряване,</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включително съдове, използвани за „бързи храни“ или други ястия, готови за незабавна консумация, с изключение на съдове за напитки, чинии, пликове и обвивки, съдържащи храни;</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Пликове и обвивки, направени от гъвкав материал, съдържащи храни, предназначени за незабавна консумация от плика или обвивката, без по-нататъшна подготовка;</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Съдове за напитки с вместимост до три литра, т.е. съдове, които се използват за съхранение на течност, като например бутилки за напитки, включително техните капачки и капаци, и смесените опаковки за напитки и техните капачки и капаци, но не стъклени или метални съдове за напитки, които имат капачки и капаци, изработени от пластмаса;</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Чаши за напитки, включително техните капаци и капачки;</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Тютюневи изделия с филтри и филтри, продавани за употреба в комбинация с тютюневи изделия;</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Мокри кърпички, т.е. предварително навлажнени кърпички за лична хигиена и битова употреба;</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Балони, с изключение на балони за промишлена или друга професионална употреба и приложения, които не се разпространяват между потребителите;</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Тънки пластмасови торбички за пазаруване съгласно определението в член 3, точка 1</w:t>
      </w:r>
      <w:r>
        <w:rPr>
          <w:i/>
          <w:sz w:val="24"/>
          <w:szCs w:val="24"/>
        </w:rPr>
        <w:t>в</w:t>
      </w:r>
      <w:r>
        <w:rPr>
          <w:sz w:val="24"/>
          <w:szCs w:val="24"/>
        </w:rPr>
        <w:t xml:space="preserve"> от Директива 94/62/ЕО;</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Дамски превръзки, хигиенни тампони и апликатори за тампони.</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Директива 90/385/ЕИО от 20 юли 1990 г. относно сближаване на законодателството на държавите членки, свързано с активните имплантируеми медицински изделия (ОВ L 189 от 20.7.1990 г., стр. 17)</w:t>
      </w:r>
    </w:p>
  </w:footnote>
  <w:footnote w:id="2">
    <w:p w14:paraId="42EC3717" w14:textId="77777777" w:rsidR="007104F8" w:rsidRPr="006227D4" w:rsidRDefault="007104F8" w:rsidP="007104F8">
      <w:pPr>
        <w:pStyle w:val="FootnoteText"/>
      </w:pPr>
      <w:r>
        <w:rPr>
          <w:rStyle w:val="FootnoteReference"/>
        </w:rPr>
        <w:footnoteRef/>
      </w:r>
      <w:r>
        <w:t xml:space="preserve"> </w:t>
      </w:r>
      <w:r>
        <w:t>Директива 93/42/ЕИО на Съвета от 14 юни 1993 г. относно медицинските изделия (ОВ L 169 от 12.7.1993 г., стр. 1)</w:t>
      </w:r>
    </w:p>
  </w:footnote>
  <w:footnote w:id="3">
    <w:p w14:paraId="7B0A379B" w14:textId="77777777" w:rsidR="007104F8" w:rsidRPr="006227D4" w:rsidRDefault="007104F8" w:rsidP="007104F8">
      <w:pPr>
        <w:pStyle w:val="FootnoteText"/>
      </w:pPr>
      <w:r>
        <w:rPr>
          <w:rStyle w:val="FootnoteReference"/>
        </w:rPr>
        <w:footnoteRef/>
      </w:r>
      <w:r>
        <w:t xml:space="preserve"> </w:t>
      </w:r>
      <w:r>
        <w:t xml:space="preserve">Регламент </w:t>
      </w:r>
      <w:r>
        <w:t>(ЕС)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 (ОВ L 181 от 29.6.2013 г., стр.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6125F8"/>
    <w:rsid w:val="007104F8"/>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bg-BG"/>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2020-08-13T07:23:00Z</dcterms:modified>
</cp:coreProperties>
</file>