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D0" w:rsidRDefault="008C35D0" w:rsidP="008C35D0">
      <w:pPr>
        <w:pStyle w:val="PlainText"/>
        <w:ind w:firstLine="708"/>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0601 D RO- ------ 20191209 --- --- PROJET</w:t>
      </w:r>
      <w:r>
        <w:rPr>
          <w:sz w:val="20"/>
          <w:szCs w:val="20"/>
          <w:rFonts w:ascii="Courier New" w:hAnsi="Courier New"/>
        </w:rPr>
        <w:t xml:space="preserve"> </w:t>
      </w:r>
    </w:p>
    <w:p w:rsidR="00E75853" w:rsidRPr="00AA37C3" w:rsidRDefault="00E75853" w:rsidP="00E75853">
      <w:pPr>
        <w:spacing w:after="0" w:line="240" w:lineRule="auto"/>
        <w:ind w:right="-370"/>
        <w:jc w:val="center"/>
        <w:rPr>
          <w:b/>
          <w:sz w:val="24"/>
          <w:szCs w:val="20"/>
          <w:rFonts w:ascii="Arial" w:eastAsia="Times New Roman" w:hAnsi="Arial" w:cs="Times New Roman"/>
        </w:rPr>
      </w:pPr>
      <w:r>
        <w:rPr>
          <w:b/>
          <w:sz w:val="24"/>
          <w:szCs w:val="20"/>
          <w:rFonts w:ascii="Arial" w:hAnsi="Arial"/>
        </w:rPr>
        <w:t xml:space="preserve">Regulament al landului de modificare a Regulamentului landului privind prevenirea infecțiilor în unitățile medicale</w:t>
      </w:r>
    </w:p>
    <w:p w:rsidR="00E75853" w:rsidRPr="00B76BEC" w:rsidRDefault="00E75853" w:rsidP="00E75853">
      <w:pPr>
        <w:spacing w:after="0" w:line="240" w:lineRule="auto"/>
        <w:jc w:val="center"/>
        <w:rPr>
          <w:b/>
          <w:sz w:val="24"/>
          <w:szCs w:val="20"/>
          <w:rFonts w:ascii="Arial" w:eastAsia="Times New Roman" w:hAnsi="Arial" w:cs="Times New Roman"/>
        </w:rPr>
      </w:pPr>
      <w:r>
        <w:rPr>
          <w:b/>
          <w:sz w:val="24"/>
          <w:szCs w:val="20"/>
          <w:rFonts w:ascii="Arial" w:hAnsi="Arial"/>
        </w:rPr>
        <w:t xml:space="preserve">(Regulamentul privind prevenirea infecțiilor în unitățile medicale – MedIpVO)</w:t>
      </w:r>
      <w:r w:rsidRPr="00AA37C3">
        <w:rPr>
          <w:rStyle w:val="FootnoteReference"/>
          <w:rFonts w:ascii="Arial" w:eastAsia="Times New Roman" w:hAnsi="Arial" w:cs="Times New Roman"/>
          <w:b/>
          <w:sz w:val="24"/>
          <w:szCs w:val="20"/>
          <w:lang w:eastAsia="de-DE"/>
        </w:rPr>
        <w:footnoteReference w:id="1"/>
      </w: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jc w:val="center"/>
        <w:rPr>
          <w:sz w:val="24"/>
          <w:szCs w:val="20"/>
          <w:rFonts w:ascii="Arial" w:eastAsia="Times New Roman" w:hAnsi="Arial" w:cs="Times New Roman"/>
        </w:rPr>
      </w:pPr>
      <w:r>
        <w:rPr>
          <w:sz w:val="24"/>
          <w:szCs w:val="20"/>
          <w:rFonts w:ascii="Arial" w:hAnsi="Arial"/>
        </w:rPr>
        <w:t xml:space="preserve">Din   .XX.2019</w:t>
      </w: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În temeiul articolului 23 alineatul (8) din Legea privind protecția împotriva infecțiilor din 20 iulie 2000 (Monitorul Oficial al landului</w:t>
      </w:r>
      <w:r>
        <w:rPr>
          <w:sz w:val="24"/>
          <w:szCs w:val="20"/>
          <w:rFonts w:ascii="Arial" w:hAnsi="Arial"/>
        </w:rPr>
        <w:t xml:space="preserve"> </w:t>
      </w:r>
      <w:r>
        <w:rPr>
          <w:sz w:val="24"/>
          <w:szCs w:val="20"/>
          <w:rFonts w:ascii="Arial" w:hAnsi="Arial"/>
        </w:rPr>
        <w:t xml:space="preserve">I p. 1045), astfel cum a fost modificat ultima dată prin articolul 18a din Regulamentul din 9 august 2019 (Monitorul Oficial al landului I p. 1202), coroborat cu articolul 13 din Regulamentul privind prevenirea infecțiilor în unitățile medicale din 13.3.2017 (GVOBl.</w:t>
      </w:r>
      <w:r>
        <w:rPr>
          <w:sz w:val="24"/>
          <w:szCs w:val="20"/>
          <w:rFonts w:ascii="Arial" w:hAnsi="Arial"/>
        </w:rPr>
        <w:t xml:space="preserve"> </w:t>
      </w:r>
      <w:r>
        <w:rPr>
          <w:sz w:val="24"/>
          <w:szCs w:val="20"/>
          <w:rFonts w:ascii="Arial" w:hAnsi="Arial"/>
        </w:rPr>
        <w:t xml:space="preserve">Schl.-H. p. 169) și cu articolul 14 punctul 5 coroborat cu articolul 3 alineatul (3) prima teză din Legea privind serviciile de asistență medicală din 14 decembrie 2001 (GVOBl.</w:t>
      </w:r>
      <w:r>
        <w:rPr>
          <w:sz w:val="24"/>
          <w:szCs w:val="20"/>
          <w:rFonts w:ascii="Arial" w:hAnsi="Arial"/>
        </w:rPr>
        <w:t xml:space="preserve"> </w:t>
      </w:r>
      <w:r>
        <w:rPr>
          <w:sz w:val="24"/>
          <w:szCs w:val="20"/>
          <w:rFonts w:ascii="Arial" w:hAnsi="Arial"/>
        </w:rPr>
        <w:t xml:space="preserve">Schl.-H. p. 398), astfel cum a fost modificată ultima dată prin articolul 31 din Legea din 2 mai 2018 (GVOBl.</w:t>
      </w:r>
      <w:r>
        <w:rPr>
          <w:sz w:val="24"/>
          <w:szCs w:val="20"/>
          <w:rFonts w:ascii="Arial" w:hAnsi="Arial"/>
        </w:rPr>
        <w:t xml:space="preserve"> </w:t>
      </w:r>
      <w:r>
        <w:rPr>
          <w:sz w:val="24"/>
          <w:szCs w:val="20"/>
          <w:rFonts w:ascii="Arial" w:hAnsi="Arial"/>
        </w:rPr>
        <w:t xml:space="preserve">Schl.-H. p. 162), Ministerul Afacerilor Sociale, Sănătății, Tineretului, Familiei și Persoanelor Vârstnice stabilește următoarele:</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Default="00E75853" w:rsidP="00E75853">
      <w:pPr>
        <w:spacing w:after="0" w:line="240" w:lineRule="auto"/>
        <w:rPr>
          <w:rFonts w:ascii="Arial" w:eastAsia="Times New Roman" w:hAnsi="Arial" w:cs="Times New Roman"/>
          <w:sz w:val="24"/>
          <w:szCs w:val="20"/>
          <w:lang w:eastAsia="de-DE"/>
        </w:rPr>
      </w:pPr>
    </w:p>
    <w:p w:rsidR="00D74E42" w:rsidRDefault="00D74E42" w:rsidP="00D74E42">
      <w:pPr>
        <w:spacing w:after="0" w:line="240" w:lineRule="auto"/>
        <w:ind w:left="705" w:hanging="705"/>
        <w:rPr>
          <w:sz w:val="24"/>
          <w:szCs w:val="20"/>
          <w:rFonts w:ascii="Arial" w:eastAsia="Times New Roman" w:hAnsi="Arial" w:cs="Times New Roman"/>
        </w:rPr>
      </w:pPr>
      <w:r>
        <w:rPr>
          <w:sz w:val="24"/>
          <w:szCs w:val="20"/>
          <w:rFonts w:ascii="Arial" w:hAnsi="Arial"/>
        </w:rPr>
        <w:t xml:space="preserve">1.</w:t>
      </w:r>
      <w:r>
        <w:rPr>
          <w:sz w:val="24"/>
          <w:szCs w:val="20"/>
          <w:rFonts w:ascii="Arial" w:hAnsi="Arial"/>
        </w:rPr>
        <w:tab/>
      </w:r>
      <w:r>
        <w:rPr>
          <w:sz w:val="24"/>
          <w:szCs w:val="20"/>
          <w:rFonts w:ascii="Arial" w:hAnsi="Arial"/>
        </w:rPr>
        <w:t xml:space="preserve">Articolul 2 are formularea următoare:</w:t>
      </w:r>
      <w:r>
        <w:rPr>
          <w:sz w:val="24"/>
          <w:szCs w:val="20"/>
          <w:rFonts w:ascii="Arial" w:hAnsi="Arial"/>
        </w:rPr>
        <w:t xml:space="preserve"> </w:t>
        <w:br/>
      </w:r>
    </w:p>
    <w:p w:rsidR="00D74E42" w:rsidRDefault="00D74E42" w:rsidP="001F1B0A">
      <w:pPr>
        <w:spacing w:after="0" w:line="240" w:lineRule="auto"/>
        <w:ind w:left="1134" w:hanging="429"/>
        <w:rPr>
          <w:sz w:val="24"/>
          <w:szCs w:val="20"/>
          <w:rFonts w:ascii="Arial" w:eastAsia="Times New Roman" w:hAnsi="Arial" w:cs="Times New Roman"/>
        </w:rPr>
      </w:pPr>
      <w:r>
        <w:rPr>
          <w:sz w:val="24"/>
          <w:szCs w:val="20"/>
          <w:rFonts w:ascii="Arial" w:hAnsi="Arial"/>
        </w:rPr>
        <w:t xml:space="preserve">(a)</w:t>
        <w:tab/>
        <w:t xml:space="preserve">alineatul (8) se înlocuiește cu următorul text:</w:t>
      </w:r>
    </w:p>
    <w:p w:rsidR="00E75853" w:rsidRDefault="00D74E42" w:rsidP="006613B7">
      <w:pPr>
        <w:spacing w:after="0" w:line="240" w:lineRule="auto"/>
        <w:ind w:left="1134"/>
        <w:rPr>
          <w:sz w:val="24"/>
          <w:szCs w:val="20"/>
          <w:rFonts w:ascii="Arial" w:eastAsia="Times New Roman" w:hAnsi="Arial" w:cs="Times New Roman"/>
        </w:rPr>
      </w:pPr>
      <w:r>
        <w:rPr>
          <w:sz w:val="24"/>
          <w:szCs w:val="20"/>
          <w:rFonts w:ascii="Arial" w:hAnsi="Arial"/>
        </w:rPr>
        <w:t xml:space="preserve">„(8) Instrumentarul din toate cabinetele destinate diagnosticării și terapiei, în care există risc de contaminare cu fluide corporale și cu alte materiale care conțin agenți patogeni, trebuie să fie curățat și dezinfectat cu o lavetă umedă.</w:t>
      </w:r>
      <w:r>
        <w:rPr>
          <w:sz w:val="24"/>
          <w:szCs w:val="20"/>
          <w:rFonts w:ascii="Arial" w:hAnsi="Arial"/>
        </w:rPr>
        <w:t xml:space="preserve"> </w:t>
      </w:r>
      <w:r>
        <w:rPr>
          <w:sz w:val="24"/>
          <w:szCs w:val="20"/>
          <w:rFonts w:ascii="Arial" w:hAnsi="Arial"/>
        </w:rPr>
        <w:t xml:space="preserve">Toți dezinfectanții utilizați trebuie sa fie adecvați și să se dovedească a fi eficienți în prevenirea infecțiilor în unitățile medicale.</w:t>
      </w:r>
      <w:r>
        <w:rPr>
          <w:sz w:val="24"/>
          <w:szCs w:val="20"/>
          <w:rFonts w:ascii="Arial" w:hAnsi="Arial"/>
        </w:rPr>
        <w:t xml:space="preserve"> </w:t>
      </w:r>
      <w:r>
        <w:rPr>
          <w:sz w:val="24"/>
          <w:szCs w:val="20"/>
          <w:rFonts w:ascii="Arial" w:hAnsi="Arial"/>
        </w:rPr>
        <w:t xml:space="preserve">În ceea ce privește domeniul de acțiune necesar, trebuie să prezinte eficacitatecel puțin împotriva bacteriilor, levurilor și virusurilor limitate, dacă există, în plus, trebuie să fie eficient împotriva fungilor, tuberculozei, micozelor și a sporilor bacterieni.</w:t>
      </w:r>
      <w:r>
        <w:rPr>
          <w:sz w:val="24"/>
          <w:szCs w:val="20"/>
          <w:rFonts w:ascii="Arial" w:hAnsi="Arial"/>
        </w:rPr>
        <w:t xml:space="preserve"> </w:t>
      </w:r>
      <w:r>
        <w:rPr>
          <w:sz w:val="24"/>
          <w:szCs w:val="20"/>
          <w:rFonts w:ascii="Arial" w:hAnsi="Arial"/>
        </w:rPr>
        <w:t xml:space="preserve">Eficiența trebuie demonstrată prin cel puțin două avize independente, însoțite de rapoartele de testare aferente.</w:t>
      </w:r>
      <w:r>
        <w:rPr>
          <w:sz w:val="24"/>
          <w:szCs w:val="20"/>
          <w:rFonts w:ascii="Arial" w:hAnsi="Arial"/>
        </w:rPr>
        <w:t xml:space="preserve"> </w:t>
      </w:r>
      <w:r>
        <w:rPr>
          <w:sz w:val="24"/>
          <w:szCs w:val="20"/>
          <w:rFonts w:ascii="Arial" w:hAnsi="Arial"/>
        </w:rPr>
        <w:t xml:space="preserve">Se consideră că eficacitatea este confirmată dacă testele au fost efectuate de laboratoare de testare independente de producător, iar rapoartele de testare sunt confirmate de experți independenți într-o evaluare justificată din punct de vedere științific.</w:t>
      </w:r>
      <w:r>
        <w:rPr>
          <w:sz w:val="24"/>
          <w:szCs w:val="20"/>
          <w:rFonts w:ascii="Arial" w:hAnsi="Arial"/>
        </w:rPr>
        <w:t xml:space="preserve"> </w:t>
      </w:r>
      <w:r>
        <w:rPr>
          <w:sz w:val="24"/>
          <w:szCs w:val="20"/>
          <w:rFonts w:ascii="Arial" w:hAnsi="Arial"/>
        </w:rPr>
        <w:t xml:space="preserve">Laboratoarele de testare trebuie să aibă competența necesară, care poate fi demonstrată, de exemplu, prin acreditare în conformitate cu din ISO EN 17025:2018-03 din martie 2018.</w:t>
      </w:r>
      <w:r>
        <w:rPr>
          <w:sz w:val="24"/>
          <w:szCs w:val="20"/>
          <w:rFonts w:ascii="Arial" w:hAnsi="Arial"/>
        </w:rPr>
        <w:t xml:space="preserve"> </w:t>
      </w:r>
      <w:r>
        <w:rPr>
          <w:sz w:val="24"/>
          <w:szCs w:val="20"/>
          <w:rFonts w:ascii="Arial" w:hAnsi="Arial"/>
        </w:rPr>
        <w:t xml:space="preserve">Metoda de testare utilizată trebuie validată, de exemplu, prin testare între mai multe laboratoare, pentru a se ține seama de variabilitatea statistică care prevede repetarea de cel puțin două ori a testului.</w:t>
      </w:r>
      <w:r>
        <w:rPr>
          <w:sz w:val="24"/>
          <w:szCs w:val="20"/>
          <w:rFonts w:ascii="Arial" w:hAnsi="Arial"/>
        </w:rPr>
        <w:t xml:space="preserve"> </w:t>
      </w:r>
      <w:r>
        <w:rPr>
          <w:sz w:val="24"/>
          <w:szCs w:val="20"/>
          <w:rFonts w:ascii="Arial" w:hAnsi="Arial"/>
        </w:rPr>
        <w:t xml:space="preserve">Testele efectuate în conformitate cu specificațiile tehnice ale unui alt stat membru al Uniunii Europene sau ale Turciei sau ale unui alt stat parte semnatară la Acordul privind Spațiul Economic European sunt considerate echivalente dacă specificațiile tehnice asigură, în mod constant, același nivel de protecție precum cel prevăzut în a doua teză”</w:t>
      </w:r>
    </w:p>
    <w:p w:rsidR="006613B7" w:rsidRDefault="006613B7" w:rsidP="006613B7">
      <w:pPr>
        <w:spacing w:after="0" w:line="240" w:lineRule="auto"/>
        <w:ind w:left="1134"/>
        <w:rPr>
          <w:rFonts w:ascii="Arial" w:eastAsia="Times New Roman" w:hAnsi="Arial" w:cs="Times New Roman"/>
          <w:sz w:val="24"/>
          <w:szCs w:val="20"/>
          <w:lang w:eastAsia="de-DE"/>
        </w:rPr>
      </w:pPr>
    </w:p>
    <w:p w:rsidR="00E75853" w:rsidRPr="00B76BEC" w:rsidRDefault="00BA5BE0" w:rsidP="00BA5BE0">
      <w:pPr>
        <w:spacing w:line="240" w:lineRule="auto"/>
        <w:ind w:left="1134" w:hanging="567"/>
        <w:rPr>
          <w:sz w:val="24"/>
          <w:szCs w:val="20"/>
          <w:rFonts w:ascii="Arial" w:eastAsia="Times New Roman" w:hAnsi="Arial" w:cs="Times New Roman"/>
        </w:rPr>
      </w:pPr>
      <w:r>
        <w:rPr>
          <w:sz w:val="24"/>
          <w:szCs w:val="20"/>
          <w:rFonts w:ascii="Arial" w:hAnsi="Arial"/>
        </w:rPr>
        <w:t xml:space="preserve">(b) Se adaugă următorul alineat (9):</w:t>
      </w:r>
      <w:r>
        <w:rPr>
          <w:sz w:val="24"/>
          <w:szCs w:val="20"/>
          <w:rFonts w:ascii="Arial" w:hAnsi="Arial"/>
        </w:rPr>
        <w:br/>
        <w:br/>
      </w:r>
      <w:r>
        <w:rPr>
          <w:sz w:val="24"/>
          <w:szCs w:val="20"/>
          <w:rFonts w:ascii="Arial" w:hAnsi="Arial"/>
        </w:rPr>
        <w:t xml:space="preserve">(9) Instalațiile critice, precum și sistemele tehnice de climatizare și de alimentare cu apă trebuie să fie exploatate, întreținute și supuse inspecțiilor periodice pentru verificarea igienei, în conformitate cu normele tehnologice general recunoscute.</w:t>
      </w:r>
      <w:r>
        <w:rPr>
          <w:sz w:val="24"/>
          <w:szCs w:val="20"/>
          <w:rFonts w:ascii="Arial" w:hAnsi="Arial"/>
        </w:rPr>
        <w:t xml:space="preserve"> </w:t>
      </w:r>
      <w:r>
        <w:rPr>
          <w:sz w:val="24"/>
          <w:szCs w:val="20"/>
          <w:rFonts w:ascii="Arial" w:hAnsi="Arial"/>
        </w:rPr>
        <w:t xml:space="preserve">Instalațiile pot fi exploatate și întreținute doar de personal instruit în mod corespunzător.</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BA5BE0" w:rsidP="00E75853">
      <w:pPr>
        <w:spacing w:after="0" w:line="240" w:lineRule="auto"/>
        <w:rPr>
          <w:sz w:val="24"/>
          <w:szCs w:val="20"/>
          <w:rFonts w:ascii="Arial" w:eastAsia="Times New Roman" w:hAnsi="Arial" w:cs="Times New Roman"/>
        </w:rPr>
      </w:pPr>
      <w:r>
        <w:rPr>
          <w:sz w:val="24"/>
          <w:szCs w:val="20"/>
          <w:rFonts w:ascii="Arial" w:hAnsi="Arial"/>
        </w:rPr>
        <w:t xml:space="preserve">2.</w:t>
      </w:r>
      <w:r>
        <w:rPr>
          <w:sz w:val="24"/>
          <w:szCs w:val="20"/>
          <w:rFonts w:ascii="Arial" w:hAnsi="Arial"/>
        </w:rPr>
        <w:tab/>
      </w:r>
      <w:r>
        <w:rPr>
          <w:sz w:val="24"/>
          <w:szCs w:val="20"/>
          <w:rFonts w:ascii="Arial" w:hAnsi="Arial"/>
        </w:rPr>
        <w:t xml:space="preserve">La articolul 12, litera „(a)” se introduce după textul de la articolul 73 alineatul (1).</w:t>
      </w:r>
    </w:p>
    <w:p w:rsidR="00E75853" w:rsidRPr="00B76BEC" w:rsidRDefault="00E75853" w:rsidP="00E75853">
      <w:pPr>
        <w:spacing w:after="0" w:line="240" w:lineRule="auto"/>
        <w:rPr>
          <w:rFonts w:ascii="Arial" w:eastAsia="Times New Roman" w:hAnsi="Arial" w:cs="Times New Roman"/>
          <w:sz w:val="24"/>
          <w:szCs w:val="20"/>
          <w:lang w:eastAsia="de-DE"/>
        </w:rPr>
      </w:pPr>
    </w:p>
    <w:p w:rsidR="00BA5BE0" w:rsidRPr="00B76BEC" w:rsidRDefault="00BA5BE0" w:rsidP="00E75853">
      <w:pPr>
        <w:spacing w:after="0" w:line="240" w:lineRule="auto"/>
        <w:rPr>
          <w:sz w:val="24"/>
          <w:szCs w:val="20"/>
          <w:rFonts w:ascii="Arial" w:eastAsia="Times New Roman" w:hAnsi="Arial" w:cs="Times New Roman"/>
        </w:rPr>
      </w:pPr>
      <w:r>
        <w:rPr>
          <w:sz w:val="24"/>
          <w:szCs w:val="20"/>
          <w:rFonts w:ascii="Arial" w:hAnsi="Arial"/>
        </w:rPr>
        <w:t xml:space="preserve">3.</w:t>
      </w:r>
      <w:r>
        <w:rPr>
          <w:sz w:val="24"/>
          <w:szCs w:val="20"/>
          <w:rFonts w:ascii="Arial" w:hAnsi="Arial"/>
        </w:rPr>
        <w:tab/>
      </w:r>
      <w:r>
        <w:rPr>
          <w:sz w:val="24"/>
          <w:szCs w:val="20"/>
          <w:rFonts w:ascii="Arial" w:hAnsi="Arial"/>
        </w:rPr>
        <w:t xml:space="preserve">Prezentul regulament intră în vigoare în ziua promulgării sale.</w:t>
      </w:r>
    </w:p>
    <w:p w:rsidR="001F1B0A" w:rsidRDefault="001F1B0A" w:rsidP="00E75853">
      <w:pPr>
        <w:spacing w:after="0" w:line="240" w:lineRule="auto"/>
        <w:rPr>
          <w:rFonts w:ascii="Arial" w:eastAsia="Times New Roman" w:hAnsi="Arial" w:cs="Times New Roman"/>
          <w:sz w:val="24"/>
          <w:szCs w:val="20"/>
          <w:lang w:eastAsia="de-DE"/>
        </w:rPr>
      </w:pPr>
    </w:p>
    <w:p w:rsidR="001F1B0A" w:rsidRDefault="001F1B0A" w:rsidP="00E75853">
      <w:pPr>
        <w:spacing w:after="0" w:line="240" w:lineRule="auto"/>
        <w:rPr>
          <w:rFonts w:ascii="Arial" w:eastAsia="Times New Roman" w:hAnsi="Arial" w:cs="Times New Roman"/>
          <w:sz w:val="24"/>
          <w:szCs w:val="20"/>
          <w:lang w:eastAsia="de-DE"/>
        </w:rPr>
      </w:pPr>
    </w:p>
    <w:p w:rsidR="001F1B0A" w:rsidRDefault="001F1B0A"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Regulamentul menționat anterior este adoptat și trebuie promulgat.</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Kiel,… XX 2019</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tbl>
      <w:tblPr>
        <w:tblW w:w="9214" w:type="dxa"/>
        <w:tblLook w:val="01E0" w:firstRow="1" w:lastRow="1" w:firstColumn="1" w:lastColumn="1" w:noHBand="0" w:noVBand="0"/>
      </w:tblPr>
      <w:tblGrid>
        <w:gridCol w:w="9214"/>
      </w:tblGrid>
      <w:tr w:rsidR="006613B7" w:rsidRPr="00B76BEC" w:rsidTr="006613B7">
        <w:trPr>
          <w:trHeight w:val="350"/>
        </w:trPr>
        <w:tc>
          <w:tcPr>
            <w:tcW w:w="9214" w:type="dxa"/>
            <w:shd w:val="clear" w:color="auto" w:fill="auto"/>
          </w:tcPr>
          <w:p w:rsidR="006613B7" w:rsidRPr="001F1B0A" w:rsidRDefault="006613B7" w:rsidP="00FE43B6">
            <w:pPr>
              <w:spacing w:after="0" w:line="240" w:lineRule="auto"/>
              <w:jc w:val="center"/>
              <w:rPr>
                <w:sz w:val="24"/>
                <w:szCs w:val="20"/>
                <w:rFonts w:ascii="Arial" w:eastAsia="Times New Roman" w:hAnsi="Arial" w:cs="Times New Roman"/>
              </w:rPr>
            </w:pPr>
            <w:r>
              <w:rPr>
                <w:sz w:val="24"/>
                <w:szCs w:val="20"/>
                <w:rFonts w:ascii="Arial" w:hAnsi="Arial"/>
              </w:rPr>
              <w:t xml:space="preserve">Dr. Heiner Garg</w:t>
            </w:r>
          </w:p>
        </w:tc>
      </w:tr>
      <w:tr w:rsidR="006613B7" w:rsidRPr="00C02463" w:rsidTr="006613B7">
        <w:trPr>
          <w:trHeight w:val="720"/>
        </w:trPr>
        <w:tc>
          <w:tcPr>
            <w:tcW w:w="9214" w:type="dxa"/>
            <w:shd w:val="clear" w:color="auto" w:fill="auto"/>
          </w:tcPr>
          <w:p w:rsidR="006613B7" w:rsidRPr="001F1B0A" w:rsidRDefault="006613B7" w:rsidP="00B40FA8">
            <w:pPr>
              <w:spacing w:after="0" w:line="240" w:lineRule="auto"/>
              <w:jc w:val="center"/>
              <w:rPr>
                <w:sz w:val="24"/>
                <w:szCs w:val="20"/>
                <w:rFonts w:ascii="Arial" w:eastAsia="Times New Roman" w:hAnsi="Arial" w:cs="Times New Roman"/>
              </w:rPr>
            </w:pPr>
            <w:r>
              <w:rPr>
                <w:sz w:val="24"/>
                <w:szCs w:val="20"/>
                <w:rFonts w:ascii="Arial" w:hAnsi="Arial"/>
              </w:rPr>
              <w:t xml:space="preserve">Ministrul Afacerilor Sociale, Sănătății, Tineretului, </w:t>
              <w:br/>
              <w:t xml:space="preserve">Familiei și Persoanelor Vârstnice</w:t>
            </w:r>
          </w:p>
        </w:tc>
      </w:tr>
    </w:tbl>
    <w:p w:rsidR="00E75853" w:rsidRDefault="00E75853" w:rsidP="00E75853"/>
    <w:p w:rsidR="00CA138F" w:rsidRDefault="00CA138F"/>
    <w:sectPr w:rsidR="00CA138F" w:rsidSect="00265F13">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1418" w:right="1361"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818" w:rsidRDefault="000D5818" w:rsidP="00E75853">
      <w:pPr>
        <w:spacing w:after="0" w:line="240" w:lineRule="auto"/>
      </w:pPr>
      <w:r>
        <w:separator/>
      </w:r>
    </w:p>
  </w:endnote>
  <w:endnote w:type="continuationSeparator" w:id="0">
    <w:p w:rsidR="000D5818" w:rsidRDefault="000D5818" w:rsidP="00E7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D9" w:rsidRDefault="008C3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818" w:rsidRDefault="000D5818" w:rsidP="00E75853">
      <w:pPr>
        <w:spacing w:after="0" w:line="240" w:lineRule="auto"/>
      </w:pPr>
      <w:r>
        <w:separator/>
      </w:r>
    </w:p>
  </w:footnote>
  <w:footnote w:type="continuationSeparator" w:id="0">
    <w:p w:rsidR="000D5818" w:rsidRDefault="000D5818" w:rsidP="00E75853">
      <w:pPr>
        <w:spacing w:after="0" w:line="240" w:lineRule="auto"/>
      </w:pPr>
      <w:r>
        <w:continuationSeparator/>
      </w:r>
    </w:p>
  </w:footnote>
  <w:footnote w:id="1">
    <w:p w:rsidR="00E75853" w:rsidRDefault="00E75853" w:rsidP="00E75853">
      <w:pPr>
        <w:pStyle w:val="FootnoteText"/>
      </w:pPr>
      <w:r>
        <w:rPr>
          <w:rStyle w:val="FootnoteReference"/>
        </w:rPr>
        <w:footnoteRef/>
      </w:r>
      <w:r>
        <w:t xml:space="preserve"> Notificat în conformitate cu Directiva (UE) 2015/1535 a Parlamentului European și a Consiliului din 9 septembrie 2015 referitoare la procedura de furnizare de informații în domeniul reglementărilor tehnice și al normelor privind serviciile societății informaționale (JO L 241,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Default="00450C35">
    <w:pPr>
      <w:pStyle w:val="Header"/>
      <w:jc w:val="cen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C35D0">
      <w:rPr>
        <w:rStyle w:val="PageNumber"/>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Pr="00170838" w:rsidRDefault="008C35D0" w:rsidP="00192A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14591"/>
    <w:multiLevelType w:val="hybridMultilevel"/>
    <w:tmpl w:val="06787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53"/>
    <w:rsid w:val="000D5818"/>
    <w:rsid w:val="0016465D"/>
    <w:rsid w:val="00165DAA"/>
    <w:rsid w:val="001F1B0A"/>
    <w:rsid w:val="003950FE"/>
    <w:rsid w:val="003B236C"/>
    <w:rsid w:val="003C022D"/>
    <w:rsid w:val="003D0062"/>
    <w:rsid w:val="00450C35"/>
    <w:rsid w:val="006613B7"/>
    <w:rsid w:val="00783A31"/>
    <w:rsid w:val="008C35D0"/>
    <w:rsid w:val="00997B90"/>
    <w:rsid w:val="00AA37C3"/>
    <w:rsid w:val="00AA68CA"/>
    <w:rsid w:val="00B40FA8"/>
    <w:rsid w:val="00BA5BE0"/>
    <w:rsid w:val="00CA138F"/>
    <w:rsid w:val="00D674C7"/>
    <w:rsid w:val="00D74E42"/>
    <w:rsid w:val="00E3571C"/>
    <w:rsid w:val="00E63817"/>
    <w:rsid w:val="00E75853"/>
    <w:rsid w:val="00F313C2"/>
    <w:rsid w:val="00FE4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F625944-31E1-4731-B00B-AE3FAD6E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853"/>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8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5853"/>
    <w:rPr>
      <w:rFonts w:eastAsiaTheme="minorEastAsia"/>
      <w:lang w:eastAsia="zh-CN"/>
    </w:rPr>
  </w:style>
  <w:style w:type="paragraph" w:styleId="Footer">
    <w:name w:val="footer"/>
    <w:basedOn w:val="Normal"/>
    <w:link w:val="FooterChar"/>
    <w:uiPriority w:val="99"/>
    <w:unhideWhenUsed/>
    <w:rsid w:val="00E758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5853"/>
    <w:rPr>
      <w:rFonts w:eastAsiaTheme="minorEastAsia"/>
      <w:lang w:eastAsia="zh-CN"/>
    </w:rPr>
  </w:style>
  <w:style w:type="character" w:styleId="PageNumber">
    <w:name w:val="page number"/>
    <w:rsid w:val="00E75853"/>
    <w:rPr>
      <w:sz w:val="20"/>
    </w:rPr>
  </w:style>
  <w:style w:type="paragraph" w:styleId="FootnoteText">
    <w:name w:val="footnote text"/>
    <w:basedOn w:val="Normal"/>
    <w:link w:val="FootnoteTextChar"/>
    <w:uiPriority w:val="99"/>
    <w:semiHidden/>
    <w:unhideWhenUsed/>
    <w:rsid w:val="00E75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853"/>
    <w:rPr>
      <w:rFonts w:eastAsiaTheme="minorEastAsia"/>
      <w:sz w:val="20"/>
      <w:szCs w:val="20"/>
      <w:lang w:eastAsia="zh-CN"/>
    </w:rPr>
  </w:style>
  <w:style w:type="character" w:styleId="FootnoteReference">
    <w:name w:val="footnote reference"/>
    <w:basedOn w:val="DefaultParagraphFont"/>
    <w:uiPriority w:val="99"/>
    <w:semiHidden/>
    <w:unhideWhenUsed/>
    <w:rsid w:val="00E75853"/>
    <w:rPr>
      <w:vertAlign w:val="superscript"/>
    </w:rPr>
  </w:style>
  <w:style w:type="paragraph" w:styleId="ListParagraph">
    <w:name w:val="List Paragraph"/>
    <w:basedOn w:val="Normal"/>
    <w:uiPriority w:val="34"/>
    <w:qFormat/>
    <w:rsid w:val="00D74E42"/>
    <w:pPr>
      <w:ind w:left="720"/>
      <w:contextualSpacing/>
    </w:pPr>
  </w:style>
  <w:style w:type="paragraph" w:styleId="PlainText">
    <w:name w:val="Plain Text"/>
    <w:basedOn w:val="Normal"/>
    <w:link w:val="PlainTextChar"/>
    <w:uiPriority w:val="99"/>
    <w:semiHidden/>
    <w:unhideWhenUsed/>
    <w:rsid w:val="008C35D0"/>
    <w:pPr>
      <w:spacing w:after="0" w:line="240" w:lineRule="auto"/>
    </w:pPr>
    <w:rPr>
      <w:rFonts w:ascii="Consolas" w:eastAsia="Times New Roman" w:hAnsi="Consolas" w:cs="Times New Roman"/>
      <w:sz w:val="21"/>
      <w:szCs w:val="21"/>
      <w:lang w:val="ro-RO" w:eastAsia="en-US"/>
    </w:rPr>
  </w:style>
  <w:style w:type="character" w:customStyle="1" w:styleId="PlainTextChar">
    <w:name w:val="Plain Text Char"/>
    <w:basedOn w:val="DefaultParagraphFont"/>
    <w:link w:val="PlainText"/>
    <w:uiPriority w:val="99"/>
    <w:semiHidden/>
    <w:rsid w:val="008C35D0"/>
    <w:rPr>
      <w:rFonts w:ascii="Consolas" w:eastAsia="Times New Roman" w:hAnsi="Consolas" w:cs="Times New Roman"/>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Land Schleswig-Holstein</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Först, Andrea (Sozialministerium)</dc:creator>
  <cp:lastModifiedBy>Varga, Eszter</cp:lastModifiedBy>
  <cp:revision>2</cp:revision>
  <dcterms:created xsi:type="dcterms:W3CDTF">2019-12-02T13:10:00Z</dcterms:created>
  <dcterms:modified xsi:type="dcterms:W3CDTF">2019-12-02T13:10:00Z</dcterms:modified>
</cp:coreProperties>
</file>