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ØKONOMI OG MARITIME ANLIGENNEDER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Kontoret for statssekretæren for økonomi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Bekendtgørelse nr. 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Resumé: Bekendtgørelse om forskrift om retlig metrologisk kontrol af opacimetre.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Den metrologiske kontrol af målemetoder og -instrumenter i Portugal er i overensstemmelse med den generelle plan, der er godkendt ved lovdekret nr. 29/2022 af 7. april, de generelle bestemmelser i den generelle forskrift om metrologisk kontrol, der er godkendt ved bekendtgørelse nr. 211/2022 af 23. august, samt bestemmelserne i de specifikke bekendtgørelser for hvert måleinstrument.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Med henblik på offentliggørelsen af denne retlige ordning er det nødvendigt at vedtage den specifikke forskrift, der skal overholdes ved metrologisk kontrol af opacimetre, og som ophæver bekendtgørelse nr. 797/2009 af 1. december.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Denne bekendtgørelse har været omfattet af den informationsprocedure med hensyn til tekniske forskrifter samt forskrifter for informationssamfundets tjenester, der er fastsat i Europa-Parlamentets og Rådets direktiv (EU) 2015/1535 af 9. september 2015.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Derfor: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I henhold til artikel 2, litra a), og artikel 25, stk. 1, i lovdekret nr. 29/2022 af 7. april, sammenholdt med bestemmelserne i artikel 1, stk. 4, i den forskrift, der er knyttet som bilag til bekendtgørelse nr. 211/2022 af 23. august, fastsætter regeringen gennem statssekretæren for økonomi følgende: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Artikel 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Formål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Hermed godkendes forskriften om retlig metrologisk kontrol af opacimetre, der er knyttet som bilag til denne bekendtgørelse, og som udgør en integrerende del heraf.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Artikel 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Ophævelsesbestemmelse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Bekendtgørelse nr. 797/2009 af 1. december ophæves hermed.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Artikel 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Ikrafttræden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Denne bekendtgørelse træder i kraft dagen efter dens offentliggørelse.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xx xxxxxx 2023. – Statssekretæren for økonomi, </w:t>
      </w:r>
      <w:r>
        <w:rPr>
          <w:rFonts w:ascii="Garamond" w:hAnsi="Garamond"/>
          <w:i/>
          <w:sz w:val="24"/>
        </w:rPr>
        <w:t>Pedro Cilínio.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BILAG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FORSKRIFT OM RETLIG METROLOGISK KONTROL AF OPACIMETRE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Artikel 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Anvendelsesområde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Denne forskrift finder anvendelse på opacimetre beregnet til måling af røgtætheden af udstødningsemissioner fra dieseldrevne køretøjer.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Artikel 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Definition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I denne forskrift forstås ved opacimetre instrumenter, der er konstrueret til kontinuerlig måling af røgtætheden af udstødningsemissioner fra dieseldrevne køretøjer.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Artikel 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Ibrugtagning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Opacimetre skal opfylde de definerede metrologiske og tekniske krav </w:t>
      </w:r>
      <w:bookmarkStart w:id="2" w:name="_Hlk63409046"/>
      <w:bookmarkStart w:id="3" w:name="_Hlk63674255"/>
      <w:r>
        <w:rPr>
          <w:rFonts w:ascii="Garamond" w:hAnsi="Garamond"/>
          <w:sz w:val="24"/>
        </w:rPr>
        <w:t xml:space="preserve">i </w:t>
      </w:r>
      <w:bookmarkEnd w:id="2"/>
      <w:bookmarkEnd w:id="3"/>
      <w:r>
        <w:rPr>
          <w:rFonts w:ascii="Garamond" w:hAnsi="Garamond"/>
          <w:sz w:val="24"/>
        </w:rPr>
        <w:t>standard ISO 11614.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Artikel 4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Angivelse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Angivelsen fra opacimetre udtrykkes ved lysabsorptionskoefficienten, repræsenteret ved symbolet k, og i enheden m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Opacitetsværdierne er procenter og udtrykkes ved symbolet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Når omregningsfaktoren er behørigt udtrykt, kan andre ækvivalente enheder baseret på det internationale enhedssystem (SI) accepteres.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9F3347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Artikel 5</w:t>
      </w:r>
    </w:p>
    <w:p w14:paraId="7A1BEF1E" w14:textId="77777777" w:rsidR="00503EE6" w:rsidRPr="003D5AFB" w:rsidRDefault="00503EE6" w:rsidP="009F3347">
      <w:pPr>
        <w:keepNext/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Retlig metrologisk kontrol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Den retlige metrologiske kontrol af </w:t>
      </w:r>
      <w:bookmarkStart w:id="4" w:name="_Hlk106875133"/>
      <w:r>
        <w:rPr>
          <w:rFonts w:ascii="Garamond" w:hAnsi="Garamond"/>
          <w:sz w:val="24"/>
        </w:rPr>
        <w:t xml:space="preserve">opacimetre </w:t>
      </w:r>
      <w:bookmarkEnd w:id="4"/>
      <w:r>
        <w:rPr>
          <w:rFonts w:ascii="Garamond" w:hAnsi="Garamond"/>
          <w:sz w:val="24"/>
        </w:rPr>
        <w:t>varetages af det portugisiske kvalitetsinstitut, I. P. (IPQ, I. P.) og omfatter operationerne modelgodkendelse, første verifikation, periodisk verifikation og ekstraordinær verifikation.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Artikel 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Modelgodkendelse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Modelgodkendelsen skal opfylde kravene i artikel 7 i lovdekret nr. 29/2022 af 7. april og artikel 2 i den forskrift, der er knyttet som bilag til bekendtgørelse nr. 211/2022 af 23. august.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(2) I modelgodkendelsens gyldighedsperiode kræves der supplerende modelgodkendelse ved enhver ændring af den godkendte model, ved udskiftning af komponenter, tilføjelse af en supplerende anordning, </w:t>
      </w:r>
      <w:r>
        <w:rPr>
          <w:rFonts w:ascii="Garamond" w:hAnsi="Garamond"/>
          <w:color w:val="000000"/>
          <w:sz w:val="24"/>
        </w:rPr>
        <w:t xml:space="preserve">ændring af de installerede computerprogrammer </w:t>
      </w:r>
      <w:r>
        <w:rPr>
          <w:rFonts w:ascii="Garamond" w:hAnsi="Garamond"/>
          <w:i/>
          <w:color w:val="000000"/>
          <w:sz w:val="24"/>
        </w:rPr>
        <w:t>(software)</w:t>
      </w:r>
      <w:r>
        <w:rPr>
          <w:rFonts w:ascii="Garamond" w:hAnsi="Garamond"/>
          <w:color w:val="000000"/>
          <w:sz w:val="24"/>
        </w:rPr>
        <w:t>) eller ved ændringer, der kan påvirke måleresultaterne eller de forskriftsmæssige anvendelsesbetingelser.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 xml:space="preserve">(3) De </w:t>
      </w:r>
      <w:r>
        <w:rPr>
          <w:rFonts w:ascii="Garamond" w:hAnsi="Garamond"/>
          <w:sz w:val="24"/>
        </w:rPr>
        <w:t xml:space="preserve">computerprogrammer, </w:t>
      </w:r>
      <w:r>
        <w:rPr>
          <w:rFonts w:ascii="Garamond" w:hAnsi="Garamond"/>
          <w:color w:val="000000"/>
          <w:sz w:val="24"/>
        </w:rPr>
        <w:t xml:space="preserve">der anvendes af </w:t>
      </w:r>
      <w:bookmarkStart w:id="5" w:name="_Hlk126936097"/>
      <w:r>
        <w:rPr>
          <w:rFonts w:ascii="Garamond" w:hAnsi="Garamond"/>
          <w:sz w:val="24"/>
        </w:rPr>
        <w:t>opacimetre,</w:t>
      </w:r>
      <w:r>
        <w:rPr>
          <w:rFonts w:ascii="Garamond" w:hAnsi="Garamond"/>
          <w:color w:val="000000"/>
          <w:sz w:val="24"/>
        </w:rPr>
        <w:t xml:space="preserve"> </w:t>
      </w:r>
      <w:bookmarkEnd w:id="5"/>
      <w:r>
        <w:rPr>
          <w:rFonts w:ascii="Garamond" w:hAnsi="Garamond"/>
          <w:color w:val="000000"/>
          <w:sz w:val="24"/>
        </w:rPr>
        <w:t>skal sikre integritet og fortrolighed af de data, der indhentes og vises, og skal være underlagt unik og utvetydig identifikation.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Artikel 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Første verifikation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Den første verifikation skal udføres, inden instrumentet bringes i omsætning eller efter reparation af det, samt hvis forseglingen brydes, med undladelse af den periodiske verifikation i det pågældende år, der har samme gyldighedsperiode.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De første verifikationsprøvninger skal udføres i overensstemmelse med de metrologiske og tekniske krav i artikel 3 i denne forskrift.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t>(3)</w:t>
      </w:r>
      <w:bookmarkEnd w:id="6"/>
      <w:r>
        <w:rPr>
          <w:rFonts w:ascii="Garamond" w:hAnsi="Garamond"/>
          <w:sz w:val="24"/>
        </w:rPr>
        <w:t xml:space="preserve"> De maksimalt tilladelige fejlværdier for den første verifikation er lig med ± 2 % opacitet,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9F3347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Artikel 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Periodisk verifikation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t>(1) Periodisk verifikation finder sted årligt og er gyldig i et år efter dens afslutning.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Prøvningerne for periodisk verifikation er de samme som dem, der er fastsat for den første verifikation.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Værdierne for de maksimalt tilladelige fejl for den periodiske verifikation er lig med værdierne for de maksimalt tilladelige fejl, der er fastsat for den første verifikation.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Artikel 9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Ekstraordinær verifikation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Ekstraordinær verifikation omfatter prøvningerne for periodisk verifikation.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Ved den ekstraordinære verifikation er værdierne for de maksimalt tilladelige fejl lig med værdierne for de maksimalt tilladelige fejl, der er fastsat for den periodiske verifikation.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Artikel 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Påskrifter og mærkninger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(1) Opacimetre skal, synligt og læseligt, være forsynet med påskrifter og mærkninger i overensstemmelse med de metrologiske krav i artikel 3 i denne forskrift.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9"/>
      <w:r>
        <w:rPr>
          <w:rFonts w:ascii="Garamond" w:hAnsi="Garamond"/>
          <w:sz w:val="24"/>
        </w:rPr>
        <w:t xml:space="preserve"> Opacimetre skal desuden være forsynet med det modelgodkendelsessymbol og andre symboler eller referencer, der er hensigtsmæssige for deres formål.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t>Artikel 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Overgangsbestemmelse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De anvendte instrumenter kan forblive i brug, så længe de er i god stand, og hvis de metrologiske kontrolprøvninger ikke udvikler fejl, der overskrider de maksimalt tilladelige fejl.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9F3347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Artikel 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Afsluttende bestemmelse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Bestemmelserne i de foregående artikler er ikke til hinder for markedsføring eller fortsat anvendelse af opacimetre, der ledsages af overensstemmelsesvurderingsattester udstedt af organer, der er anerkendt i henhold til gældende EU-lovgivning, inden for rammerne af den retlige metrologiaktivitet baseret på specifikationer og procedurer, der sikrer en metrologisk kvalitet som den, der er omhandlet i denne forskrift, idet ækvivalensen vurderes af IPQ. I.P.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9F3347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customXml/itemProps2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Liana Brili</cp:lastModifiedBy>
  <cp:revision>4</cp:revision>
  <dcterms:created xsi:type="dcterms:W3CDTF">2023-04-03T15:23:00Z</dcterms:created>
  <dcterms:modified xsi:type="dcterms:W3CDTF">2023-04-19T13:42:00Z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