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ECONOMIE ȘI MARE</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Cabinetul secretarului de stat pentru economie</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Ordonanța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Sinteză: Ordonanța de stabilire a Regulamentului privind controlul metrologic legal al opacimetrelor</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Controlul metrologic al metodelor și mijloacelor de măsurare în Portugalia respectă regimul general aprobat prin Decretul-lege nr. 29/2022 din 7 aprilie, dispozițiile generale de reglementare prevăzute de Regulamentul general privind controlul metrologic aprobat prin Ordonanța nr. 211/2022 din 23 august, precum și dispozițiile cuprinse în ordonanțele specifice ale fiecărui mijloc de măsurare.</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Având în vedere publicarea acestui regim juridic, devine necesară adoptarea regulamentului specific care trebuie respectat de controlul metrologic al opacimetrelor, de abrogare a Ordonanței nr. 797/2009 din 1 decembrie.</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Prezenta ordonanță a făcut obiectul procedurii de informare în domeniul reglementărilor tehnice și al normelor privind serviciile societății informaționale, prevăzută în Directiva (UE) 2015/1535 a Parlamentului European și a Consiliului din 9 septembrie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Prin urmare:</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În temeiul articolului 2 litera (a) și al articolului 25 alineatul (1) din Decretul-lege nr. 29/2022 din 7 aprilie, coroborat cu dispozițiile articolului 1 alineatul (4) din regulamentul anexat la Ordonanța nr. 211/2022 din 23 august, guvernul, prin secretarul de stat pentru economie, dispune următoarele:</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Articolul 1</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Obiectul</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Se aprobă Regulamentul privind controlul metrologic legal al opacimetrelor anexat la prezenta ordonanță, din care face parte integrantă.</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Articolul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Clauză de abrogare</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Ordonanța nr. 797/2009 din 1 decembrie se abrogă.</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Articolul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Intrare în vigoare</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Prezenta ordonanță intră în vigoare în ziua următoare datei publicării sale.</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xx xxxxxx 2023. – Secretarul de stat pentru economie, </w:t>
      </w:r>
      <w:r>
        <w:rPr>
          <w:rFonts w:ascii="Garamond" w:hAnsi="Garamond"/>
          <w:i/>
          <w:sz w:val="24"/>
        </w:rPr>
        <w:t>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ANEXĂ</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REGULAMENTUL PRIVIND CONTROLUL METROLOGIC LEGAL AL OPACIMETRELOR</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Articolul 1</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Domeniul de aplicare</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Prezentul regulament se aplică opacimetrelor destinate măsurării opacității emisiilor de gaze de eșapament provenite de la vehiculele echipate cu motor diesel.</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Articolul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Definiție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În sensul prezentului regulament, „opacimetre” înseamnă instrumentele concepute pentru măsurarea continuă a opacității gazelor de eșapament emise de vehicule.</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Articolul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Punerea în funcțiune</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Opacimetrele trebuie să îndeplinească cerințele metrologice și tehnice definite </w:t>
      </w:r>
      <w:bookmarkStart w:id="2" w:name="_Hlk63409046"/>
      <w:bookmarkStart w:id="3" w:name="_Hlk63674255"/>
      <w:r>
        <w:rPr>
          <w:rFonts w:ascii="Garamond" w:hAnsi="Garamond"/>
          <w:sz w:val="24"/>
        </w:rPr>
        <w:t xml:space="preserve">în </w:t>
      </w:r>
      <w:bookmarkEnd w:id="2"/>
      <w:bookmarkEnd w:id="3"/>
      <w:r>
        <w:rPr>
          <w:rFonts w:ascii="Garamond" w:hAnsi="Garamond"/>
          <w:sz w:val="24"/>
        </w:rPr>
        <w:t>standardul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Articolul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Indicație</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Indicația opacimetrelor se exprimă cu ajutorul coeficientului de absorbție luminoasă, reprezentat de simbolul k, și în unitatea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Valorile opacității sunt procentuale și sunt exprimate prin simbolul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Atunci când factorul de conversie este exprimat în mod corespunzător, alte unități echivalente pot fi acceptate pe baza unităților Sistemului Internațional de Unități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5024E2">
      <w:pPr>
        <w:spacing w:after="120" w:line="360" w:lineRule="auto"/>
        <w:jc w:val="center"/>
        <w:rPr>
          <w:rFonts w:ascii="Garamond" w:hAnsi="Garamond" w:cs="Arial"/>
          <w:sz w:val="24"/>
          <w:szCs w:val="24"/>
        </w:rPr>
      </w:pPr>
      <w:r>
        <w:rPr>
          <w:rFonts w:ascii="Garamond" w:hAnsi="Garamond"/>
          <w:sz w:val="24"/>
        </w:rPr>
        <w:lastRenderedPageBreak/>
        <w:t>Articolul 5</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Controlul metrologic legal</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Controlul metrologic legal al </w:t>
      </w:r>
      <w:bookmarkStart w:id="4" w:name="_Hlk106875133"/>
      <w:r>
        <w:rPr>
          <w:rFonts w:ascii="Garamond" w:hAnsi="Garamond"/>
          <w:sz w:val="24"/>
        </w:rPr>
        <w:t xml:space="preserve">opacimetrelor </w:t>
      </w:r>
      <w:bookmarkEnd w:id="4"/>
      <w:r>
        <w:rPr>
          <w:rFonts w:ascii="Garamond" w:hAnsi="Garamond"/>
          <w:sz w:val="24"/>
        </w:rPr>
        <w:t>este responsabilitatea Institutului portughez de calitate, I. P. (IPQ, I. P.) și cuprinde operațiunile de aprobare a modelului, prima verificare, verificare periodică și verificare extraordinară.</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Articolul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Aprobarea modelului</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Aprobarea modelului trebuie să respecte cerințele prevăzute la articolul 7 din Decretul-lege nr. 29/2022 din 7 aprilie și la articolul 2 din regulamentul anexat la Ordonanța nr. 211/2022 din 23 august.</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În timpul perioadei de valabilitate a aprobării modelului, oricare sau toate modificările aduse modelului aprobat, prin înlocuirea componentelor, </w:t>
      </w:r>
      <w:r>
        <w:rPr>
          <w:rFonts w:ascii="Garamond" w:hAnsi="Garamond"/>
          <w:color w:val="000000"/>
          <w:sz w:val="24"/>
        </w:rPr>
        <w:t xml:space="preserve">prin adăugarea unui dispozitiv suplimentar, schimbarea programului informatic </w:t>
      </w:r>
      <w:r>
        <w:rPr>
          <w:rFonts w:ascii="Garamond" w:hAnsi="Garamond"/>
          <w:i/>
          <w:color w:val="000000"/>
          <w:sz w:val="24"/>
        </w:rPr>
        <w:t>(software)</w:t>
      </w:r>
      <w:r>
        <w:rPr>
          <w:rFonts w:ascii="Garamond" w:hAnsi="Garamond"/>
          <w:color w:val="000000"/>
          <w:sz w:val="24"/>
        </w:rPr>
        <w:t xml:space="preserve"> instalat sau prin modificări care pot influența rezultatele măsurătorilor sau condițiile reglementare de utilizare, necesită o aprobare suplimentară a modelului.</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Programele </w:t>
      </w:r>
      <w:r>
        <w:rPr>
          <w:rFonts w:ascii="Garamond" w:hAnsi="Garamond"/>
          <w:sz w:val="24"/>
        </w:rPr>
        <w:t xml:space="preserve">informatice </w:t>
      </w:r>
      <w:r>
        <w:rPr>
          <w:rFonts w:ascii="Garamond" w:hAnsi="Garamond"/>
          <w:color w:val="000000"/>
          <w:sz w:val="24"/>
        </w:rPr>
        <w:t xml:space="preserve">utilizate de </w:t>
      </w:r>
      <w:bookmarkStart w:id="5" w:name="_Hlk126936097"/>
      <w:r>
        <w:rPr>
          <w:rFonts w:ascii="Garamond" w:hAnsi="Garamond"/>
          <w:sz w:val="24"/>
        </w:rPr>
        <w:t>opacimetre</w:t>
      </w:r>
      <w:r>
        <w:rPr>
          <w:rFonts w:ascii="Garamond" w:hAnsi="Garamond"/>
          <w:color w:val="000000"/>
          <w:sz w:val="24"/>
        </w:rPr>
        <w:t xml:space="preserve"> </w:t>
      </w:r>
      <w:bookmarkEnd w:id="5"/>
      <w:r>
        <w:rPr>
          <w:rFonts w:ascii="Garamond" w:hAnsi="Garamond"/>
          <w:color w:val="000000"/>
          <w:sz w:val="24"/>
        </w:rPr>
        <w:t>să asigure integritatea și confidențialitatea datelor obținute și prezentate, și trebuie să facă obiectul unei identificări unice și lipsite de ambiguitate.</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Articolul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Prima verificare</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Prima verificare se efectuează înainte ca instrumentul să fie introdus pe piață sau după ce a fost reparat și ori de câte ori are loc o rupere a sigiliului, fără o verificare periodică în anul respectiv, având aceeași perioadă de valabilitate.</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Primele încercări de verificare se efectuează în conformitate cu cerințele metrologice și tehnice prevăzute la articolul 3 din prezentul regulament.</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Valorile erorilor maxime admisibile pentru prima verificare sunt egale cu ± 2 % opacitate,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lastRenderedPageBreak/>
        <w:t>Articolul 8</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Verificarea periodică</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Verificarea periodică are o frecvență anuală și este valabilă timp de un an de la finalizarea acesteia.</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Încercările de verificare periodică sunt aceleași cu cele stabilite pentru prima verificare.</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Valorile erorilor maxime admisibile în verificarea periodică sunt egale cu valorile erorilor maxime admisibile stabilite pentru prima verificare.</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Articolul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Verificarea extraordinară</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Verificarea extraordinară include încercările de verificare periodică.</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În cadrul verificării extraordinare, valorile erorilor maxime admisibile sunt egale cu valorile erorilor maxime admisibile stabilite pentru verificarea periodică.</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Articolul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Inscripții și marcaje</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Opacimetrele trebuie să afișeze, în mod vizibil și lizibil, inscripții și marcaje în conformitate cu cerințele metrologice prevăzute la articolul 3 din prezentul regulament.</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Opacimetrele trebuie să conțină, de asemenea, simbolul de aprobare a modelului și alte simboluri sau referințe utile pentru utilizarea lor.</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Articolul 11</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Dispoziție tranzitorie</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Instrumentele în uz pot rămâne în uz atât timp cât sunt în stare bună și în cazul în care, în încercările de verificare metrologică, apar erori care nu depășesc erorile maxime admisibile.</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88186C">
      <w:pPr>
        <w:keepNext/>
        <w:spacing w:after="120" w:line="360" w:lineRule="auto"/>
        <w:jc w:val="center"/>
        <w:rPr>
          <w:rFonts w:ascii="Garamond" w:hAnsi="Garamond" w:cs="Arial"/>
          <w:sz w:val="24"/>
          <w:szCs w:val="24"/>
        </w:rPr>
      </w:pPr>
      <w:r>
        <w:rPr>
          <w:rFonts w:ascii="Garamond" w:hAnsi="Garamond"/>
          <w:sz w:val="24"/>
        </w:rPr>
        <w:lastRenderedPageBreak/>
        <w:t>Articolul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Dispoziție finală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Dispozițiile articolelor anterioare nu împiedică comercializarea sau utilizarea ulterioară a opacimetrelor, însoțite de certificate de evaluare a conformității eliberate de organisme recunoscute în temeiul legislației aplicabile a Uniunii Europene, în cadrul activității de metrologie legală, pe baza specificațiilor și a procedurilor care asigură o calitate metrologică echivalentă cu cea menționată în prezentul regulament, echivalența fiind evaluată de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8186C"/>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928</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