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CADA" w14:textId="77777777" w:rsidR="0028509A" w:rsidRPr="009E7127" w:rsidRDefault="0028509A" w:rsidP="0028509A">
      <w:pPr>
        <w:spacing w:line="240" w:lineRule="auto"/>
        <w:jc w:val="center"/>
        <w:rPr>
          <w:rFonts w:ascii="Times New Roman" w:hAnsi="Times New Roman"/>
          <w:b/>
          <w:color w:val="auto"/>
          <w:spacing w:val="40"/>
          <w:sz w:val="28"/>
          <w:szCs w:val="28"/>
        </w:rPr>
      </w:pPr>
      <w:r w:rsidRPr="009E7127">
        <w:rPr>
          <w:rFonts w:ascii="Times New Roman" w:hAnsi="Times New Roman"/>
          <w:b/>
          <w:color w:val="auto"/>
          <w:spacing w:val="40"/>
          <w:sz w:val="28"/>
          <w:szCs w:val="28"/>
        </w:rPr>
        <w:t>ODŮVODNĚNÍ</w:t>
      </w:r>
    </w:p>
    <w:p w14:paraId="468EEB3B" w14:textId="77777777" w:rsidR="0028509A" w:rsidRPr="009E7127" w:rsidRDefault="0028509A" w:rsidP="0028509A">
      <w:pPr>
        <w:spacing w:line="240" w:lineRule="auto"/>
        <w:jc w:val="center"/>
        <w:rPr>
          <w:rFonts w:ascii="Times New Roman" w:hAnsi="Times New Roman"/>
          <w:color w:val="auto"/>
          <w:spacing w:val="20"/>
          <w:sz w:val="24"/>
        </w:rPr>
      </w:pPr>
    </w:p>
    <w:p w14:paraId="73E30EB2" w14:textId="77777777" w:rsidR="0028509A" w:rsidRPr="0080126D" w:rsidRDefault="0028509A" w:rsidP="0028509A">
      <w:pPr>
        <w:spacing w:line="240" w:lineRule="auto"/>
        <w:jc w:val="center"/>
        <w:rPr>
          <w:rFonts w:ascii="Times New Roman" w:hAnsi="Times New Roman"/>
          <w:b/>
          <w:color w:val="auto"/>
          <w:sz w:val="24"/>
        </w:rPr>
      </w:pPr>
      <w:r w:rsidRPr="0080126D">
        <w:rPr>
          <w:rFonts w:ascii="Times New Roman" w:hAnsi="Times New Roman"/>
          <w:b/>
          <w:color w:val="auto"/>
          <w:sz w:val="24"/>
        </w:rPr>
        <w:t>I. OBECNÁ ČÁST</w:t>
      </w:r>
    </w:p>
    <w:p w14:paraId="68B7C1D1" w14:textId="77777777" w:rsidR="0028509A" w:rsidRPr="009E7127" w:rsidRDefault="0028509A" w:rsidP="0028509A">
      <w:pPr>
        <w:spacing w:line="240" w:lineRule="auto"/>
        <w:jc w:val="center"/>
        <w:rPr>
          <w:rFonts w:ascii="Times New Roman" w:hAnsi="Times New Roman"/>
          <w:color w:val="FF0000"/>
          <w:spacing w:val="20"/>
          <w:sz w:val="24"/>
        </w:rPr>
      </w:pPr>
    </w:p>
    <w:p w14:paraId="6C935234" w14:textId="77777777" w:rsidR="0028509A" w:rsidRPr="009E7127" w:rsidRDefault="0028509A" w:rsidP="0028509A">
      <w:pPr>
        <w:spacing w:line="240" w:lineRule="auto"/>
        <w:jc w:val="center"/>
        <w:rPr>
          <w:rFonts w:ascii="Times New Roman" w:hAnsi="Times New Roman"/>
          <w:color w:val="FF0000"/>
          <w:spacing w:val="20"/>
          <w:sz w:val="24"/>
        </w:rPr>
      </w:pPr>
    </w:p>
    <w:p w14:paraId="6AC58894" w14:textId="77777777" w:rsidR="0028509A" w:rsidRPr="009E7127" w:rsidRDefault="0028509A" w:rsidP="0028509A">
      <w:pPr>
        <w:suppressAutoHyphens/>
        <w:spacing w:line="240" w:lineRule="auto"/>
        <w:rPr>
          <w:rFonts w:ascii="Times New Roman" w:hAnsi="Times New Roman"/>
          <w:b/>
          <w:color w:val="auto"/>
          <w:sz w:val="24"/>
          <w:szCs w:val="20"/>
        </w:rPr>
      </w:pPr>
      <w:r w:rsidRPr="009E7127">
        <w:rPr>
          <w:rFonts w:ascii="Times New Roman" w:hAnsi="Times New Roman"/>
          <w:b/>
          <w:color w:val="auto"/>
          <w:sz w:val="24"/>
          <w:szCs w:val="20"/>
        </w:rPr>
        <w:t>Vysvětlení nezbytnosti navrhované právní úpravy, odůvodnění jejích hlavních principů, zhodnocení platného právního stavu a odůvodnění nezbytnosti jeho změny</w:t>
      </w:r>
    </w:p>
    <w:p w14:paraId="371580FD" w14:textId="77777777" w:rsidR="0028509A" w:rsidRPr="009E7127" w:rsidRDefault="0028509A" w:rsidP="0028509A">
      <w:pPr>
        <w:spacing w:line="240" w:lineRule="auto"/>
        <w:jc w:val="center"/>
        <w:rPr>
          <w:rFonts w:ascii="Times New Roman" w:hAnsi="Times New Roman"/>
          <w:color w:val="auto"/>
          <w:sz w:val="24"/>
        </w:rPr>
      </w:pPr>
    </w:p>
    <w:p w14:paraId="4F02410D" w14:textId="77777777" w:rsidR="0028509A" w:rsidRPr="009E7127" w:rsidRDefault="0028509A" w:rsidP="0028509A">
      <w:pPr>
        <w:spacing w:line="240" w:lineRule="auto"/>
        <w:ind w:firstLine="709"/>
        <w:rPr>
          <w:rFonts w:ascii="Times New Roman" w:hAnsi="Times New Roman"/>
          <w:color w:val="auto"/>
          <w:sz w:val="24"/>
        </w:rPr>
      </w:pPr>
      <w:r w:rsidRPr="009E7127">
        <w:rPr>
          <w:rFonts w:ascii="Times New Roman" w:hAnsi="Times New Roman"/>
          <w:color w:val="auto"/>
          <w:sz w:val="24"/>
        </w:rPr>
        <w:t xml:space="preserve">Zákon č. 167/1998 Sb., o návykových látkách a o změně některých dalších zákonů (dále jen „zákon“) v § 44c odst. 1 a odst. 2 zmocňuje vládu k vyhlášení seznamu omamných </w:t>
      </w:r>
      <w:r>
        <w:rPr>
          <w:rFonts w:ascii="Times New Roman" w:hAnsi="Times New Roman"/>
          <w:color w:val="auto"/>
          <w:sz w:val="24"/>
        </w:rPr>
        <w:br/>
      </w:r>
      <w:r w:rsidRPr="009E7127">
        <w:rPr>
          <w:rFonts w:ascii="Times New Roman" w:hAnsi="Times New Roman"/>
          <w:color w:val="auto"/>
          <w:sz w:val="24"/>
        </w:rPr>
        <w:t>a psychotropních látek. Toto ustanovení provádí nařízení vlády č. 463/2013 Sb., o seznamech návykových látek, ve znění pozdějších předpisů (dále jen „nařízení vlády“).</w:t>
      </w:r>
    </w:p>
    <w:p w14:paraId="24867314" w14:textId="77777777" w:rsidR="0028509A" w:rsidRPr="009E7127" w:rsidRDefault="0028509A" w:rsidP="0028509A">
      <w:pPr>
        <w:spacing w:line="240" w:lineRule="auto"/>
        <w:ind w:firstLine="709"/>
        <w:rPr>
          <w:rFonts w:ascii="Times New Roman" w:hAnsi="Times New Roman"/>
          <w:color w:val="auto"/>
          <w:sz w:val="24"/>
        </w:rPr>
      </w:pPr>
      <w:r w:rsidRPr="009E7127">
        <w:rPr>
          <w:rFonts w:ascii="Times New Roman" w:hAnsi="Times New Roman"/>
          <w:color w:val="auto"/>
          <w:sz w:val="24"/>
        </w:rPr>
        <w:t>Nařízení vlády rozděluje seznam návykových látek na omamné a psychotropní látky rozčleněné do 7 skupin podle systematiky členění používané Jednotnou Úmluvou o omamných látkách z roku 1961, Úmluvou o psychotropních látkách z roku 1971 a Protokolem o změnách Jednotné úmluvy o omamných látkách z roku 1961. Toto členění se v praxi ukázalo jako vyhovující a dokáže spolehlivě zajistit různé režimy kontroly nad těmito látkami při současné potřebě dostupnosti léčivých přípravků s obsahem návykových látek.</w:t>
      </w:r>
    </w:p>
    <w:p w14:paraId="54F99A8F" w14:textId="1CB46AA1" w:rsidR="0028509A" w:rsidRPr="009E7127" w:rsidRDefault="0028509A" w:rsidP="0028509A">
      <w:pPr>
        <w:spacing w:line="240" w:lineRule="auto"/>
        <w:ind w:firstLine="709"/>
        <w:rPr>
          <w:rFonts w:ascii="Times New Roman" w:hAnsi="Times New Roman"/>
          <w:color w:val="auto"/>
          <w:sz w:val="24"/>
        </w:rPr>
      </w:pPr>
      <w:r w:rsidRPr="009E7127">
        <w:rPr>
          <w:rFonts w:ascii="Times New Roman" w:hAnsi="Times New Roman"/>
          <w:color w:val="auto"/>
          <w:sz w:val="24"/>
        </w:rPr>
        <w:t>Nejpřísnějším opatřením z pohledu zákona jsou podrobeny omamné látky uvedené v příloze č. 3 a psychotropní látky uvedené v příloze č. 4 k nařízení vlády. Zákon připouští použití těchto látek a přípravků s jejich obsahem pouze k omezeným výzkumným, vědeckým a</w:t>
      </w:r>
      <w:r w:rsidR="00A42A84">
        <w:rPr>
          <w:rFonts w:ascii="Times New Roman" w:hAnsi="Times New Roman"/>
          <w:color w:val="auto"/>
          <w:sz w:val="24"/>
        </w:rPr>
        <w:t> </w:t>
      </w:r>
      <w:r w:rsidRPr="009E7127">
        <w:rPr>
          <w:rFonts w:ascii="Times New Roman" w:hAnsi="Times New Roman"/>
          <w:color w:val="auto"/>
          <w:sz w:val="24"/>
        </w:rPr>
        <w:t>velmi omezeným terapeutickým účelům vymezeným</w:t>
      </w:r>
      <w:r w:rsidR="00CB571E">
        <w:rPr>
          <w:rFonts w:ascii="Times New Roman" w:hAnsi="Times New Roman"/>
          <w:color w:val="auto"/>
          <w:sz w:val="24"/>
        </w:rPr>
        <w:t xml:space="preserve"> </w:t>
      </w:r>
      <w:r w:rsidRPr="009E7127">
        <w:rPr>
          <w:rFonts w:ascii="Times New Roman" w:hAnsi="Times New Roman"/>
          <w:color w:val="auto"/>
          <w:sz w:val="24"/>
        </w:rPr>
        <w:t>v povolení k zacházení vydaným Ministerstvem zdravotnictví. Zákon tak nepřipouští jejich běžné terapeutické použití a osoby, které mají v úmyslu s těmito látkami zacházet, musejí mít k těmto činnostem povolení k zacházení a dodržovat přísná pravidla vedení písemné evidence a skladování při zacházení s těmito látkami. Toto opatření dopadá i na většinu subjektů, které ze zákona nemusejí mít při činnostech s ostatními skupin</w:t>
      </w:r>
      <w:r w:rsidR="00CB571E">
        <w:rPr>
          <w:rFonts w:ascii="Times New Roman" w:hAnsi="Times New Roman"/>
          <w:color w:val="auto"/>
          <w:sz w:val="24"/>
        </w:rPr>
        <w:t>ami</w:t>
      </w:r>
      <w:r w:rsidRPr="009E7127">
        <w:rPr>
          <w:rFonts w:ascii="Times New Roman" w:hAnsi="Times New Roman"/>
          <w:color w:val="auto"/>
          <w:sz w:val="24"/>
        </w:rPr>
        <w:t xml:space="preserve"> návykových látek povolení k zacházení, tedy např. i pro poskytovatele zdravotních služeb či veterinární lékaře. U této skupiny látek není reálný důvod jejich nabývání fyzickými osobami.</w:t>
      </w:r>
    </w:p>
    <w:p w14:paraId="06AB470E" w14:textId="77777777" w:rsidR="0028509A" w:rsidRPr="009E7127" w:rsidRDefault="0028509A" w:rsidP="0028509A">
      <w:pPr>
        <w:spacing w:line="240" w:lineRule="auto"/>
        <w:ind w:firstLine="709"/>
        <w:rPr>
          <w:rFonts w:ascii="Times New Roman" w:hAnsi="Times New Roman"/>
          <w:color w:val="auto"/>
          <w:sz w:val="24"/>
        </w:rPr>
      </w:pPr>
      <w:r w:rsidRPr="009E7127">
        <w:rPr>
          <w:rFonts w:ascii="Times New Roman" w:hAnsi="Times New Roman"/>
          <w:color w:val="auto"/>
          <w:sz w:val="24"/>
        </w:rPr>
        <w:t>Další skupinou jsou omamné látky uvedené v příloze č. 1 a psychotropní látky uvedené v příloze č. 5 k nařízení vlády. U této skupiny látek zákon sice připouští jejich terapeutické, vědecké, výukové, veterinární nebo i jiné účely použití na základě povolení k zacházení, avšak při splnění přísných podmínek vedení písemné evidence a skladování. Některé subjekty, jako např. poskytovatelé zdravotních služeb, lékárenské péče či veterinární lékaři jsou zákonem osvobozeny od povinnosti mít povolení k zacházení při činnostech s těmito látkami či přípravky s jejich obsahem. Fyzickým osobám mohou být léčivé přípravky s obsahem těchto návykových látek vydány pouze na základě receptu s modrým pruhem.</w:t>
      </w:r>
    </w:p>
    <w:p w14:paraId="73D19529" w14:textId="36394F85" w:rsidR="0028509A" w:rsidRPr="009E7127" w:rsidRDefault="0028509A" w:rsidP="0028509A">
      <w:pPr>
        <w:spacing w:line="240" w:lineRule="auto"/>
        <w:ind w:firstLine="709"/>
        <w:rPr>
          <w:rFonts w:ascii="Times New Roman" w:hAnsi="Times New Roman"/>
          <w:color w:val="auto"/>
          <w:sz w:val="24"/>
        </w:rPr>
      </w:pPr>
      <w:r w:rsidRPr="009E7127">
        <w:rPr>
          <w:rFonts w:ascii="Times New Roman" w:hAnsi="Times New Roman"/>
          <w:color w:val="auto"/>
          <w:sz w:val="24"/>
        </w:rPr>
        <w:t>Poslední skupinou jsou omamné látky uvedené v příloze č. 2 a psychotropní látky uvedené v přílohách č. 6 a 7 k nařízení vlády. Pro tuto skupinu návykových látek zákon připouští u některých subjektů výjimky z nutnosti povolení k zacházení při činnostech s těmito látkami a přísných podmínek vedení evidence a skladování. Fyzické osoby mohou přípravky s obsahem těchto látek nabývat na základě receptu</w:t>
      </w:r>
      <w:r>
        <w:rPr>
          <w:rFonts w:ascii="Times New Roman" w:hAnsi="Times New Roman"/>
          <w:color w:val="auto"/>
          <w:sz w:val="24"/>
        </w:rPr>
        <w:t>.</w:t>
      </w:r>
    </w:p>
    <w:p w14:paraId="4A54451F" w14:textId="77777777" w:rsidR="0028509A" w:rsidRPr="009E7127" w:rsidRDefault="0028509A" w:rsidP="0028509A">
      <w:pPr>
        <w:spacing w:line="240" w:lineRule="auto"/>
        <w:ind w:firstLine="709"/>
        <w:rPr>
          <w:rFonts w:ascii="Times New Roman" w:hAnsi="Times New Roman"/>
          <w:color w:val="auto"/>
          <w:sz w:val="24"/>
        </w:rPr>
      </w:pPr>
      <w:r w:rsidRPr="009E7127">
        <w:rPr>
          <w:rFonts w:ascii="Times New Roman" w:hAnsi="Times New Roman"/>
          <w:color w:val="auto"/>
          <w:sz w:val="24"/>
        </w:rPr>
        <w:t xml:space="preserve">Změna v přílohách nařízení vlády pak ve svém důsledku vede k režimovým změnám při legálním zacházení s dotčenými návykovými látkami, které se dotýkají například povolení </w:t>
      </w:r>
      <w:r>
        <w:rPr>
          <w:rFonts w:ascii="Times New Roman" w:hAnsi="Times New Roman"/>
          <w:color w:val="auto"/>
          <w:sz w:val="24"/>
        </w:rPr>
        <w:br/>
      </w:r>
      <w:r w:rsidRPr="009E7127">
        <w:rPr>
          <w:rFonts w:ascii="Times New Roman" w:hAnsi="Times New Roman"/>
          <w:color w:val="auto"/>
          <w:sz w:val="24"/>
        </w:rPr>
        <w:t>k zacházení s těmito látkami, vedení evidence, skladování a režimu výdeje těchto návykových látek. Vedle legálního zacházení mají změny v přílohách nařízení vlády též dopad do oblasti trestního práva, kdy nelegální zacházení s těmito látkami může být kvalifikováno jako přestupek či trestný čin.</w:t>
      </w:r>
    </w:p>
    <w:p w14:paraId="1DECA096" w14:textId="77777777" w:rsidR="0028509A" w:rsidRPr="0045428A" w:rsidRDefault="0028509A" w:rsidP="0028509A">
      <w:pPr>
        <w:spacing w:line="240" w:lineRule="auto"/>
        <w:ind w:firstLine="709"/>
        <w:rPr>
          <w:rFonts w:ascii="Times New Roman" w:hAnsi="Times New Roman"/>
          <w:color w:val="auto"/>
          <w:sz w:val="24"/>
        </w:rPr>
      </w:pPr>
      <w:r w:rsidRPr="009E7127">
        <w:rPr>
          <w:rFonts w:ascii="Times New Roman" w:hAnsi="Times New Roman"/>
          <w:color w:val="auto"/>
          <w:sz w:val="24"/>
        </w:rPr>
        <w:t xml:space="preserve">Vzhledem k tomu, že drogový trh nejen v České republice, ale i v celé Evropské unii neustále zaplavují nové syntetické drogy, které jsou syntetizovány s cílem vyhnout se </w:t>
      </w:r>
      <w:r w:rsidRPr="0045428A">
        <w:rPr>
          <w:rFonts w:ascii="Times New Roman" w:hAnsi="Times New Roman"/>
          <w:color w:val="auto"/>
          <w:sz w:val="24"/>
        </w:rPr>
        <w:lastRenderedPageBreak/>
        <w:t xml:space="preserve">chemickým strukturám, jež spadají pod kontrolní režim omamných či psychotropních látek, je nezbytné těmto tendencím čelit. </w:t>
      </w:r>
    </w:p>
    <w:p w14:paraId="19D96AAB" w14:textId="77777777" w:rsidR="0028509A" w:rsidRPr="0045428A" w:rsidRDefault="0028509A" w:rsidP="0028509A">
      <w:pPr>
        <w:spacing w:line="240" w:lineRule="auto"/>
        <w:ind w:firstLine="709"/>
        <w:rPr>
          <w:rFonts w:ascii="Times New Roman" w:hAnsi="Times New Roman"/>
          <w:color w:val="auto"/>
          <w:sz w:val="24"/>
        </w:rPr>
      </w:pPr>
    </w:p>
    <w:p w14:paraId="69287B34" w14:textId="0A44E655" w:rsidR="00697BA3" w:rsidRPr="00697BA3" w:rsidRDefault="00697BA3" w:rsidP="00697BA3">
      <w:pPr>
        <w:spacing w:line="240" w:lineRule="auto"/>
        <w:ind w:firstLine="709"/>
        <w:rPr>
          <w:rFonts w:ascii="Times New Roman" w:hAnsi="Times New Roman"/>
          <w:color w:val="auto"/>
          <w:sz w:val="24"/>
        </w:rPr>
      </w:pPr>
      <w:r w:rsidRPr="00697BA3">
        <w:rPr>
          <w:rFonts w:ascii="Times New Roman" w:hAnsi="Times New Roman"/>
          <w:color w:val="auto"/>
          <w:sz w:val="24"/>
        </w:rPr>
        <w:t xml:space="preserve">Na svém 65. řádném zasedání rozhodla Komise pro omamné látky </w:t>
      </w:r>
      <w:r>
        <w:rPr>
          <w:rFonts w:ascii="Times New Roman" w:hAnsi="Times New Roman"/>
          <w:color w:val="auto"/>
          <w:sz w:val="24"/>
        </w:rPr>
        <w:t xml:space="preserve">při OSN </w:t>
      </w:r>
      <w:r w:rsidRPr="00697BA3">
        <w:rPr>
          <w:rFonts w:ascii="Times New Roman" w:hAnsi="Times New Roman"/>
          <w:color w:val="auto"/>
          <w:sz w:val="24"/>
        </w:rPr>
        <w:t>o zařazení tří nových psychoaktivních látek pod mezinárodní kontrolu. Na základě doporučení WHO byly do příslušných seznamů Jednotné úmluvy o omamných látkách z roku 1961 ve znění protokolu z roku 1972 a Úmluvy o psychotropních látkách z roku 1971 doplněny látky</w:t>
      </w:r>
      <w:r>
        <w:rPr>
          <w:rFonts w:ascii="Times New Roman" w:hAnsi="Times New Roman"/>
          <w:color w:val="auto"/>
          <w:sz w:val="24"/>
        </w:rPr>
        <w:t xml:space="preserve"> </w:t>
      </w:r>
      <w:proofErr w:type="spellStart"/>
      <w:r>
        <w:rPr>
          <w:rFonts w:ascii="Times New Roman" w:hAnsi="Times New Roman"/>
          <w:color w:val="auto"/>
          <w:sz w:val="24"/>
        </w:rPr>
        <w:t>brorfin</w:t>
      </w:r>
      <w:proofErr w:type="spellEnd"/>
      <w:r>
        <w:rPr>
          <w:rFonts w:ascii="Times New Roman" w:hAnsi="Times New Roman"/>
          <w:color w:val="auto"/>
          <w:sz w:val="24"/>
        </w:rPr>
        <w:t xml:space="preserve">, </w:t>
      </w:r>
      <w:proofErr w:type="spellStart"/>
      <w:r>
        <w:rPr>
          <w:rFonts w:ascii="Times New Roman" w:hAnsi="Times New Roman"/>
          <w:color w:val="auto"/>
          <w:sz w:val="24"/>
        </w:rPr>
        <w:t>metonitazen</w:t>
      </w:r>
      <w:proofErr w:type="spellEnd"/>
      <w:r>
        <w:rPr>
          <w:rFonts w:ascii="Times New Roman" w:hAnsi="Times New Roman"/>
          <w:color w:val="auto"/>
          <w:sz w:val="24"/>
        </w:rPr>
        <w:t xml:space="preserve"> a </w:t>
      </w:r>
      <w:proofErr w:type="spellStart"/>
      <w:r>
        <w:rPr>
          <w:rFonts w:ascii="Times New Roman" w:hAnsi="Times New Roman"/>
          <w:color w:val="auto"/>
          <w:sz w:val="24"/>
        </w:rPr>
        <w:t>eutylon</w:t>
      </w:r>
      <w:proofErr w:type="spellEnd"/>
      <w:r w:rsidRPr="00697BA3">
        <w:rPr>
          <w:rFonts w:ascii="Times New Roman" w:hAnsi="Times New Roman"/>
          <w:color w:val="auto"/>
          <w:sz w:val="24"/>
        </w:rPr>
        <w:t>.</w:t>
      </w:r>
      <w:r>
        <w:rPr>
          <w:rFonts w:ascii="Times New Roman" w:hAnsi="Times New Roman"/>
          <w:color w:val="auto"/>
          <w:sz w:val="24"/>
        </w:rPr>
        <w:t xml:space="preserve"> Vzhledem k tomu, že </w:t>
      </w:r>
      <w:proofErr w:type="spellStart"/>
      <w:r>
        <w:rPr>
          <w:rFonts w:ascii="Times New Roman" w:hAnsi="Times New Roman"/>
          <w:color w:val="auto"/>
          <w:sz w:val="24"/>
        </w:rPr>
        <w:t>metonitazen</w:t>
      </w:r>
      <w:proofErr w:type="spellEnd"/>
      <w:r>
        <w:rPr>
          <w:rFonts w:ascii="Times New Roman" w:hAnsi="Times New Roman"/>
          <w:color w:val="auto"/>
          <w:sz w:val="24"/>
        </w:rPr>
        <w:t xml:space="preserve"> a </w:t>
      </w:r>
      <w:proofErr w:type="spellStart"/>
      <w:r>
        <w:rPr>
          <w:rFonts w:ascii="Times New Roman" w:hAnsi="Times New Roman"/>
          <w:color w:val="auto"/>
          <w:sz w:val="24"/>
        </w:rPr>
        <w:t>eutylon</w:t>
      </w:r>
      <w:proofErr w:type="spellEnd"/>
      <w:r>
        <w:rPr>
          <w:rFonts w:ascii="Times New Roman" w:hAnsi="Times New Roman"/>
          <w:color w:val="auto"/>
          <w:sz w:val="24"/>
        </w:rPr>
        <w:t xml:space="preserve"> již jsou na seznamu návykových látek v České republice, zbývá zařadit mezi omamné látky </w:t>
      </w:r>
      <w:proofErr w:type="spellStart"/>
      <w:r>
        <w:rPr>
          <w:rFonts w:ascii="Times New Roman" w:hAnsi="Times New Roman"/>
          <w:color w:val="auto"/>
          <w:sz w:val="24"/>
        </w:rPr>
        <w:t>brorfin</w:t>
      </w:r>
      <w:proofErr w:type="spellEnd"/>
      <w:r>
        <w:rPr>
          <w:rFonts w:ascii="Times New Roman" w:hAnsi="Times New Roman"/>
          <w:color w:val="auto"/>
          <w:sz w:val="24"/>
        </w:rPr>
        <w:t>.</w:t>
      </w:r>
      <w:r w:rsidR="006655AB">
        <w:rPr>
          <w:rFonts w:ascii="Times New Roman" w:hAnsi="Times New Roman"/>
          <w:color w:val="auto"/>
          <w:sz w:val="24"/>
        </w:rPr>
        <w:t xml:space="preserve"> </w:t>
      </w:r>
      <w:r w:rsidR="006A77F8" w:rsidRPr="006A77F8">
        <w:rPr>
          <w:rFonts w:ascii="Times New Roman" w:hAnsi="Times New Roman"/>
          <w:color w:val="auto"/>
          <w:sz w:val="24"/>
        </w:rPr>
        <w:t xml:space="preserve">Látka </w:t>
      </w:r>
      <w:proofErr w:type="spellStart"/>
      <w:r w:rsidR="006A77F8" w:rsidRPr="006A77F8">
        <w:rPr>
          <w:rFonts w:ascii="Times New Roman" w:hAnsi="Times New Roman"/>
          <w:color w:val="auto"/>
          <w:sz w:val="24"/>
        </w:rPr>
        <w:t>brorfin</w:t>
      </w:r>
      <w:proofErr w:type="spellEnd"/>
      <w:r w:rsidR="006A77F8" w:rsidRPr="006A77F8">
        <w:rPr>
          <w:rFonts w:ascii="Times New Roman" w:hAnsi="Times New Roman"/>
          <w:color w:val="auto"/>
          <w:sz w:val="24"/>
        </w:rPr>
        <w:t xml:space="preserve"> se navrhuje zařadit do přílohy č</w:t>
      </w:r>
      <w:r w:rsidR="00CB571E">
        <w:rPr>
          <w:rFonts w:ascii="Times New Roman" w:hAnsi="Times New Roman"/>
          <w:color w:val="auto"/>
          <w:sz w:val="24"/>
        </w:rPr>
        <w:t>.</w:t>
      </w:r>
      <w:r w:rsidR="006A77F8" w:rsidRPr="006A77F8">
        <w:rPr>
          <w:rFonts w:ascii="Times New Roman" w:hAnsi="Times New Roman"/>
          <w:color w:val="auto"/>
          <w:sz w:val="24"/>
        </w:rPr>
        <w:t xml:space="preserve"> 3 s ohledem na skutečnost, že v České republice nemá terapeutické využití.</w:t>
      </w:r>
      <w:r>
        <w:rPr>
          <w:rFonts w:ascii="Times New Roman" w:hAnsi="Times New Roman"/>
          <w:color w:val="auto"/>
          <w:sz w:val="24"/>
        </w:rPr>
        <w:t xml:space="preserve"> </w:t>
      </w:r>
    </w:p>
    <w:p w14:paraId="0F6348B8" w14:textId="1C814E39" w:rsidR="0028509A" w:rsidRDefault="0028509A" w:rsidP="0028509A">
      <w:pPr>
        <w:spacing w:line="240" w:lineRule="auto"/>
        <w:ind w:firstLine="709"/>
        <w:rPr>
          <w:rFonts w:ascii="Times New Roman" w:hAnsi="Times New Roman"/>
          <w:color w:val="auto"/>
          <w:sz w:val="24"/>
        </w:rPr>
      </w:pPr>
      <w:r w:rsidRPr="0045428A">
        <w:rPr>
          <w:rFonts w:ascii="Times New Roman" w:hAnsi="Times New Roman"/>
          <w:color w:val="auto"/>
          <w:sz w:val="24"/>
        </w:rPr>
        <w:t>Výbor odborníků WHO pro drogové závislosti posuzoval na svém 45. zasedání devět látek a rozhodl se doporučit, aby sedm z nich bylo zařazeno na seznam a dvě zbývající byly nadále sledovány. Z těchto sedmi látek jsou již čtyři zařazeny na seznam návykových látek v ČR a zbývající tři (</w:t>
      </w:r>
      <w:r w:rsidRPr="0045428A">
        <w:rPr>
          <w:rFonts w:ascii="Times New Roman" w:hAnsi="Times New Roman"/>
          <w:color w:val="auto"/>
          <w:szCs w:val="22"/>
        </w:rPr>
        <w:t xml:space="preserve">ADB-BUTINACA, </w:t>
      </w:r>
      <w:proofErr w:type="spellStart"/>
      <w:r w:rsidRPr="0045428A">
        <w:rPr>
          <w:rFonts w:ascii="Times New Roman" w:hAnsi="Times New Roman"/>
          <w:color w:val="auto"/>
          <w:szCs w:val="22"/>
        </w:rPr>
        <w:t>protonitazen</w:t>
      </w:r>
      <w:proofErr w:type="spellEnd"/>
      <w:r w:rsidRPr="0045428A">
        <w:rPr>
          <w:rFonts w:ascii="Times New Roman" w:hAnsi="Times New Roman"/>
          <w:color w:val="auto"/>
          <w:szCs w:val="22"/>
        </w:rPr>
        <w:t xml:space="preserve"> a </w:t>
      </w:r>
      <w:proofErr w:type="spellStart"/>
      <w:r w:rsidRPr="0045428A">
        <w:rPr>
          <w:rFonts w:ascii="Times New Roman" w:hAnsi="Times New Roman"/>
          <w:color w:val="auto"/>
          <w:szCs w:val="22"/>
        </w:rPr>
        <w:t>etonitazepyn</w:t>
      </w:r>
      <w:proofErr w:type="spellEnd"/>
      <w:r w:rsidRPr="0045428A">
        <w:rPr>
          <w:rFonts w:ascii="Times New Roman" w:hAnsi="Times New Roman"/>
          <w:color w:val="auto"/>
          <w:szCs w:val="22"/>
        </w:rPr>
        <w:t xml:space="preserve">) </w:t>
      </w:r>
      <w:r w:rsidRPr="0045428A">
        <w:rPr>
          <w:rFonts w:ascii="Times New Roman" w:hAnsi="Times New Roman"/>
          <w:color w:val="auto"/>
          <w:sz w:val="24"/>
        </w:rPr>
        <w:t>jsou navrženy na zařazení do seznamu návykových látek v ČR v souladu s návrhem Evropské komise, která připravila jednotnou pozici EU k novým psychoaktivním látkám, které by měly být zařazeny pod mezinárodní kontrolu</w:t>
      </w:r>
      <w:r w:rsidR="001B43F2">
        <w:rPr>
          <w:rFonts w:ascii="Times New Roman" w:hAnsi="Times New Roman"/>
          <w:color w:val="auto"/>
          <w:sz w:val="24"/>
        </w:rPr>
        <w:t xml:space="preserve"> </w:t>
      </w:r>
      <w:r w:rsidRPr="0045428A">
        <w:rPr>
          <w:rFonts w:ascii="Times New Roman" w:hAnsi="Times New Roman"/>
          <w:color w:val="auto"/>
          <w:sz w:val="24"/>
        </w:rPr>
        <w:t>v rámci Úmluv OSN.</w:t>
      </w:r>
    </w:p>
    <w:p w14:paraId="69DA6331" w14:textId="55BF55A0" w:rsidR="00163F0B" w:rsidRDefault="00163F0B" w:rsidP="00163F0B">
      <w:pPr>
        <w:spacing w:line="240" w:lineRule="auto"/>
        <w:ind w:firstLine="709"/>
        <w:rPr>
          <w:rFonts w:ascii="Times New Roman" w:hAnsi="Times New Roman"/>
          <w:color w:val="auto"/>
          <w:sz w:val="24"/>
        </w:rPr>
      </w:pPr>
      <w:r w:rsidRPr="0045428A">
        <w:rPr>
          <w:rFonts w:ascii="Times New Roman" w:hAnsi="Times New Roman"/>
          <w:color w:val="auto"/>
          <w:sz w:val="24"/>
        </w:rPr>
        <w:t>Na základě požadavku NPC SKPV Policie ČR a Ministerstva obrany bylo doporučeno zařazení látek HHC (</w:t>
      </w:r>
      <w:proofErr w:type="spellStart"/>
      <w:r w:rsidRPr="0045428A">
        <w:rPr>
          <w:rFonts w:ascii="Times New Roman" w:hAnsi="Times New Roman"/>
          <w:color w:val="auto"/>
          <w:sz w:val="24"/>
        </w:rPr>
        <w:t>h</w:t>
      </w:r>
      <w:r w:rsidRPr="0045428A">
        <w:rPr>
          <w:rFonts w:ascii="Times New Roman" w:hAnsi="Times New Roman"/>
          <w:color w:val="auto"/>
          <w:sz w:val="24"/>
          <w:szCs w:val="20"/>
        </w:rPr>
        <w:t>exahydrokanabinol</w:t>
      </w:r>
      <w:proofErr w:type="spellEnd"/>
      <w:r w:rsidRPr="0045428A">
        <w:rPr>
          <w:rFonts w:ascii="Times New Roman" w:hAnsi="Times New Roman"/>
          <w:color w:val="auto"/>
          <w:sz w:val="24"/>
        </w:rPr>
        <w:t>) a THCP (</w:t>
      </w:r>
      <w:proofErr w:type="spellStart"/>
      <w:r w:rsidRPr="0045428A">
        <w:rPr>
          <w:rFonts w:ascii="Times New Roman" w:hAnsi="Times New Roman"/>
          <w:color w:val="auto"/>
          <w:sz w:val="24"/>
        </w:rPr>
        <w:t>t</w:t>
      </w:r>
      <w:r w:rsidRPr="0045428A">
        <w:rPr>
          <w:rFonts w:ascii="Times New Roman" w:hAnsi="Times New Roman"/>
          <w:color w:val="auto"/>
          <w:sz w:val="24"/>
          <w:szCs w:val="20"/>
        </w:rPr>
        <w:t>etrahydrokanabiforol</w:t>
      </w:r>
      <w:proofErr w:type="spellEnd"/>
      <w:r w:rsidRPr="0045428A">
        <w:rPr>
          <w:rFonts w:ascii="Times New Roman" w:hAnsi="Times New Roman"/>
          <w:color w:val="auto"/>
          <w:sz w:val="24"/>
          <w:szCs w:val="20"/>
        </w:rPr>
        <w:t>) na seznam návykových látek</w:t>
      </w:r>
      <w:r w:rsidRPr="0045428A">
        <w:rPr>
          <w:rFonts w:ascii="Times New Roman" w:hAnsi="Times New Roman"/>
          <w:color w:val="auto"/>
          <w:sz w:val="24"/>
        </w:rPr>
        <w:t>.</w:t>
      </w:r>
      <w:r w:rsidR="006E636D">
        <w:rPr>
          <w:rFonts w:ascii="Times New Roman" w:hAnsi="Times New Roman"/>
          <w:color w:val="auto"/>
          <w:sz w:val="24"/>
        </w:rPr>
        <w:t xml:space="preserve"> Vzhledem k tomu, že se tyto látky mohou v</w:t>
      </w:r>
      <w:r w:rsidR="009C7C60">
        <w:rPr>
          <w:rFonts w:ascii="Times New Roman" w:hAnsi="Times New Roman"/>
          <w:color w:val="auto"/>
          <w:sz w:val="24"/>
        </w:rPr>
        <w:t>e velmi</w:t>
      </w:r>
      <w:r w:rsidR="006E636D">
        <w:rPr>
          <w:rFonts w:ascii="Times New Roman" w:hAnsi="Times New Roman"/>
          <w:color w:val="auto"/>
          <w:sz w:val="24"/>
        </w:rPr>
        <w:t> malých koncentracích přirozeně vyskytovat i v technickém konopí, byla u těchto látek stanovena výjimka</w:t>
      </w:r>
      <w:r w:rsidR="00FD77A5">
        <w:rPr>
          <w:rFonts w:ascii="Times New Roman" w:hAnsi="Times New Roman"/>
          <w:color w:val="auto"/>
          <w:sz w:val="24"/>
        </w:rPr>
        <w:t xml:space="preserve"> pro případy, kdy </w:t>
      </w:r>
      <w:r w:rsidR="00FD77A5" w:rsidRPr="00FD77A5">
        <w:rPr>
          <w:rFonts w:ascii="Times New Roman" w:hAnsi="Times New Roman"/>
          <w:color w:val="auto"/>
          <w:sz w:val="24"/>
        </w:rPr>
        <w:t>j</w:t>
      </w:r>
      <w:r w:rsidR="009C7C60">
        <w:rPr>
          <w:rFonts w:ascii="Times New Roman" w:hAnsi="Times New Roman"/>
          <w:color w:val="auto"/>
          <w:sz w:val="24"/>
        </w:rPr>
        <w:t>sou tyto látky</w:t>
      </w:r>
      <w:r w:rsidR="00FD77A5" w:rsidRPr="00FD77A5">
        <w:rPr>
          <w:rFonts w:ascii="Times New Roman" w:hAnsi="Times New Roman"/>
          <w:color w:val="auto"/>
          <w:sz w:val="24"/>
        </w:rPr>
        <w:t xml:space="preserve"> obsažen</w:t>
      </w:r>
      <w:r w:rsidR="009C7C60">
        <w:rPr>
          <w:rFonts w:ascii="Times New Roman" w:hAnsi="Times New Roman"/>
          <w:color w:val="auto"/>
          <w:sz w:val="24"/>
        </w:rPr>
        <w:t>y</w:t>
      </w:r>
      <w:r w:rsidR="00FD77A5" w:rsidRPr="00FD77A5">
        <w:rPr>
          <w:rFonts w:ascii="Times New Roman" w:hAnsi="Times New Roman"/>
          <w:color w:val="auto"/>
          <w:sz w:val="24"/>
        </w:rPr>
        <w:t xml:space="preserve"> v rostlině technického konopí, technickém konopí, konopí extrakt a tinktura a přípravku z technického konopí v množství nižším než 0,3 %</w:t>
      </w:r>
      <w:r w:rsidR="009C7C60">
        <w:rPr>
          <w:rFonts w:ascii="Times New Roman" w:hAnsi="Times New Roman"/>
          <w:color w:val="auto"/>
          <w:sz w:val="24"/>
        </w:rPr>
        <w:t>.</w:t>
      </w:r>
      <w:r w:rsidR="006E636D">
        <w:rPr>
          <w:rFonts w:ascii="Times New Roman" w:hAnsi="Times New Roman"/>
          <w:color w:val="auto"/>
          <w:sz w:val="24"/>
        </w:rPr>
        <w:t xml:space="preserve">  </w:t>
      </w:r>
    </w:p>
    <w:p w14:paraId="27A2AF89" w14:textId="56CB0BC5" w:rsidR="00163F0B" w:rsidRPr="0045428A" w:rsidRDefault="009C7C60" w:rsidP="0028509A">
      <w:pPr>
        <w:spacing w:line="240" w:lineRule="auto"/>
        <w:ind w:firstLine="709"/>
        <w:rPr>
          <w:rFonts w:ascii="Times New Roman" w:hAnsi="Times New Roman"/>
          <w:color w:val="auto"/>
          <w:sz w:val="24"/>
        </w:rPr>
      </w:pPr>
      <w:bookmarkStart w:id="0" w:name="_Hlk133421673"/>
      <w:r>
        <w:rPr>
          <w:rFonts w:ascii="Times New Roman" w:hAnsi="Times New Roman"/>
          <w:color w:val="auto"/>
          <w:sz w:val="24"/>
        </w:rPr>
        <w:t>Na základě požadavku Státního zdravotního ústavu a Generálního ředitelství cel a</w:t>
      </w:r>
      <w:r w:rsidR="0022460C">
        <w:rPr>
          <w:rFonts w:ascii="Times New Roman" w:hAnsi="Times New Roman"/>
          <w:color w:val="auto"/>
          <w:sz w:val="24"/>
        </w:rPr>
        <w:t> </w:t>
      </w:r>
      <w:r>
        <w:rPr>
          <w:rFonts w:ascii="Times New Roman" w:hAnsi="Times New Roman"/>
          <w:color w:val="auto"/>
          <w:sz w:val="24"/>
        </w:rPr>
        <w:t xml:space="preserve">vzhledem k rychlému rozšíření látky </w:t>
      </w:r>
      <w:proofErr w:type="spellStart"/>
      <w:r>
        <w:rPr>
          <w:rFonts w:ascii="Times New Roman" w:hAnsi="Times New Roman"/>
          <w:color w:val="auto"/>
          <w:sz w:val="24"/>
        </w:rPr>
        <w:t>kratom</w:t>
      </w:r>
      <w:proofErr w:type="spellEnd"/>
      <w:r>
        <w:rPr>
          <w:rFonts w:ascii="Times New Roman" w:hAnsi="Times New Roman"/>
          <w:color w:val="auto"/>
          <w:sz w:val="24"/>
        </w:rPr>
        <w:t xml:space="preserve"> do volného prodeje v ČR, zejména pak </w:t>
      </w:r>
      <w:r w:rsidR="006256F4">
        <w:rPr>
          <w:rFonts w:ascii="Times New Roman" w:hAnsi="Times New Roman"/>
          <w:color w:val="auto"/>
          <w:sz w:val="24"/>
        </w:rPr>
        <w:t xml:space="preserve">kvůli </w:t>
      </w:r>
      <w:r>
        <w:rPr>
          <w:rFonts w:ascii="Times New Roman" w:hAnsi="Times New Roman"/>
          <w:color w:val="auto"/>
          <w:sz w:val="24"/>
        </w:rPr>
        <w:t>její</w:t>
      </w:r>
      <w:r w:rsidR="006256F4">
        <w:rPr>
          <w:rFonts w:ascii="Times New Roman" w:hAnsi="Times New Roman"/>
          <w:color w:val="auto"/>
          <w:sz w:val="24"/>
        </w:rPr>
        <w:t>mu</w:t>
      </w:r>
      <w:r>
        <w:rPr>
          <w:rFonts w:ascii="Times New Roman" w:hAnsi="Times New Roman"/>
          <w:color w:val="auto"/>
          <w:sz w:val="24"/>
        </w:rPr>
        <w:t xml:space="preserve"> výskyt</w:t>
      </w:r>
      <w:r w:rsidR="006256F4">
        <w:rPr>
          <w:rFonts w:ascii="Times New Roman" w:hAnsi="Times New Roman"/>
          <w:color w:val="auto"/>
          <w:sz w:val="24"/>
        </w:rPr>
        <w:t>u</w:t>
      </w:r>
      <w:r>
        <w:rPr>
          <w:rFonts w:ascii="Times New Roman" w:hAnsi="Times New Roman"/>
          <w:color w:val="auto"/>
          <w:sz w:val="24"/>
        </w:rPr>
        <w:t xml:space="preserve"> mezi nedospělou populací</w:t>
      </w:r>
      <w:r w:rsidR="006256F4">
        <w:rPr>
          <w:rFonts w:ascii="Times New Roman" w:hAnsi="Times New Roman"/>
          <w:color w:val="auto"/>
          <w:sz w:val="24"/>
        </w:rPr>
        <w:t xml:space="preserve"> se navrhuje zařazení látky </w:t>
      </w:r>
      <w:proofErr w:type="spellStart"/>
      <w:r w:rsidR="006256F4">
        <w:rPr>
          <w:rFonts w:ascii="Times New Roman" w:hAnsi="Times New Roman"/>
          <w:color w:val="auto"/>
          <w:sz w:val="24"/>
        </w:rPr>
        <w:t>kratom</w:t>
      </w:r>
      <w:proofErr w:type="spellEnd"/>
      <w:r w:rsidR="006256F4">
        <w:rPr>
          <w:rFonts w:ascii="Times New Roman" w:hAnsi="Times New Roman"/>
          <w:color w:val="auto"/>
          <w:sz w:val="24"/>
        </w:rPr>
        <w:t xml:space="preserve"> (nadrcené sušené listy rostliny </w:t>
      </w:r>
      <w:proofErr w:type="spellStart"/>
      <w:r w:rsidR="006256F4" w:rsidRPr="006256F4">
        <w:rPr>
          <w:rFonts w:ascii="Times New Roman" w:hAnsi="Times New Roman"/>
          <w:color w:val="auto"/>
          <w:sz w:val="24"/>
        </w:rPr>
        <w:t>Mitragyna</w:t>
      </w:r>
      <w:proofErr w:type="spellEnd"/>
      <w:r w:rsidR="006256F4" w:rsidRPr="006256F4">
        <w:rPr>
          <w:rFonts w:ascii="Times New Roman" w:hAnsi="Times New Roman"/>
          <w:color w:val="auto"/>
          <w:sz w:val="24"/>
        </w:rPr>
        <w:t xml:space="preserve"> </w:t>
      </w:r>
      <w:proofErr w:type="spellStart"/>
      <w:r w:rsidR="006256F4" w:rsidRPr="006256F4">
        <w:rPr>
          <w:rFonts w:ascii="Times New Roman" w:hAnsi="Times New Roman"/>
          <w:color w:val="auto"/>
          <w:sz w:val="24"/>
        </w:rPr>
        <w:t>speciosa</w:t>
      </w:r>
      <w:proofErr w:type="spellEnd"/>
      <w:r w:rsidR="006256F4">
        <w:rPr>
          <w:rFonts w:ascii="Times New Roman" w:hAnsi="Times New Roman"/>
          <w:color w:val="auto"/>
          <w:sz w:val="24"/>
        </w:rPr>
        <w:t>) a hlavních látek s psychoaktivním účinkem v </w:t>
      </w:r>
      <w:proofErr w:type="spellStart"/>
      <w:r w:rsidR="006256F4">
        <w:rPr>
          <w:rFonts w:ascii="Times New Roman" w:hAnsi="Times New Roman"/>
          <w:color w:val="auto"/>
          <w:sz w:val="24"/>
        </w:rPr>
        <w:t>kratomu</w:t>
      </w:r>
      <w:proofErr w:type="spellEnd"/>
      <w:r w:rsidR="006256F4">
        <w:rPr>
          <w:rFonts w:ascii="Times New Roman" w:hAnsi="Times New Roman"/>
          <w:color w:val="auto"/>
          <w:sz w:val="24"/>
        </w:rPr>
        <w:t xml:space="preserve"> obsažených (</w:t>
      </w:r>
      <w:proofErr w:type="spellStart"/>
      <w:r w:rsidR="006256F4">
        <w:rPr>
          <w:rFonts w:ascii="Times New Roman" w:hAnsi="Times New Roman"/>
          <w:color w:val="auto"/>
          <w:sz w:val="24"/>
        </w:rPr>
        <w:t>mitragynin</w:t>
      </w:r>
      <w:proofErr w:type="spellEnd"/>
      <w:r w:rsidR="006256F4">
        <w:rPr>
          <w:rFonts w:ascii="Times New Roman" w:hAnsi="Times New Roman"/>
          <w:color w:val="auto"/>
          <w:sz w:val="24"/>
        </w:rPr>
        <w:t xml:space="preserve">, 7-hydroxymitragynin) na seznam psychotropních látek přinejmenším do chvíle, než bude legislativně vyřešena regulace </w:t>
      </w:r>
      <w:proofErr w:type="spellStart"/>
      <w:r w:rsidR="006256F4">
        <w:rPr>
          <w:rFonts w:ascii="Times New Roman" w:hAnsi="Times New Roman"/>
          <w:color w:val="auto"/>
          <w:sz w:val="24"/>
        </w:rPr>
        <w:t>kratomu</w:t>
      </w:r>
      <w:proofErr w:type="spellEnd"/>
      <w:r w:rsidR="006256F4">
        <w:rPr>
          <w:rFonts w:ascii="Times New Roman" w:hAnsi="Times New Roman"/>
          <w:color w:val="auto"/>
          <w:sz w:val="24"/>
        </w:rPr>
        <w:t xml:space="preserve"> takovým způsobem, aby tato látka nebyla dostupná nedospělé populaci.</w:t>
      </w:r>
    </w:p>
    <w:bookmarkEnd w:id="0"/>
    <w:p w14:paraId="6EE97F1A" w14:textId="0643F797" w:rsidR="0028509A" w:rsidRPr="0045428A" w:rsidRDefault="0028509A" w:rsidP="0028509A">
      <w:pPr>
        <w:spacing w:line="240" w:lineRule="auto"/>
        <w:ind w:firstLine="709"/>
        <w:rPr>
          <w:rFonts w:ascii="Times New Roman" w:hAnsi="Times New Roman"/>
          <w:color w:val="auto"/>
          <w:sz w:val="24"/>
        </w:rPr>
      </w:pPr>
      <w:r w:rsidRPr="0045428A">
        <w:rPr>
          <w:rFonts w:ascii="Times New Roman" w:hAnsi="Times New Roman"/>
          <w:color w:val="auto"/>
          <w:sz w:val="24"/>
        </w:rPr>
        <w:t>Vzhledem k výše uvedeným skutečnostem Ministerstvo zdravotnictví, Inspektorát omamných a psychotropních látek navrhuje novelizac</w:t>
      </w:r>
      <w:r w:rsidR="006256F4">
        <w:rPr>
          <w:rFonts w:ascii="Times New Roman" w:hAnsi="Times New Roman"/>
          <w:color w:val="auto"/>
          <w:sz w:val="24"/>
        </w:rPr>
        <w:t>i</w:t>
      </w:r>
      <w:r w:rsidRPr="0045428A">
        <w:rPr>
          <w:rFonts w:ascii="Times New Roman" w:hAnsi="Times New Roman"/>
          <w:color w:val="auto"/>
          <w:sz w:val="24"/>
        </w:rPr>
        <w:t xml:space="preserve"> výše uvedeného nařízení vlády se zařazením </w:t>
      </w:r>
      <w:r w:rsidR="00163F0B">
        <w:rPr>
          <w:rFonts w:ascii="Times New Roman" w:hAnsi="Times New Roman"/>
          <w:color w:val="auto"/>
          <w:sz w:val="24"/>
        </w:rPr>
        <w:t>šesti</w:t>
      </w:r>
      <w:r w:rsidR="00697BA3">
        <w:rPr>
          <w:rFonts w:ascii="Times New Roman" w:hAnsi="Times New Roman"/>
          <w:color w:val="auto"/>
          <w:sz w:val="24"/>
        </w:rPr>
        <w:t xml:space="preserve"> nových</w:t>
      </w:r>
      <w:r w:rsidRPr="0045428A">
        <w:rPr>
          <w:rFonts w:ascii="Times New Roman" w:hAnsi="Times New Roman"/>
          <w:color w:val="auto"/>
          <w:sz w:val="24"/>
        </w:rPr>
        <w:t xml:space="preserve"> psychoaktivních látek</w:t>
      </w:r>
      <w:r w:rsidR="00163F0B">
        <w:rPr>
          <w:rFonts w:ascii="Times New Roman" w:hAnsi="Times New Roman"/>
          <w:color w:val="auto"/>
          <w:sz w:val="24"/>
        </w:rPr>
        <w:t xml:space="preserve"> a zařazením </w:t>
      </w:r>
      <w:r w:rsidR="006256F4">
        <w:rPr>
          <w:rFonts w:ascii="Times New Roman" w:hAnsi="Times New Roman"/>
          <w:color w:val="auto"/>
          <w:sz w:val="24"/>
        </w:rPr>
        <w:t xml:space="preserve">výrobku z </w:t>
      </w:r>
      <w:r w:rsidR="00163F0B">
        <w:rPr>
          <w:rFonts w:ascii="Times New Roman" w:hAnsi="Times New Roman"/>
          <w:color w:val="auto"/>
          <w:sz w:val="24"/>
        </w:rPr>
        <w:t xml:space="preserve">rostliny </w:t>
      </w:r>
      <w:proofErr w:type="spellStart"/>
      <w:r w:rsidR="006256F4">
        <w:rPr>
          <w:rFonts w:ascii="Times New Roman" w:hAnsi="Times New Roman"/>
          <w:color w:val="auto"/>
          <w:sz w:val="24"/>
        </w:rPr>
        <w:t>Mitragyna</w:t>
      </w:r>
      <w:proofErr w:type="spellEnd"/>
      <w:r w:rsidR="006256F4">
        <w:rPr>
          <w:rFonts w:ascii="Times New Roman" w:hAnsi="Times New Roman"/>
          <w:color w:val="auto"/>
          <w:sz w:val="24"/>
        </w:rPr>
        <w:t xml:space="preserve"> </w:t>
      </w:r>
      <w:proofErr w:type="spellStart"/>
      <w:r w:rsidR="006256F4">
        <w:rPr>
          <w:rFonts w:ascii="Times New Roman" w:hAnsi="Times New Roman"/>
          <w:color w:val="auto"/>
          <w:sz w:val="24"/>
        </w:rPr>
        <w:t>speciosa</w:t>
      </w:r>
      <w:proofErr w:type="spellEnd"/>
      <w:r w:rsidR="006256F4">
        <w:rPr>
          <w:rFonts w:ascii="Times New Roman" w:hAnsi="Times New Roman"/>
          <w:color w:val="auto"/>
          <w:sz w:val="24"/>
        </w:rPr>
        <w:t xml:space="preserve"> s obchodním názvem </w:t>
      </w:r>
      <w:proofErr w:type="spellStart"/>
      <w:r w:rsidR="00163F0B">
        <w:rPr>
          <w:rFonts w:ascii="Times New Roman" w:hAnsi="Times New Roman"/>
          <w:color w:val="auto"/>
          <w:sz w:val="24"/>
        </w:rPr>
        <w:t>kratom</w:t>
      </w:r>
      <w:proofErr w:type="spellEnd"/>
      <w:r w:rsidR="00163F0B">
        <w:rPr>
          <w:rFonts w:ascii="Times New Roman" w:hAnsi="Times New Roman"/>
          <w:color w:val="auto"/>
          <w:sz w:val="24"/>
        </w:rPr>
        <w:t>.</w:t>
      </w:r>
      <w:r w:rsidRPr="0045428A">
        <w:rPr>
          <w:rFonts w:ascii="Times New Roman" w:hAnsi="Times New Roman"/>
          <w:color w:val="auto"/>
          <w:sz w:val="24"/>
        </w:rPr>
        <w:t xml:space="preserve">   </w:t>
      </w:r>
    </w:p>
    <w:p w14:paraId="0EBDF47F" w14:textId="77777777" w:rsidR="0028509A" w:rsidRPr="009E7127" w:rsidRDefault="0028509A" w:rsidP="0028509A">
      <w:pPr>
        <w:spacing w:line="240" w:lineRule="auto"/>
        <w:ind w:firstLine="709"/>
        <w:rPr>
          <w:rFonts w:ascii="Times New Roman" w:hAnsi="Times New Roman"/>
          <w:color w:val="auto"/>
          <w:sz w:val="24"/>
        </w:rPr>
      </w:pPr>
    </w:p>
    <w:p w14:paraId="28595CEB" w14:textId="7FAF6B6C" w:rsidR="0028509A" w:rsidRPr="009E7127" w:rsidRDefault="0028509A" w:rsidP="0028509A">
      <w:pPr>
        <w:spacing w:line="240" w:lineRule="auto"/>
        <w:ind w:firstLine="709"/>
        <w:rPr>
          <w:rFonts w:ascii="Times New Roman" w:hAnsi="Times New Roman"/>
          <w:color w:val="auto"/>
          <w:sz w:val="24"/>
        </w:rPr>
      </w:pPr>
      <w:r w:rsidRPr="009E7127">
        <w:rPr>
          <w:rFonts w:ascii="Times New Roman" w:hAnsi="Times New Roman"/>
          <w:color w:val="auto"/>
          <w:sz w:val="24"/>
        </w:rPr>
        <w:t xml:space="preserve">Tabulka 1 uvádí přehled </w:t>
      </w:r>
      <w:r w:rsidR="00C04FB8">
        <w:rPr>
          <w:rFonts w:ascii="Times New Roman" w:hAnsi="Times New Roman"/>
          <w:color w:val="auto"/>
          <w:sz w:val="24"/>
        </w:rPr>
        <w:t>tří</w:t>
      </w:r>
      <w:r w:rsidRPr="009E7127">
        <w:rPr>
          <w:rFonts w:ascii="Times New Roman" w:hAnsi="Times New Roman"/>
          <w:color w:val="auto"/>
          <w:sz w:val="24"/>
        </w:rPr>
        <w:t xml:space="preserve"> nově zařazovaných </w:t>
      </w:r>
      <w:r>
        <w:rPr>
          <w:rFonts w:ascii="Times New Roman" w:hAnsi="Times New Roman"/>
          <w:color w:val="auto"/>
          <w:sz w:val="24"/>
        </w:rPr>
        <w:t xml:space="preserve">syntetických </w:t>
      </w:r>
      <w:proofErr w:type="spellStart"/>
      <w:r>
        <w:rPr>
          <w:rFonts w:ascii="Times New Roman" w:hAnsi="Times New Roman"/>
          <w:color w:val="auto"/>
          <w:sz w:val="24"/>
        </w:rPr>
        <w:t>opioidů</w:t>
      </w:r>
      <w:proofErr w:type="spellEnd"/>
      <w:r w:rsidRPr="009E7127">
        <w:rPr>
          <w:rFonts w:ascii="Times New Roman" w:hAnsi="Times New Roman"/>
          <w:color w:val="auto"/>
          <w:sz w:val="24"/>
        </w:rPr>
        <w:t xml:space="preserve"> do Přílohy č. </w:t>
      </w:r>
      <w:r>
        <w:rPr>
          <w:rFonts w:ascii="Times New Roman" w:hAnsi="Times New Roman"/>
          <w:color w:val="auto"/>
          <w:sz w:val="24"/>
        </w:rPr>
        <w:t>3</w:t>
      </w:r>
      <w:r w:rsidRPr="009E7127">
        <w:rPr>
          <w:rFonts w:ascii="Times New Roman" w:hAnsi="Times New Roman"/>
          <w:color w:val="auto"/>
          <w:sz w:val="24"/>
        </w:rPr>
        <w:t xml:space="preserve"> s uvedením chemické skupiny a návrhem cílové přílohy nařízení vlády.</w:t>
      </w:r>
    </w:p>
    <w:p w14:paraId="074E605E" w14:textId="77777777" w:rsidR="0028509A" w:rsidRPr="009E7127" w:rsidRDefault="0028509A" w:rsidP="0028509A">
      <w:pPr>
        <w:spacing w:line="240" w:lineRule="auto"/>
        <w:ind w:firstLine="709"/>
        <w:rPr>
          <w:rFonts w:ascii="Times New Roman" w:hAnsi="Times New Roman"/>
          <w:color w:val="auto"/>
          <w:sz w:val="24"/>
        </w:rPr>
      </w:pPr>
    </w:p>
    <w:p w14:paraId="64D3A414" w14:textId="17559F19" w:rsidR="0028509A" w:rsidRPr="009E7127" w:rsidRDefault="0028509A" w:rsidP="0028509A">
      <w:pPr>
        <w:spacing w:line="240" w:lineRule="auto"/>
        <w:rPr>
          <w:rFonts w:ascii="Times New Roman" w:hAnsi="Times New Roman"/>
          <w:color w:val="auto"/>
          <w:sz w:val="24"/>
        </w:rPr>
      </w:pPr>
      <w:r w:rsidRPr="009E7127">
        <w:rPr>
          <w:rFonts w:ascii="Times New Roman" w:hAnsi="Times New Roman"/>
          <w:b/>
          <w:color w:val="auto"/>
          <w:sz w:val="24"/>
        </w:rPr>
        <w:t>Tabulka 1</w:t>
      </w:r>
      <w:r w:rsidRPr="009E7127">
        <w:rPr>
          <w:rFonts w:ascii="Times New Roman" w:hAnsi="Times New Roman"/>
          <w:color w:val="auto"/>
          <w:sz w:val="24"/>
        </w:rPr>
        <w:t xml:space="preserve"> – Přehled </w:t>
      </w:r>
      <w:r w:rsidR="00FF63E3">
        <w:rPr>
          <w:rFonts w:ascii="Times New Roman" w:hAnsi="Times New Roman"/>
          <w:color w:val="auto"/>
          <w:sz w:val="24"/>
        </w:rPr>
        <w:t>tří</w:t>
      </w:r>
      <w:r w:rsidR="00FF63E3" w:rsidRPr="009E7127">
        <w:rPr>
          <w:rFonts w:ascii="Times New Roman" w:hAnsi="Times New Roman"/>
          <w:color w:val="auto"/>
          <w:sz w:val="24"/>
        </w:rPr>
        <w:t xml:space="preserve"> </w:t>
      </w:r>
      <w:r w:rsidRPr="009E7127">
        <w:rPr>
          <w:rFonts w:ascii="Times New Roman" w:hAnsi="Times New Roman"/>
          <w:color w:val="auto"/>
          <w:sz w:val="24"/>
        </w:rPr>
        <w:t xml:space="preserve">nově zařazovaných </w:t>
      </w:r>
      <w:r>
        <w:rPr>
          <w:rFonts w:ascii="Times New Roman" w:hAnsi="Times New Roman"/>
          <w:color w:val="auto"/>
          <w:sz w:val="24"/>
        </w:rPr>
        <w:t xml:space="preserve">syntetických </w:t>
      </w:r>
      <w:proofErr w:type="spellStart"/>
      <w:r>
        <w:rPr>
          <w:rFonts w:ascii="Times New Roman" w:hAnsi="Times New Roman"/>
          <w:color w:val="auto"/>
          <w:sz w:val="24"/>
        </w:rPr>
        <w:t>opioidů</w:t>
      </w:r>
      <w:proofErr w:type="spellEnd"/>
      <w:r w:rsidRPr="009E7127">
        <w:rPr>
          <w:rFonts w:ascii="Times New Roman" w:hAnsi="Times New Roman"/>
          <w:color w:val="auto"/>
          <w:sz w:val="24"/>
        </w:rPr>
        <w:t xml:space="preserve"> do Přílohy č. </w:t>
      </w:r>
      <w:r>
        <w:rPr>
          <w:rFonts w:ascii="Times New Roman" w:hAnsi="Times New Roman"/>
          <w:color w:val="auto"/>
          <w:sz w:val="24"/>
        </w:rPr>
        <w:t>3</w:t>
      </w:r>
    </w:p>
    <w:tbl>
      <w:tblPr>
        <w:tblW w:w="9371" w:type="dxa"/>
        <w:tblInd w:w="55"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78"/>
        <w:gridCol w:w="4099"/>
        <w:gridCol w:w="2693"/>
        <w:gridCol w:w="1701"/>
      </w:tblGrid>
      <w:tr w:rsidR="0028509A" w:rsidRPr="009E7127" w14:paraId="2312270E" w14:textId="77777777" w:rsidTr="0039129E">
        <w:trPr>
          <w:trHeight w:val="300"/>
          <w:tblHeader/>
        </w:trPr>
        <w:tc>
          <w:tcPr>
            <w:tcW w:w="878" w:type="dxa"/>
            <w:tcBorders>
              <w:top w:val="threeDEmboss" w:sz="24" w:space="0" w:color="auto"/>
              <w:bottom w:val="double" w:sz="4" w:space="0" w:color="auto"/>
            </w:tcBorders>
            <w:shd w:val="pct20" w:color="auto" w:fill="auto"/>
            <w:noWrap/>
            <w:vAlign w:val="bottom"/>
            <w:hideMark/>
          </w:tcPr>
          <w:p w14:paraId="264A7A5E" w14:textId="77777777" w:rsidR="0028509A" w:rsidRPr="009E7127" w:rsidRDefault="0028509A" w:rsidP="008926D0">
            <w:pPr>
              <w:spacing w:before="60" w:after="60" w:line="240" w:lineRule="auto"/>
              <w:jc w:val="center"/>
              <w:rPr>
                <w:rFonts w:ascii="Times New Roman" w:hAnsi="Times New Roman"/>
                <w:b/>
                <w:bCs/>
                <w:color w:val="auto"/>
                <w:sz w:val="28"/>
                <w:szCs w:val="28"/>
              </w:rPr>
            </w:pPr>
            <w:r w:rsidRPr="009E7127">
              <w:rPr>
                <w:rFonts w:ascii="Times New Roman" w:hAnsi="Times New Roman"/>
                <w:b/>
                <w:bCs/>
                <w:color w:val="auto"/>
                <w:sz w:val="28"/>
                <w:szCs w:val="28"/>
              </w:rPr>
              <w:t>Číslo</w:t>
            </w:r>
          </w:p>
        </w:tc>
        <w:tc>
          <w:tcPr>
            <w:tcW w:w="4099" w:type="dxa"/>
            <w:tcBorders>
              <w:top w:val="threeDEmboss" w:sz="24" w:space="0" w:color="auto"/>
              <w:bottom w:val="double" w:sz="4" w:space="0" w:color="auto"/>
            </w:tcBorders>
            <w:shd w:val="pct20" w:color="auto" w:fill="auto"/>
            <w:vAlign w:val="bottom"/>
          </w:tcPr>
          <w:p w14:paraId="12453F98" w14:textId="77777777" w:rsidR="0028509A" w:rsidRPr="009E7127" w:rsidRDefault="0028509A" w:rsidP="008926D0">
            <w:pPr>
              <w:spacing w:before="60" w:after="60" w:line="240" w:lineRule="auto"/>
              <w:rPr>
                <w:rFonts w:ascii="Times New Roman" w:hAnsi="Times New Roman"/>
                <w:b/>
                <w:bCs/>
                <w:color w:val="auto"/>
                <w:sz w:val="28"/>
                <w:szCs w:val="28"/>
              </w:rPr>
            </w:pPr>
            <w:r w:rsidRPr="009E7127">
              <w:rPr>
                <w:rFonts w:ascii="Times New Roman" w:hAnsi="Times New Roman"/>
                <w:b/>
                <w:bCs/>
                <w:color w:val="auto"/>
                <w:sz w:val="28"/>
                <w:szCs w:val="28"/>
              </w:rPr>
              <w:t>Název</w:t>
            </w:r>
          </w:p>
        </w:tc>
        <w:tc>
          <w:tcPr>
            <w:tcW w:w="2693" w:type="dxa"/>
            <w:tcBorders>
              <w:top w:val="threeDEmboss" w:sz="24" w:space="0" w:color="auto"/>
              <w:bottom w:val="double" w:sz="4" w:space="0" w:color="auto"/>
            </w:tcBorders>
            <w:shd w:val="pct20" w:color="auto" w:fill="auto"/>
            <w:noWrap/>
            <w:vAlign w:val="bottom"/>
            <w:hideMark/>
          </w:tcPr>
          <w:p w14:paraId="05A55CB9" w14:textId="77777777" w:rsidR="0028509A" w:rsidRPr="009E7127" w:rsidRDefault="0028509A" w:rsidP="008926D0">
            <w:pPr>
              <w:spacing w:before="60" w:after="60" w:line="240" w:lineRule="auto"/>
              <w:rPr>
                <w:rFonts w:ascii="Times New Roman" w:hAnsi="Times New Roman"/>
                <w:b/>
                <w:bCs/>
                <w:color w:val="auto"/>
                <w:sz w:val="28"/>
                <w:szCs w:val="28"/>
              </w:rPr>
            </w:pPr>
            <w:r w:rsidRPr="009E7127">
              <w:rPr>
                <w:rFonts w:ascii="Times New Roman" w:hAnsi="Times New Roman"/>
                <w:b/>
                <w:bCs/>
                <w:color w:val="auto"/>
                <w:sz w:val="28"/>
                <w:szCs w:val="28"/>
              </w:rPr>
              <w:t>Skupina</w:t>
            </w:r>
          </w:p>
        </w:tc>
        <w:tc>
          <w:tcPr>
            <w:tcW w:w="1701" w:type="dxa"/>
            <w:tcBorders>
              <w:top w:val="threeDEmboss" w:sz="24" w:space="0" w:color="auto"/>
              <w:bottom w:val="double" w:sz="4" w:space="0" w:color="auto"/>
            </w:tcBorders>
            <w:shd w:val="pct20" w:color="auto" w:fill="auto"/>
          </w:tcPr>
          <w:p w14:paraId="33E2E905" w14:textId="77777777" w:rsidR="0028509A" w:rsidRPr="009E7127" w:rsidRDefault="0028509A" w:rsidP="008926D0">
            <w:pPr>
              <w:spacing w:before="60" w:after="60" w:line="240" w:lineRule="auto"/>
              <w:rPr>
                <w:rFonts w:ascii="Times New Roman" w:hAnsi="Times New Roman"/>
                <w:b/>
                <w:bCs/>
                <w:color w:val="auto"/>
                <w:sz w:val="28"/>
                <w:szCs w:val="28"/>
              </w:rPr>
            </w:pPr>
            <w:r w:rsidRPr="009E7127">
              <w:rPr>
                <w:rFonts w:ascii="Times New Roman" w:hAnsi="Times New Roman"/>
                <w:b/>
                <w:bCs/>
                <w:color w:val="auto"/>
                <w:sz w:val="28"/>
                <w:szCs w:val="28"/>
              </w:rPr>
              <w:t>Příloha č.</w:t>
            </w:r>
          </w:p>
        </w:tc>
      </w:tr>
      <w:tr w:rsidR="0028509A" w:rsidRPr="009E7127" w14:paraId="639F0301" w14:textId="77777777" w:rsidTr="0039129E">
        <w:trPr>
          <w:trHeight w:val="285"/>
        </w:trPr>
        <w:tc>
          <w:tcPr>
            <w:tcW w:w="878" w:type="dxa"/>
            <w:tcBorders>
              <w:top w:val="double" w:sz="4" w:space="0" w:color="auto"/>
              <w:bottom w:val="single" w:sz="4" w:space="0" w:color="auto"/>
            </w:tcBorders>
            <w:noWrap/>
            <w:vAlign w:val="center"/>
          </w:tcPr>
          <w:p w14:paraId="0A710D72" w14:textId="77777777" w:rsidR="0028509A" w:rsidRPr="00CF2C37" w:rsidRDefault="0028509A" w:rsidP="008926D0">
            <w:pPr>
              <w:spacing w:before="60" w:after="60" w:line="240" w:lineRule="auto"/>
              <w:jc w:val="center"/>
              <w:rPr>
                <w:rFonts w:ascii="Times New Roman" w:hAnsi="Times New Roman"/>
                <w:color w:val="auto"/>
                <w:sz w:val="24"/>
              </w:rPr>
            </w:pPr>
            <w:r w:rsidRPr="00CF2C37">
              <w:rPr>
                <w:rFonts w:ascii="Times New Roman" w:hAnsi="Times New Roman"/>
                <w:color w:val="auto"/>
                <w:sz w:val="24"/>
              </w:rPr>
              <w:t>1</w:t>
            </w:r>
          </w:p>
        </w:tc>
        <w:tc>
          <w:tcPr>
            <w:tcW w:w="4099" w:type="dxa"/>
            <w:tcBorders>
              <w:top w:val="double" w:sz="4" w:space="0" w:color="auto"/>
              <w:bottom w:val="single" w:sz="4" w:space="0" w:color="auto"/>
            </w:tcBorders>
            <w:noWrap/>
            <w:vAlign w:val="center"/>
          </w:tcPr>
          <w:p w14:paraId="2E1D7B39" w14:textId="4AC5339C" w:rsidR="00633E1E" w:rsidRPr="00CF2C37" w:rsidRDefault="00633E1E" w:rsidP="008926D0">
            <w:pPr>
              <w:spacing w:before="60" w:after="60" w:line="240" w:lineRule="auto"/>
              <w:rPr>
                <w:rFonts w:ascii="Times New Roman" w:hAnsi="Times New Roman"/>
                <w:color w:val="auto"/>
                <w:sz w:val="24"/>
              </w:rPr>
            </w:pPr>
            <w:proofErr w:type="spellStart"/>
            <w:r>
              <w:rPr>
                <w:rFonts w:ascii="Times New Roman" w:hAnsi="Times New Roman"/>
                <w:color w:val="auto"/>
                <w:sz w:val="24"/>
              </w:rPr>
              <w:t>Brorfin</w:t>
            </w:r>
            <w:proofErr w:type="spellEnd"/>
          </w:p>
        </w:tc>
        <w:tc>
          <w:tcPr>
            <w:tcW w:w="2693" w:type="dxa"/>
            <w:tcBorders>
              <w:top w:val="double" w:sz="4" w:space="0" w:color="auto"/>
              <w:bottom w:val="single" w:sz="4" w:space="0" w:color="auto"/>
            </w:tcBorders>
            <w:noWrap/>
            <w:vAlign w:val="center"/>
          </w:tcPr>
          <w:p w14:paraId="3C0D0503" w14:textId="77777777" w:rsidR="0028509A" w:rsidRPr="00CF2C37" w:rsidRDefault="0028509A" w:rsidP="008926D0">
            <w:pPr>
              <w:spacing w:line="240" w:lineRule="auto"/>
              <w:jc w:val="left"/>
              <w:rPr>
                <w:rFonts w:ascii="Times New Roman" w:hAnsi="Times New Roman"/>
                <w:color w:val="auto"/>
                <w:sz w:val="24"/>
              </w:rPr>
            </w:pPr>
            <w:r w:rsidRPr="00CF2C37">
              <w:rPr>
                <w:rFonts w:ascii="Times New Roman" w:hAnsi="Times New Roman"/>
                <w:color w:val="auto"/>
                <w:sz w:val="24"/>
              </w:rPr>
              <w:t xml:space="preserve">Syntetické </w:t>
            </w:r>
            <w:proofErr w:type="spellStart"/>
            <w:r w:rsidRPr="00CF2C37">
              <w:rPr>
                <w:rFonts w:ascii="Times New Roman" w:hAnsi="Times New Roman"/>
                <w:color w:val="auto"/>
                <w:sz w:val="24"/>
              </w:rPr>
              <w:t>opioidy</w:t>
            </w:r>
            <w:proofErr w:type="spellEnd"/>
          </w:p>
        </w:tc>
        <w:tc>
          <w:tcPr>
            <w:tcW w:w="1701" w:type="dxa"/>
            <w:tcBorders>
              <w:top w:val="double" w:sz="4" w:space="0" w:color="auto"/>
              <w:bottom w:val="single" w:sz="4" w:space="0" w:color="auto"/>
            </w:tcBorders>
            <w:vAlign w:val="center"/>
          </w:tcPr>
          <w:p w14:paraId="5A860C9E" w14:textId="77777777" w:rsidR="0028509A" w:rsidRPr="00CF2C37" w:rsidRDefault="0028509A" w:rsidP="008926D0">
            <w:pPr>
              <w:spacing w:before="60" w:after="60" w:line="240" w:lineRule="auto"/>
              <w:jc w:val="center"/>
              <w:rPr>
                <w:rFonts w:ascii="Times New Roman" w:hAnsi="Times New Roman"/>
                <w:color w:val="auto"/>
                <w:sz w:val="24"/>
              </w:rPr>
            </w:pPr>
            <w:r w:rsidRPr="00CF2C37">
              <w:rPr>
                <w:rFonts w:ascii="Times New Roman" w:hAnsi="Times New Roman"/>
                <w:color w:val="auto"/>
                <w:sz w:val="24"/>
              </w:rPr>
              <w:t>3</w:t>
            </w:r>
          </w:p>
        </w:tc>
      </w:tr>
      <w:tr w:rsidR="00633E1E" w:rsidRPr="009E7127" w14:paraId="1F39E4AC" w14:textId="77777777" w:rsidTr="0039129E">
        <w:trPr>
          <w:trHeight w:val="285"/>
        </w:trPr>
        <w:tc>
          <w:tcPr>
            <w:tcW w:w="878" w:type="dxa"/>
            <w:tcBorders>
              <w:top w:val="single" w:sz="4" w:space="0" w:color="auto"/>
              <w:bottom w:val="single" w:sz="4" w:space="0" w:color="auto"/>
            </w:tcBorders>
            <w:noWrap/>
            <w:vAlign w:val="center"/>
          </w:tcPr>
          <w:p w14:paraId="1466A305" w14:textId="380E00DB" w:rsidR="00633E1E" w:rsidRPr="00CF2C37" w:rsidRDefault="00633E1E" w:rsidP="00633E1E">
            <w:pPr>
              <w:spacing w:before="60" w:after="60" w:line="240" w:lineRule="auto"/>
              <w:jc w:val="center"/>
              <w:rPr>
                <w:rFonts w:ascii="Times New Roman" w:hAnsi="Times New Roman"/>
                <w:color w:val="auto"/>
                <w:sz w:val="24"/>
              </w:rPr>
            </w:pPr>
            <w:r>
              <w:rPr>
                <w:rFonts w:ascii="Times New Roman" w:hAnsi="Times New Roman"/>
                <w:color w:val="auto"/>
                <w:sz w:val="24"/>
              </w:rPr>
              <w:t>2</w:t>
            </w:r>
          </w:p>
        </w:tc>
        <w:tc>
          <w:tcPr>
            <w:tcW w:w="4099" w:type="dxa"/>
            <w:tcBorders>
              <w:top w:val="single" w:sz="4" w:space="0" w:color="auto"/>
              <w:bottom w:val="single" w:sz="4" w:space="0" w:color="auto"/>
            </w:tcBorders>
            <w:noWrap/>
            <w:vAlign w:val="center"/>
          </w:tcPr>
          <w:p w14:paraId="4088B53B" w14:textId="28452BB6" w:rsidR="00633E1E" w:rsidRPr="00CF2C37" w:rsidRDefault="00633E1E" w:rsidP="00633E1E">
            <w:pPr>
              <w:spacing w:before="60" w:after="60" w:line="240" w:lineRule="auto"/>
              <w:rPr>
                <w:rFonts w:ascii="Times New Roman" w:hAnsi="Times New Roman"/>
                <w:color w:val="auto"/>
                <w:sz w:val="24"/>
              </w:rPr>
            </w:pPr>
            <w:proofErr w:type="spellStart"/>
            <w:r w:rsidRPr="00CF2C37">
              <w:rPr>
                <w:rFonts w:ascii="Times New Roman" w:hAnsi="Times New Roman"/>
                <w:color w:val="auto"/>
                <w:sz w:val="24"/>
              </w:rPr>
              <w:t>Etonitazepyn</w:t>
            </w:r>
            <w:proofErr w:type="spellEnd"/>
          </w:p>
        </w:tc>
        <w:tc>
          <w:tcPr>
            <w:tcW w:w="2693" w:type="dxa"/>
            <w:tcBorders>
              <w:top w:val="single" w:sz="4" w:space="0" w:color="auto"/>
              <w:bottom w:val="single" w:sz="4" w:space="0" w:color="auto"/>
            </w:tcBorders>
            <w:noWrap/>
            <w:vAlign w:val="center"/>
          </w:tcPr>
          <w:p w14:paraId="579D7E09" w14:textId="00AABD16" w:rsidR="00633E1E" w:rsidRPr="00CF2C37" w:rsidRDefault="00633E1E" w:rsidP="00633E1E">
            <w:pPr>
              <w:spacing w:line="240" w:lineRule="auto"/>
              <w:jc w:val="left"/>
              <w:rPr>
                <w:rFonts w:ascii="Times New Roman" w:hAnsi="Times New Roman"/>
                <w:color w:val="auto"/>
                <w:sz w:val="24"/>
              </w:rPr>
            </w:pPr>
            <w:r w:rsidRPr="00CF2C37">
              <w:rPr>
                <w:rFonts w:ascii="Times New Roman" w:hAnsi="Times New Roman"/>
                <w:color w:val="auto"/>
                <w:sz w:val="24"/>
              </w:rPr>
              <w:t xml:space="preserve">Syntetické </w:t>
            </w:r>
            <w:proofErr w:type="spellStart"/>
            <w:r w:rsidRPr="00CF2C37">
              <w:rPr>
                <w:rFonts w:ascii="Times New Roman" w:hAnsi="Times New Roman"/>
                <w:color w:val="auto"/>
                <w:sz w:val="24"/>
              </w:rPr>
              <w:t>opioidy</w:t>
            </w:r>
            <w:proofErr w:type="spellEnd"/>
          </w:p>
        </w:tc>
        <w:tc>
          <w:tcPr>
            <w:tcW w:w="1701" w:type="dxa"/>
            <w:tcBorders>
              <w:top w:val="single" w:sz="4" w:space="0" w:color="auto"/>
              <w:bottom w:val="single" w:sz="4" w:space="0" w:color="auto"/>
            </w:tcBorders>
            <w:vAlign w:val="center"/>
          </w:tcPr>
          <w:p w14:paraId="4FF904CC" w14:textId="3124B1E9" w:rsidR="00633E1E" w:rsidRPr="00CF2C37" w:rsidRDefault="00633E1E" w:rsidP="00633E1E">
            <w:pPr>
              <w:spacing w:before="60" w:after="60" w:line="240" w:lineRule="auto"/>
              <w:jc w:val="center"/>
              <w:rPr>
                <w:rFonts w:ascii="Times New Roman" w:hAnsi="Times New Roman"/>
                <w:color w:val="auto"/>
                <w:sz w:val="24"/>
              </w:rPr>
            </w:pPr>
            <w:r w:rsidRPr="00CF2C37">
              <w:rPr>
                <w:rFonts w:ascii="Times New Roman" w:hAnsi="Times New Roman"/>
                <w:color w:val="auto"/>
                <w:sz w:val="24"/>
              </w:rPr>
              <w:t>3</w:t>
            </w:r>
          </w:p>
        </w:tc>
      </w:tr>
      <w:tr w:rsidR="00633E1E" w:rsidRPr="009E7127" w14:paraId="2029F0CF" w14:textId="77777777" w:rsidTr="0039129E">
        <w:trPr>
          <w:trHeight w:val="285"/>
        </w:trPr>
        <w:tc>
          <w:tcPr>
            <w:tcW w:w="878" w:type="dxa"/>
            <w:tcBorders>
              <w:top w:val="single" w:sz="4" w:space="0" w:color="auto"/>
              <w:bottom w:val="threeDEmboss" w:sz="24" w:space="0" w:color="auto"/>
            </w:tcBorders>
            <w:noWrap/>
            <w:vAlign w:val="center"/>
          </w:tcPr>
          <w:p w14:paraId="664335FF" w14:textId="0A59C3FD" w:rsidR="00633E1E" w:rsidRPr="00CF2C37" w:rsidRDefault="00633E1E" w:rsidP="00633E1E">
            <w:pPr>
              <w:spacing w:before="60" w:after="60" w:line="240" w:lineRule="auto"/>
              <w:jc w:val="center"/>
              <w:rPr>
                <w:rFonts w:ascii="Times New Roman" w:hAnsi="Times New Roman"/>
                <w:color w:val="auto"/>
                <w:sz w:val="24"/>
              </w:rPr>
            </w:pPr>
            <w:r>
              <w:rPr>
                <w:rFonts w:ascii="Times New Roman" w:hAnsi="Times New Roman"/>
                <w:color w:val="auto"/>
                <w:sz w:val="24"/>
              </w:rPr>
              <w:t>3</w:t>
            </w:r>
          </w:p>
        </w:tc>
        <w:tc>
          <w:tcPr>
            <w:tcW w:w="4099" w:type="dxa"/>
            <w:tcBorders>
              <w:top w:val="single" w:sz="4" w:space="0" w:color="auto"/>
              <w:bottom w:val="threeDEmboss" w:sz="24" w:space="0" w:color="auto"/>
              <w:right w:val="single" w:sz="4" w:space="0" w:color="auto"/>
            </w:tcBorders>
            <w:noWrap/>
            <w:vAlign w:val="center"/>
          </w:tcPr>
          <w:p w14:paraId="3B7B6269" w14:textId="77777777" w:rsidR="00633E1E" w:rsidRPr="00CF2C37" w:rsidRDefault="00633E1E" w:rsidP="00633E1E">
            <w:pPr>
              <w:spacing w:line="240" w:lineRule="auto"/>
              <w:jc w:val="left"/>
              <w:rPr>
                <w:rFonts w:ascii="Times New Roman" w:hAnsi="Times New Roman"/>
                <w:color w:val="auto"/>
                <w:sz w:val="24"/>
              </w:rPr>
            </w:pPr>
            <w:proofErr w:type="spellStart"/>
            <w:r w:rsidRPr="00CF2C37">
              <w:rPr>
                <w:rFonts w:ascii="Times New Roman" w:hAnsi="Times New Roman"/>
                <w:color w:val="auto"/>
                <w:sz w:val="24"/>
              </w:rPr>
              <w:t>Protonitazen</w:t>
            </w:r>
            <w:proofErr w:type="spellEnd"/>
          </w:p>
        </w:tc>
        <w:tc>
          <w:tcPr>
            <w:tcW w:w="2693" w:type="dxa"/>
            <w:tcBorders>
              <w:top w:val="single" w:sz="4" w:space="0" w:color="auto"/>
              <w:bottom w:val="threeDEmboss" w:sz="24" w:space="0" w:color="auto"/>
            </w:tcBorders>
            <w:noWrap/>
            <w:vAlign w:val="center"/>
          </w:tcPr>
          <w:p w14:paraId="077B29C5" w14:textId="77777777" w:rsidR="00633E1E" w:rsidRPr="00CF2C37" w:rsidRDefault="00633E1E" w:rsidP="00633E1E">
            <w:pPr>
              <w:spacing w:line="240" w:lineRule="auto"/>
              <w:jc w:val="left"/>
              <w:rPr>
                <w:rFonts w:ascii="Times New Roman" w:hAnsi="Times New Roman"/>
                <w:color w:val="auto"/>
                <w:sz w:val="24"/>
              </w:rPr>
            </w:pPr>
            <w:r w:rsidRPr="00CF2C37">
              <w:rPr>
                <w:rFonts w:ascii="Times New Roman" w:hAnsi="Times New Roman"/>
                <w:color w:val="auto"/>
                <w:sz w:val="24"/>
              </w:rPr>
              <w:t xml:space="preserve">Syntetické </w:t>
            </w:r>
            <w:proofErr w:type="spellStart"/>
            <w:r w:rsidRPr="00CF2C37">
              <w:rPr>
                <w:rFonts w:ascii="Times New Roman" w:hAnsi="Times New Roman"/>
                <w:color w:val="auto"/>
                <w:sz w:val="24"/>
              </w:rPr>
              <w:t>opioidy</w:t>
            </w:r>
            <w:proofErr w:type="spellEnd"/>
          </w:p>
        </w:tc>
        <w:tc>
          <w:tcPr>
            <w:tcW w:w="1701" w:type="dxa"/>
            <w:tcBorders>
              <w:top w:val="single" w:sz="4" w:space="0" w:color="auto"/>
              <w:bottom w:val="threeDEmboss" w:sz="24" w:space="0" w:color="auto"/>
            </w:tcBorders>
            <w:vAlign w:val="center"/>
          </w:tcPr>
          <w:p w14:paraId="1AFE12F5" w14:textId="77777777" w:rsidR="00633E1E" w:rsidRPr="00CF2C37" w:rsidRDefault="00633E1E" w:rsidP="00633E1E">
            <w:pPr>
              <w:spacing w:line="240" w:lineRule="auto"/>
              <w:jc w:val="center"/>
              <w:rPr>
                <w:rFonts w:ascii="Times New Roman" w:hAnsi="Times New Roman"/>
                <w:color w:val="auto"/>
                <w:sz w:val="24"/>
              </w:rPr>
            </w:pPr>
            <w:r w:rsidRPr="00CF2C37">
              <w:rPr>
                <w:rFonts w:ascii="Times New Roman" w:hAnsi="Times New Roman"/>
                <w:color w:val="auto"/>
                <w:sz w:val="24"/>
              </w:rPr>
              <w:t>3</w:t>
            </w:r>
          </w:p>
        </w:tc>
      </w:tr>
    </w:tbl>
    <w:p w14:paraId="04080AB2" w14:textId="77777777" w:rsidR="0028509A" w:rsidRPr="009E7127" w:rsidRDefault="0028509A" w:rsidP="0028509A">
      <w:pPr>
        <w:spacing w:line="240" w:lineRule="auto"/>
        <w:ind w:firstLine="709"/>
        <w:rPr>
          <w:rFonts w:ascii="Times New Roman" w:hAnsi="Times New Roman"/>
          <w:color w:val="auto"/>
          <w:sz w:val="24"/>
        </w:rPr>
      </w:pPr>
    </w:p>
    <w:p w14:paraId="438F0BCE" w14:textId="77777777" w:rsidR="0028509A" w:rsidRPr="009E7127" w:rsidRDefault="0028509A" w:rsidP="0028509A">
      <w:pPr>
        <w:spacing w:line="240" w:lineRule="auto"/>
        <w:ind w:firstLine="709"/>
        <w:rPr>
          <w:rFonts w:ascii="Times New Roman" w:hAnsi="Times New Roman"/>
          <w:color w:val="auto"/>
          <w:sz w:val="24"/>
        </w:rPr>
      </w:pPr>
    </w:p>
    <w:p w14:paraId="61C4C011" w14:textId="376CD53B" w:rsidR="0028509A" w:rsidRPr="009E7127" w:rsidRDefault="0028509A" w:rsidP="0028509A">
      <w:pPr>
        <w:spacing w:line="240" w:lineRule="auto"/>
        <w:ind w:firstLine="709"/>
        <w:rPr>
          <w:rFonts w:ascii="Times New Roman" w:hAnsi="Times New Roman"/>
          <w:color w:val="auto"/>
          <w:sz w:val="24"/>
        </w:rPr>
      </w:pPr>
      <w:r w:rsidRPr="009E7127">
        <w:rPr>
          <w:rFonts w:ascii="Times New Roman" w:hAnsi="Times New Roman"/>
          <w:color w:val="auto"/>
          <w:sz w:val="24"/>
        </w:rPr>
        <w:lastRenderedPageBreak/>
        <w:t xml:space="preserve">Tabulka 2 uvádí přehled </w:t>
      </w:r>
      <w:r w:rsidR="00FF63E3">
        <w:rPr>
          <w:rFonts w:ascii="Times New Roman" w:hAnsi="Times New Roman"/>
          <w:color w:val="auto"/>
          <w:sz w:val="24"/>
        </w:rPr>
        <w:t>šesti nových</w:t>
      </w:r>
      <w:r w:rsidR="0081607C" w:rsidRPr="0081607C">
        <w:rPr>
          <w:rFonts w:ascii="Times New Roman" w:hAnsi="Times New Roman"/>
          <w:color w:val="auto"/>
          <w:sz w:val="24"/>
        </w:rPr>
        <w:t xml:space="preserve"> </w:t>
      </w:r>
      <w:r w:rsidR="0081607C" w:rsidRPr="009E7127">
        <w:rPr>
          <w:rFonts w:ascii="Times New Roman" w:hAnsi="Times New Roman"/>
          <w:color w:val="auto"/>
          <w:sz w:val="24"/>
        </w:rPr>
        <w:t>zařazovaných</w:t>
      </w:r>
      <w:r w:rsidR="00FF63E3">
        <w:rPr>
          <w:rFonts w:ascii="Times New Roman" w:hAnsi="Times New Roman"/>
          <w:color w:val="auto"/>
          <w:sz w:val="24"/>
        </w:rPr>
        <w:t xml:space="preserve"> látek </w:t>
      </w:r>
      <w:r w:rsidRPr="009E7127">
        <w:rPr>
          <w:rFonts w:ascii="Times New Roman" w:hAnsi="Times New Roman"/>
          <w:color w:val="auto"/>
          <w:sz w:val="24"/>
        </w:rPr>
        <w:t xml:space="preserve">do Přílohy č. </w:t>
      </w:r>
      <w:r>
        <w:rPr>
          <w:rFonts w:ascii="Times New Roman" w:hAnsi="Times New Roman"/>
          <w:color w:val="auto"/>
          <w:sz w:val="24"/>
        </w:rPr>
        <w:t>4</w:t>
      </w:r>
      <w:r w:rsidRPr="009E7127">
        <w:rPr>
          <w:rFonts w:ascii="Times New Roman" w:hAnsi="Times New Roman"/>
          <w:color w:val="auto"/>
          <w:sz w:val="24"/>
        </w:rPr>
        <w:t xml:space="preserve"> s uvedením </w:t>
      </w:r>
      <w:r w:rsidR="00FF63E3">
        <w:rPr>
          <w:rFonts w:ascii="Times New Roman" w:hAnsi="Times New Roman"/>
          <w:color w:val="auto"/>
          <w:sz w:val="24"/>
        </w:rPr>
        <w:t>charakteristické</w:t>
      </w:r>
      <w:r w:rsidR="00FF63E3" w:rsidRPr="009E7127">
        <w:rPr>
          <w:rFonts w:ascii="Times New Roman" w:hAnsi="Times New Roman"/>
          <w:color w:val="auto"/>
          <w:sz w:val="24"/>
        </w:rPr>
        <w:t xml:space="preserve"> </w:t>
      </w:r>
      <w:r w:rsidRPr="009E7127">
        <w:rPr>
          <w:rFonts w:ascii="Times New Roman" w:hAnsi="Times New Roman"/>
          <w:color w:val="auto"/>
          <w:sz w:val="24"/>
        </w:rPr>
        <w:t>skupiny a návrhem cílové přílohy nařízení vlády.</w:t>
      </w:r>
    </w:p>
    <w:p w14:paraId="54092B09" w14:textId="77777777" w:rsidR="0028509A" w:rsidRDefault="0028509A" w:rsidP="0028509A">
      <w:pPr>
        <w:spacing w:line="240" w:lineRule="auto"/>
        <w:ind w:firstLine="709"/>
        <w:rPr>
          <w:rFonts w:ascii="Times New Roman" w:hAnsi="Times New Roman"/>
          <w:color w:val="auto"/>
          <w:sz w:val="24"/>
        </w:rPr>
      </w:pPr>
    </w:p>
    <w:p w14:paraId="7EC4D075" w14:textId="635F0F65" w:rsidR="0028509A" w:rsidRPr="009E7127" w:rsidRDefault="0028509A" w:rsidP="0028509A">
      <w:pPr>
        <w:spacing w:line="240" w:lineRule="auto"/>
        <w:rPr>
          <w:rFonts w:ascii="Times New Roman" w:hAnsi="Times New Roman"/>
          <w:color w:val="auto"/>
          <w:sz w:val="24"/>
        </w:rPr>
      </w:pPr>
      <w:r w:rsidRPr="009E7127">
        <w:rPr>
          <w:rFonts w:ascii="Times New Roman" w:hAnsi="Times New Roman"/>
          <w:b/>
          <w:color w:val="auto"/>
          <w:sz w:val="24"/>
        </w:rPr>
        <w:t>Tabulka 2</w:t>
      </w:r>
      <w:r w:rsidRPr="009E7127">
        <w:rPr>
          <w:rFonts w:ascii="Times New Roman" w:hAnsi="Times New Roman"/>
          <w:color w:val="auto"/>
          <w:sz w:val="24"/>
        </w:rPr>
        <w:t xml:space="preserve"> – Přehled </w:t>
      </w:r>
      <w:r w:rsidR="006655AB">
        <w:rPr>
          <w:rFonts w:ascii="Times New Roman" w:hAnsi="Times New Roman"/>
          <w:color w:val="auto"/>
          <w:sz w:val="24"/>
        </w:rPr>
        <w:t>šesti</w:t>
      </w:r>
      <w:r>
        <w:rPr>
          <w:rFonts w:ascii="Times New Roman" w:hAnsi="Times New Roman"/>
          <w:color w:val="auto"/>
          <w:sz w:val="24"/>
        </w:rPr>
        <w:t xml:space="preserve"> </w:t>
      </w:r>
      <w:r w:rsidRPr="009E7127">
        <w:rPr>
          <w:rFonts w:ascii="Times New Roman" w:hAnsi="Times New Roman"/>
          <w:color w:val="auto"/>
          <w:sz w:val="24"/>
        </w:rPr>
        <w:t>nově zařazovan</w:t>
      </w:r>
      <w:r>
        <w:rPr>
          <w:rFonts w:ascii="Times New Roman" w:hAnsi="Times New Roman"/>
          <w:color w:val="auto"/>
          <w:sz w:val="24"/>
        </w:rPr>
        <w:t xml:space="preserve">ých </w:t>
      </w:r>
      <w:r w:rsidR="006655AB">
        <w:rPr>
          <w:rFonts w:ascii="Times New Roman" w:hAnsi="Times New Roman"/>
          <w:color w:val="auto"/>
          <w:sz w:val="24"/>
        </w:rPr>
        <w:t>látek</w:t>
      </w:r>
      <w:r w:rsidRPr="009E7127">
        <w:rPr>
          <w:rFonts w:ascii="Times New Roman" w:hAnsi="Times New Roman"/>
          <w:color w:val="auto"/>
          <w:sz w:val="24"/>
        </w:rPr>
        <w:t xml:space="preserve"> do Přílohy č. </w:t>
      </w:r>
      <w:r>
        <w:rPr>
          <w:rFonts w:ascii="Times New Roman" w:hAnsi="Times New Roman"/>
          <w:color w:val="auto"/>
          <w:sz w:val="24"/>
        </w:rPr>
        <w:t>4</w:t>
      </w:r>
    </w:p>
    <w:tbl>
      <w:tblPr>
        <w:tblW w:w="9371" w:type="dxa"/>
        <w:tblInd w:w="55"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63"/>
        <w:gridCol w:w="4114"/>
        <w:gridCol w:w="2693"/>
        <w:gridCol w:w="1701"/>
      </w:tblGrid>
      <w:tr w:rsidR="0028509A" w:rsidRPr="009E7127" w14:paraId="761D5FFC" w14:textId="77777777" w:rsidTr="008926D0">
        <w:trPr>
          <w:trHeight w:val="300"/>
          <w:tblHeader/>
        </w:trPr>
        <w:tc>
          <w:tcPr>
            <w:tcW w:w="863" w:type="dxa"/>
            <w:tcBorders>
              <w:top w:val="threeDEmboss" w:sz="24" w:space="0" w:color="auto"/>
              <w:bottom w:val="double" w:sz="4" w:space="0" w:color="auto"/>
            </w:tcBorders>
            <w:shd w:val="pct20" w:color="auto" w:fill="auto"/>
            <w:noWrap/>
            <w:vAlign w:val="bottom"/>
            <w:hideMark/>
          </w:tcPr>
          <w:p w14:paraId="5F7E10B0" w14:textId="77777777" w:rsidR="0028509A" w:rsidRPr="009E7127" w:rsidRDefault="0028509A" w:rsidP="008926D0">
            <w:pPr>
              <w:spacing w:before="60" w:after="60" w:line="240" w:lineRule="auto"/>
              <w:jc w:val="center"/>
              <w:rPr>
                <w:rFonts w:ascii="Times New Roman" w:hAnsi="Times New Roman"/>
                <w:b/>
                <w:bCs/>
                <w:color w:val="auto"/>
                <w:sz w:val="28"/>
                <w:szCs w:val="28"/>
              </w:rPr>
            </w:pPr>
            <w:r w:rsidRPr="009E7127">
              <w:rPr>
                <w:rFonts w:ascii="Times New Roman" w:hAnsi="Times New Roman"/>
                <w:b/>
                <w:bCs/>
                <w:color w:val="auto"/>
                <w:sz w:val="28"/>
                <w:szCs w:val="28"/>
              </w:rPr>
              <w:t>Číslo</w:t>
            </w:r>
          </w:p>
        </w:tc>
        <w:tc>
          <w:tcPr>
            <w:tcW w:w="4114" w:type="dxa"/>
            <w:tcBorders>
              <w:top w:val="threeDEmboss" w:sz="24" w:space="0" w:color="auto"/>
              <w:bottom w:val="double" w:sz="4" w:space="0" w:color="auto"/>
            </w:tcBorders>
            <w:shd w:val="pct20" w:color="auto" w:fill="auto"/>
            <w:vAlign w:val="bottom"/>
          </w:tcPr>
          <w:p w14:paraId="02531745" w14:textId="77777777" w:rsidR="0028509A" w:rsidRPr="009E7127" w:rsidRDefault="0028509A" w:rsidP="008926D0">
            <w:pPr>
              <w:spacing w:before="60" w:after="60" w:line="240" w:lineRule="auto"/>
              <w:rPr>
                <w:rFonts w:ascii="Times New Roman" w:hAnsi="Times New Roman"/>
                <w:b/>
                <w:bCs/>
                <w:color w:val="auto"/>
                <w:sz w:val="28"/>
                <w:szCs w:val="28"/>
              </w:rPr>
            </w:pPr>
            <w:r w:rsidRPr="009E7127">
              <w:rPr>
                <w:rFonts w:ascii="Times New Roman" w:hAnsi="Times New Roman"/>
                <w:b/>
                <w:bCs/>
                <w:color w:val="auto"/>
                <w:sz w:val="28"/>
                <w:szCs w:val="28"/>
              </w:rPr>
              <w:t>Název</w:t>
            </w:r>
          </w:p>
        </w:tc>
        <w:tc>
          <w:tcPr>
            <w:tcW w:w="2693" w:type="dxa"/>
            <w:tcBorders>
              <w:top w:val="threeDEmboss" w:sz="24" w:space="0" w:color="auto"/>
              <w:bottom w:val="double" w:sz="4" w:space="0" w:color="auto"/>
            </w:tcBorders>
            <w:shd w:val="pct20" w:color="auto" w:fill="auto"/>
            <w:noWrap/>
            <w:vAlign w:val="bottom"/>
            <w:hideMark/>
          </w:tcPr>
          <w:p w14:paraId="48B051B0" w14:textId="77777777" w:rsidR="0028509A" w:rsidRPr="009E7127" w:rsidRDefault="0028509A" w:rsidP="008926D0">
            <w:pPr>
              <w:spacing w:before="60" w:after="60" w:line="240" w:lineRule="auto"/>
              <w:rPr>
                <w:rFonts w:ascii="Times New Roman" w:hAnsi="Times New Roman"/>
                <w:b/>
                <w:bCs/>
                <w:color w:val="auto"/>
                <w:sz w:val="28"/>
                <w:szCs w:val="28"/>
              </w:rPr>
            </w:pPr>
            <w:r w:rsidRPr="009E7127">
              <w:rPr>
                <w:rFonts w:ascii="Times New Roman" w:hAnsi="Times New Roman"/>
                <w:b/>
                <w:bCs/>
                <w:color w:val="auto"/>
                <w:sz w:val="28"/>
                <w:szCs w:val="28"/>
              </w:rPr>
              <w:t>Skupina</w:t>
            </w:r>
          </w:p>
        </w:tc>
        <w:tc>
          <w:tcPr>
            <w:tcW w:w="1701" w:type="dxa"/>
            <w:tcBorders>
              <w:top w:val="threeDEmboss" w:sz="24" w:space="0" w:color="auto"/>
              <w:bottom w:val="double" w:sz="4" w:space="0" w:color="auto"/>
            </w:tcBorders>
            <w:shd w:val="pct20" w:color="auto" w:fill="auto"/>
          </w:tcPr>
          <w:p w14:paraId="2F3A9971" w14:textId="77777777" w:rsidR="0028509A" w:rsidRPr="009E7127" w:rsidRDefault="0028509A" w:rsidP="008926D0">
            <w:pPr>
              <w:spacing w:before="60" w:after="60" w:line="240" w:lineRule="auto"/>
              <w:rPr>
                <w:rFonts w:ascii="Times New Roman" w:hAnsi="Times New Roman"/>
                <w:b/>
                <w:bCs/>
                <w:color w:val="auto"/>
                <w:sz w:val="28"/>
                <w:szCs w:val="28"/>
              </w:rPr>
            </w:pPr>
            <w:r w:rsidRPr="009E7127">
              <w:rPr>
                <w:rFonts w:ascii="Times New Roman" w:hAnsi="Times New Roman"/>
                <w:b/>
                <w:bCs/>
                <w:color w:val="auto"/>
                <w:sz w:val="28"/>
                <w:szCs w:val="28"/>
              </w:rPr>
              <w:t>Příloha č.</w:t>
            </w:r>
          </w:p>
        </w:tc>
      </w:tr>
      <w:tr w:rsidR="0028509A" w:rsidRPr="009E7127" w14:paraId="6E3F42DE" w14:textId="77777777" w:rsidTr="008926D0">
        <w:trPr>
          <w:trHeight w:val="285"/>
        </w:trPr>
        <w:tc>
          <w:tcPr>
            <w:tcW w:w="863" w:type="dxa"/>
            <w:tcBorders>
              <w:top w:val="double" w:sz="4" w:space="0" w:color="auto"/>
              <w:bottom w:val="single" w:sz="4" w:space="0" w:color="auto"/>
            </w:tcBorders>
            <w:noWrap/>
            <w:vAlign w:val="center"/>
          </w:tcPr>
          <w:p w14:paraId="5FF841E1" w14:textId="77777777" w:rsidR="0028509A" w:rsidRPr="00CF2C37" w:rsidRDefault="0028509A" w:rsidP="008926D0">
            <w:pPr>
              <w:spacing w:before="60" w:after="60" w:line="240" w:lineRule="auto"/>
              <w:jc w:val="center"/>
              <w:rPr>
                <w:rFonts w:ascii="Times New Roman" w:hAnsi="Times New Roman"/>
                <w:color w:val="auto"/>
                <w:sz w:val="24"/>
              </w:rPr>
            </w:pPr>
            <w:bookmarkStart w:id="1" w:name="_Hlk57028499"/>
            <w:r w:rsidRPr="00CF2C37">
              <w:rPr>
                <w:rFonts w:ascii="Times New Roman" w:hAnsi="Times New Roman"/>
                <w:color w:val="auto"/>
                <w:sz w:val="24"/>
              </w:rPr>
              <w:t>1</w:t>
            </w:r>
          </w:p>
        </w:tc>
        <w:tc>
          <w:tcPr>
            <w:tcW w:w="4114" w:type="dxa"/>
            <w:tcBorders>
              <w:top w:val="double" w:sz="4" w:space="0" w:color="auto"/>
              <w:bottom w:val="single" w:sz="4" w:space="0" w:color="auto"/>
            </w:tcBorders>
            <w:noWrap/>
            <w:vAlign w:val="center"/>
          </w:tcPr>
          <w:p w14:paraId="52042DFA" w14:textId="77777777" w:rsidR="0028509A" w:rsidRPr="00CF2C37" w:rsidRDefault="0028509A" w:rsidP="008926D0">
            <w:pPr>
              <w:spacing w:before="60" w:after="60" w:line="240" w:lineRule="auto"/>
              <w:rPr>
                <w:rFonts w:ascii="Times New Roman" w:hAnsi="Times New Roman"/>
                <w:color w:val="auto"/>
                <w:sz w:val="24"/>
              </w:rPr>
            </w:pPr>
            <w:r w:rsidRPr="00CF2C37">
              <w:rPr>
                <w:rFonts w:ascii="Times New Roman" w:hAnsi="Times New Roman"/>
                <w:color w:val="auto"/>
                <w:sz w:val="24"/>
              </w:rPr>
              <w:t>ADB-BUTINACA</w:t>
            </w:r>
          </w:p>
        </w:tc>
        <w:tc>
          <w:tcPr>
            <w:tcW w:w="2693" w:type="dxa"/>
            <w:tcBorders>
              <w:top w:val="double" w:sz="4" w:space="0" w:color="auto"/>
              <w:bottom w:val="single" w:sz="4" w:space="0" w:color="auto"/>
            </w:tcBorders>
            <w:noWrap/>
            <w:vAlign w:val="center"/>
          </w:tcPr>
          <w:p w14:paraId="0564B67A" w14:textId="77777777" w:rsidR="0028509A" w:rsidRPr="00CF2C37" w:rsidRDefault="0028509A" w:rsidP="008926D0">
            <w:pPr>
              <w:spacing w:line="240" w:lineRule="auto"/>
              <w:jc w:val="left"/>
              <w:rPr>
                <w:rFonts w:ascii="Times New Roman" w:hAnsi="Times New Roman"/>
                <w:color w:val="auto"/>
                <w:sz w:val="24"/>
              </w:rPr>
            </w:pPr>
            <w:proofErr w:type="spellStart"/>
            <w:r w:rsidRPr="00CF2C37">
              <w:rPr>
                <w:rFonts w:ascii="Times New Roman" w:hAnsi="Times New Roman"/>
                <w:color w:val="auto"/>
                <w:sz w:val="24"/>
              </w:rPr>
              <w:t>Kanabinoidy</w:t>
            </w:r>
            <w:proofErr w:type="spellEnd"/>
          </w:p>
        </w:tc>
        <w:tc>
          <w:tcPr>
            <w:tcW w:w="1701" w:type="dxa"/>
            <w:tcBorders>
              <w:top w:val="double" w:sz="4" w:space="0" w:color="auto"/>
              <w:bottom w:val="single" w:sz="4" w:space="0" w:color="auto"/>
            </w:tcBorders>
            <w:vAlign w:val="center"/>
          </w:tcPr>
          <w:p w14:paraId="03B913F5" w14:textId="77777777" w:rsidR="0028509A" w:rsidRPr="00CF2C37" w:rsidRDefault="0028509A" w:rsidP="008926D0">
            <w:pPr>
              <w:spacing w:before="60" w:after="60" w:line="240" w:lineRule="auto"/>
              <w:jc w:val="center"/>
              <w:rPr>
                <w:rFonts w:ascii="Times New Roman" w:hAnsi="Times New Roman"/>
                <w:color w:val="auto"/>
                <w:sz w:val="24"/>
              </w:rPr>
            </w:pPr>
            <w:r w:rsidRPr="00CF2C37">
              <w:rPr>
                <w:rFonts w:ascii="Times New Roman" w:hAnsi="Times New Roman"/>
                <w:color w:val="auto"/>
                <w:sz w:val="24"/>
              </w:rPr>
              <w:t>4</w:t>
            </w:r>
          </w:p>
        </w:tc>
      </w:tr>
      <w:tr w:rsidR="00697BA3" w:rsidRPr="009E7127" w14:paraId="563A7DED" w14:textId="77777777" w:rsidTr="008926D0">
        <w:trPr>
          <w:trHeight w:val="285"/>
        </w:trPr>
        <w:tc>
          <w:tcPr>
            <w:tcW w:w="863" w:type="dxa"/>
            <w:tcBorders>
              <w:top w:val="single" w:sz="4" w:space="0" w:color="auto"/>
              <w:bottom w:val="single" w:sz="4" w:space="0" w:color="auto"/>
            </w:tcBorders>
            <w:noWrap/>
            <w:vAlign w:val="center"/>
          </w:tcPr>
          <w:p w14:paraId="716BD068" w14:textId="00DD1DD4" w:rsidR="00697BA3" w:rsidRPr="00CF2C37" w:rsidRDefault="00697BA3" w:rsidP="008926D0">
            <w:pPr>
              <w:spacing w:before="60" w:after="60" w:line="240" w:lineRule="auto"/>
              <w:jc w:val="center"/>
              <w:rPr>
                <w:rFonts w:ascii="Times New Roman" w:hAnsi="Times New Roman"/>
                <w:color w:val="auto"/>
                <w:sz w:val="24"/>
              </w:rPr>
            </w:pPr>
            <w:r>
              <w:rPr>
                <w:rFonts w:ascii="Times New Roman" w:hAnsi="Times New Roman"/>
                <w:color w:val="auto"/>
                <w:sz w:val="24"/>
              </w:rPr>
              <w:t>2</w:t>
            </w:r>
          </w:p>
        </w:tc>
        <w:tc>
          <w:tcPr>
            <w:tcW w:w="4114" w:type="dxa"/>
            <w:tcBorders>
              <w:top w:val="single" w:sz="4" w:space="0" w:color="auto"/>
              <w:bottom w:val="single" w:sz="4" w:space="0" w:color="auto"/>
              <w:right w:val="single" w:sz="4" w:space="0" w:color="auto"/>
            </w:tcBorders>
            <w:noWrap/>
            <w:vAlign w:val="center"/>
          </w:tcPr>
          <w:p w14:paraId="502715E0" w14:textId="21D2645A" w:rsidR="00697BA3" w:rsidRPr="00CF2C37" w:rsidRDefault="00697BA3" w:rsidP="008926D0">
            <w:pPr>
              <w:spacing w:line="240" w:lineRule="auto"/>
              <w:jc w:val="left"/>
              <w:rPr>
                <w:rFonts w:ascii="Times New Roman" w:hAnsi="Times New Roman"/>
                <w:color w:val="auto"/>
                <w:sz w:val="24"/>
              </w:rPr>
            </w:pPr>
            <w:proofErr w:type="spellStart"/>
            <w:r w:rsidRPr="00CF2C37">
              <w:rPr>
                <w:rFonts w:ascii="Times New Roman" w:hAnsi="Times New Roman"/>
                <w:color w:val="auto"/>
                <w:sz w:val="24"/>
              </w:rPr>
              <w:t>Hexahydrokanabinol</w:t>
            </w:r>
            <w:proofErr w:type="spellEnd"/>
            <w:r w:rsidRPr="00CF2C37">
              <w:rPr>
                <w:rFonts w:ascii="Times New Roman" w:hAnsi="Times New Roman"/>
                <w:color w:val="auto"/>
                <w:sz w:val="24"/>
              </w:rPr>
              <w:t xml:space="preserve"> (HHC)</w:t>
            </w:r>
          </w:p>
        </w:tc>
        <w:tc>
          <w:tcPr>
            <w:tcW w:w="2693" w:type="dxa"/>
            <w:tcBorders>
              <w:top w:val="single" w:sz="4" w:space="0" w:color="auto"/>
              <w:bottom w:val="single" w:sz="4" w:space="0" w:color="auto"/>
            </w:tcBorders>
            <w:noWrap/>
            <w:vAlign w:val="center"/>
          </w:tcPr>
          <w:p w14:paraId="067F0207" w14:textId="0EF6293E" w:rsidR="00697BA3" w:rsidRPr="00CF2C37" w:rsidRDefault="00E57111" w:rsidP="008926D0">
            <w:pPr>
              <w:spacing w:line="240" w:lineRule="auto"/>
              <w:jc w:val="left"/>
              <w:rPr>
                <w:rFonts w:ascii="Times New Roman" w:hAnsi="Times New Roman"/>
                <w:color w:val="auto"/>
                <w:sz w:val="24"/>
              </w:rPr>
            </w:pPr>
            <w:proofErr w:type="spellStart"/>
            <w:r w:rsidRPr="00CF2C37">
              <w:rPr>
                <w:rFonts w:ascii="Times New Roman" w:hAnsi="Times New Roman"/>
                <w:color w:val="auto"/>
                <w:sz w:val="24"/>
              </w:rPr>
              <w:t>Kanabinoidy</w:t>
            </w:r>
            <w:proofErr w:type="spellEnd"/>
          </w:p>
        </w:tc>
        <w:tc>
          <w:tcPr>
            <w:tcW w:w="1701" w:type="dxa"/>
            <w:tcBorders>
              <w:top w:val="single" w:sz="4" w:space="0" w:color="auto"/>
              <w:bottom w:val="single" w:sz="4" w:space="0" w:color="auto"/>
            </w:tcBorders>
            <w:vAlign w:val="center"/>
          </w:tcPr>
          <w:p w14:paraId="517D7D3D" w14:textId="695239D4" w:rsidR="00697BA3" w:rsidRPr="00CF2C37" w:rsidRDefault="00E57111" w:rsidP="008926D0">
            <w:pPr>
              <w:spacing w:line="240" w:lineRule="auto"/>
              <w:jc w:val="center"/>
              <w:rPr>
                <w:rFonts w:ascii="Times New Roman" w:hAnsi="Times New Roman"/>
                <w:color w:val="auto"/>
                <w:sz w:val="24"/>
              </w:rPr>
            </w:pPr>
            <w:r>
              <w:rPr>
                <w:rFonts w:ascii="Times New Roman" w:hAnsi="Times New Roman"/>
                <w:color w:val="auto"/>
                <w:sz w:val="24"/>
              </w:rPr>
              <w:t>4</w:t>
            </w:r>
          </w:p>
        </w:tc>
      </w:tr>
      <w:tr w:rsidR="00697BA3" w:rsidRPr="009E7127" w14:paraId="021BBE19" w14:textId="77777777" w:rsidTr="008926D0">
        <w:trPr>
          <w:trHeight w:val="285"/>
        </w:trPr>
        <w:tc>
          <w:tcPr>
            <w:tcW w:w="863" w:type="dxa"/>
            <w:tcBorders>
              <w:top w:val="single" w:sz="4" w:space="0" w:color="auto"/>
              <w:bottom w:val="single" w:sz="4" w:space="0" w:color="auto"/>
            </w:tcBorders>
            <w:noWrap/>
            <w:vAlign w:val="center"/>
          </w:tcPr>
          <w:p w14:paraId="270DC17D" w14:textId="1230BC68" w:rsidR="00697BA3" w:rsidRPr="00CF2C37" w:rsidRDefault="00697BA3" w:rsidP="008926D0">
            <w:pPr>
              <w:spacing w:before="60" w:after="60" w:line="240" w:lineRule="auto"/>
              <w:jc w:val="center"/>
              <w:rPr>
                <w:rFonts w:ascii="Times New Roman" w:hAnsi="Times New Roman"/>
                <w:color w:val="auto"/>
                <w:sz w:val="24"/>
              </w:rPr>
            </w:pPr>
            <w:r>
              <w:rPr>
                <w:rFonts w:ascii="Times New Roman" w:hAnsi="Times New Roman"/>
                <w:color w:val="auto"/>
                <w:sz w:val="24"/>
              </w:rPr>
              <w:t>3</w:t>
            </w:r>
          </w:p>
        </w:tc>
        <w:tc>
          <w:tcPr>
            <w:tcW w:w="4114" w:type="dxa"/>
            <w:tcBorders>
              <w:top w:val="single" w:sz="4" w:space="0" w:color="auto"/>
              <w:bottom w:val="single" w:sz="4" w:space="0" w:color="auto"/>
              <w:right w:val="single" w:sz="4" w:space="0" w:color="auto"/>
            </w:tcBorders>
            <w:noWrap/>
            <w:vAlign w:val="center"/>
          </w:tcPr>
          <w:p w14:paraId="55C4A330" w14:textId="22306682" w:rsidR="00697BA3" w:rsidRPr="00CF2C37" w:rsidRDefault="00697BA3" w:rsidP="008926D0">
            <w:pPr>
              <w:spacing w:line="240" w:lineRule="auto"/>
              <w:jc w:val="left"/>
              <w:rPr>
                <w:rFonts w:ascii="Times New Roman" w:hAnsi="Times New Roman"/>
                <w:color w:val="auto"/>
                <w:sz w:val="24"/>
              </w:rPr>
            </w:pPr>
            <w:r>
              <w:rPr>
                <w:rFonts w:ascii="Times New Roman" w:hAnsi="Times New Roman"/>
                <w:color w:val="auto"/>
                <w:sz w:val="24"/>
              </w:rPr>
              <w:t>7-hydroxymitragynin</w:t>
            </w:r>
          </w:p>
        </w:tc>
        <w:tc>
          <w:tcPr>
            <w:tcW w:w="2693" w:type="dxa"/>
            <w:tcBorders>
              <w:top w:val="single" w:sz="4" w:space="0" w:color="auto"/>
              <w:bottom w:val="single" w:sz="4" w:space="0" w:color="auto"/>
            </w:tcBorders>
            <w:noWrap/>
            <w:vAlign w:val="center"/>
          </w:tcPr>
          <w:p w14:paraId="73B54CEA" w14:textId="3E3A4DFD" w:rsidR="00697BA3" w:rsidRPr="00CF2C37" w:rsidRDefault="00E57111" w:rsidP="008926D0">
            <w:pPr>
              <w:spacing w:line="240" w:lineRule="auto"/>
              <w:jc w:val="left"/>
              <w:rPr>
                <w:rFonts w:ascii="Times New Roman" w:hAnsi="Times New Roman"/>
                <w:color w:val="auto"/>
                <w:sz w:val="24"/>
              </w:rPr>
            </w:pPr>
            <w:r>
              <w:rPr>
                <w:rFonts w:ascii="Times New Roman" w:hAnsi="Times New Roman"/>
                <w:color w:val="auto"/>
                <w:sz w:val="24"/>
              </w:rPr>
              <w:t>Indolové alkaloidy</w:t>
            </w:r>
          </w:p>
        </w:tc>
        <w:tc>
          <w:tcPr>
            <w:tcW w:w="1701" w:type="dxa"/>
            <w:tcBorders>
              <w:top w:val="single" w:sz="4" w:space="0" w:color="auto"/>
              <w:bottom w:val="single" w:sz="4" w:space="0" w:color="auto"/>
            </w:tcBorders>
            <w:vAlign w:val="center"/>
          </w:tcPr>
          <w:p w14:paraId="0D549D1B" w14:textId="2ED3422C" w:rsidR="00697BA3" w:rsidRPr="00CF2C37" w:rsidRDefault="00E57111" w:rsidP="008926D0">
            <w:pPr>
              <w:spacing w:line="240" w:lineRule="auto"/>
              <w:jc w:val="center"/>
              <w:rPr>
                <w:rFonts w:ascii="Times New Roman" w:hAnsi="Times New Roman"/>
                <w:color w:val="auto"/>
                <w:sz w:val="24"/>
              </w:rPr>
            </w:pPr>
            <w:r>
              <w:rPr>
                <w:rFonts w:ascii="Times New Roman" w:hAnsi="Times New Roman"/>
                <w:color w:val="auto"/>
                <w:sz w:val="24"/>
              </w:rPr>
              <w:t>4</w:t>
            </w:r>
          </w:p>
        </w:tc>
      </w:tr>
      <w:tr w:rsidR="00E57111" w:rsidRPr="009E7127" w14:paraId="32263BFA" w14:textId="77777777" w:rsidTr="008926D0">
        <w:trPr>
          <w:trHeight w:val="285"/>
        </w:trPr>
        <w:tc>
          <w:tcPr>
            <w:tcW w:w="863" w:type="dxa"/>
            <w:tcBorders>
              <w:top w:val="single" w:sz="4" w:space="0" w:color="auto"/>
              <w:bottom w:val="single" w:sz="4" w:space="0" w:color="auto"/>
            </w:tcBorders>
            <w:noWrap/>
            <w:vAlign w:val="center"/>
          </w:tcPr>
          <w:p w14:paraId="0148E490" w14:textId="70ED3B1A" w:rsidR="00E57111" w:rsidRPr="00CF2C37" w:rsidRDefault="00E57111" w:rsidP="00E57111">
            <w:pPr>
              <w:spacing w:before="60" w:after="60" w:line="240" w:lineRule="auto"/>
              <w:jc w:val="center"/>
              <w:rPr>
                <w:rFonts w:ascii="Times New Roman" w:hAnsi="Times New Roman"/>
                <w:color w:val="auto"/>
                <w:sz w:val="24"/>
              </w:rPr>
            </w:pPr>
            <w:r>
              <w:rPr>
                <w:rFonts w:ascii="Times New Roman" w:hAnsi="Times New Roman"/>
                <w:color w:val="auto"/>
                <w:sz w:val="24"/>
              </w:rPr>
              <w:t>4</w:t>
            </w:r>
          </w:p>
        </w:tc>
        <w:tc>
          <w:tcPr>
            <w:tcW w:w="4114" w:type="dxa"/>
            <w:tcBorders>
              <w:top w:val="single" w:sz="4" w:space="0" w:color="auto"/>
              <w:bottom w:val="single" w:sz="4" w:space="0" w:color="auto"/>
              <w:right w:val="single" w:sz="4" w:space="0" w:color="auto"/>
            </w:tcBorders>
            <w:noWrap/>
            <w:vAlign w:val="center"/>
          </w:tcPr>
          <w:p w14:paraId="64750D66" w14:textId="138EDBD2" w:rsidR="00E57111" w:rsidRPr="00CF2C37" w:rsidRDefault="00E57111" w:rsidP="00E57111">
            <w:pPr>
              <w:spacing w:line="240" w:lineRule="auto"/>
              <w:jc w:val="left"/>
              <w:rPr>
                <w:rFonts w:ascii="Times New Roman" w:hAnsi="Times New Roman"/>
                <w:color w:val="auto"/>
                <w:sz w:val="24"/>
              </w:rPr>
            </w:pPr>
            <w:proofErr w:type="spellStart"/>
            <w:r>
              <w:rPr>
                <w:rFonts w:ascii="Times New Roman" w:hAnsi="Times New Roman"/>
                <w:color w:val="auto"/>
                <w:sz w:val="24"/>
              </w:rPr>
              <w:t>Kratom</w:t>
            </w:r>
            <w:proofErr w:type="spellEnd"/>
          </w:p>
        </w:tc>
        <w:tc>
          <w:tcPr>
            <w:tcW w:w="2693" w:type="dxa"/>
            <w:tcBorders>
              <w:top w:val="single" w:sz="4" w:space="0" w:color="auto"/>
              <w:bottom w:val="single" w:sz="4" w:space="0" w:color="auto"/>
            </w:tcBorders>
            <w:noWrap/>
            <w:vAlign w:val="center"/>
          </w:tcPr>
          <w:p w14:paraId="798FFEE2" w14:textId="04CF8E0B" w:rsidR="00E57111" w:rsidRPr="00CF2C37" w:rsidRDefault="00E57111" w:rsidP="00E57111">
            <w:pPr>
              <w:spacing w:line="240" w:lineRule="auto"/>
              <w:jc w:val="left"/>
              <w:rPr>
                <w:rFonts w:ascii="Times New Roman" w:hAnsi="Times New Roman"/>
                <w:color w:val="auto"/>
                <w:sz w:val="24"/>
              </w:rPr>
            </w:pPr>
            <w:r>
              <w:rPr>
                <w:rFonts w:ascii="Times New Roman" w:hAnsi="Times New Roman"/>
                <w:color w:val="auto"/>
                <w:sz w:val="24"/>
              </w:rPr>
              <w:t>Rostliny obsahující psychoaktivní látky</w:t>
            </w:r>
          </w:p>
        </w:tc>
        <w:tc>
          <w:tcPr>
            <w:tcW w:w="1701" w:type="dxa"/>
            <w:tcBorders>
              <w:top w:val="single" w:sz="4" w:space="0" w:color="auto"/>
              <w:bottom w:val="single" w:sz="4" w:space="0" w:color="auto"/>
            </w:tcBorders>
            <w:vAlign w:val="center"/>
          </w:tcPr>
          <w:p w14:paraId="243220EF" w14:textId="382A322B" w:rsidR="00E57111" w:rsidRPr="00CF2C37" w:rsidRDefault="00E57111" w:rsidP="00E57111">
            <w:pPr>
              <w:spacing w:line="240" w:lineRule="auto"/>
              <w:jc w:val="center"/>
              <w:rPr>
                <w:rFonts w:ascii="Times New Roman" w:hAnsi="Times New Roman"/>
                <w:color w:val="auto"/>
                <w:sz w:val="24"/>
              </w:rPr>
            </w:pPr>
            <w:r>
              <w:rPr>
                <w:rFonts w:ascii="Times New Roman" w:hAnsi="Times New Roman"/>
                <w:color w:val="auto"/>
                <w:sz w:val="24"/>
              </w:rPr>
              <w:t>4</w:t>
            </w:r>
          </w:p>
        </w:tc>
      </w:tr>
      <w:tr w:rsidR="00E57111" w:rsidRPr="009E7127" w14:paraId="67D21152" w14:textId="77777777" w:rsidTr="008926D0">
        <w:trPr>
          <w:trHeight w:val="285"/>
        </w:trPr>
        <w:tc>
          <w:tcPr>
            <w:tcW w:w="863" w:type="dxa"/>
            <w:tcBorders>
              <w:top w:val="single" w:sz="4" w:space="0" w:color="auto"/>
              <w:bottom w:val="single" w:sz="4" w:space="0" w:color="auto"/>
            </w:tcBorders>
            <w:noWrap/>
            <w:vAlign w:val="center"/>
          </w:tcPr>
          <w:p w14:paraId="0BF52694" w14:textId="4F89C4C3" w:rsidR="00E57111" w:rsidRPr="00CF2C37" w:rsidRDefault="00E57111" w:rsidP="00E57111">
            <w:pPr>
              <w:spacing w:before="60" w:after="60" w:line="240" w:lineRule="auto"/>
              <w:jc w:val="center"/>
              <w:rPr>
                <w:rFonts w:ascii="Times New Roman" w:hAnsi="Times New Roman"/>
                <w:color w:val="auto"/>
                <w:sz w:val="24"/>
              </w:rPr>
            </w:pPr>
            <w:r>
              <w:rPr>
                <w:rFonts w:ascii="Times New Roman" w:hAnsi="Times New Roman"/>
                <w:color w:val="auto"/>
                <w:sz w:val="24"/>
              </w:rPr>
              <w:t>5</w:t>
            </w:r>
          </w:p>
        </w:tc>
        <w:tc>
          <w:tcPr>
            <w:tcW w:w="4114" w:type="dxa"/>
            <w:tcBorders>
              <w:top w:val="single" w:sz="4" w:space="0" w:color="auto"/>
              <w:bottom w:val="single" w:sz="4" w:space="0" w:color="auto"/>
              <w:right w:val="single" w:sz="4" w:space="0" w:color="auto"/>
            </w:tcBorders>
            <w:noWrap/>
            <w:vAlign w:val="center"/>
          </w:tcPr>
          <w:p w14:paraId="56D5ACD8" w14:textId="734E5EE1" w:rsidR="00E57111" w:rsidRPr="00CF2C37" w:rsidRDefault="00E57111" w:rsidP="00E57111">
            <w:pPr>
              <w:spacing w:line="240" w:lineRule="auto"/>
              <w:jc w:val="left"/>
              <w:rPr>
                <w:rFonts w:ascii="Times New Roman" w:hAnsi="Times New Roman"/>
                <w:color w:val="auto"/>
                <w:sz w:val="24"/>
              </w:rPr>
            </w:pPr>
            <w:proofErr w:type="spellStart"/>
            <w:r>
              <w:rPr>
                <w:rFonts w:ascii="Times New Roman" w:hAnsi="Times New Roman"/>
                <w:color w:val="auto"/>
                <w:sz w:val="24"/>
              </w:rPr>
              <w:t>Mitragynin</w:t>
            </w:r>
            <w:proofErr w:type="spellEnd"/>
          </w:p>
        </w:tc>
        <w:tc>
          <w:tcPr>
            <w:tcW w:w="2693" w:type="dxa"/>
            <w:tcBorders>
              <w:top w:val="single" w:sz="4" w:space="0" w:color="auto"/>
              <w:bottom w:val="single" w:sz="4" w:space="0" w:color="auto"/>
            </w:tcBorders>
            <w:noWrap/>
            <w:vAlign w:val="center"/>
          </w:tcPr>
          <w:p w14:paraId="5E54B355" w14:textId="209AC91D" w:rsidR="00E57111" w:rsidRPr="00CF2C37" w:rsidRDefault="00E57111" w:rsidP="00E57111">
            <w:pPr>
              <w:spacing w:line="240" w:lineRule="auto"/>
              <w:jc w:val="left"/>
              <w:rPr>
                <w:rFonts w:ascii="Times New Roman" w:hAnsi="Times New Roman"/>
                <w:color w:val="auto"/>
                <w:sz w:val="24"/>
              </w:rPr>
            </w:pPr>
            <w:r>
              <w:rPr>
                <w:rFonts w:ascii="Times New Roman" w:hAnsi="Times New Roman"/>
                <w:color w:val="auto"/>
                <w:sz w:val="24"/>
              </w:rPr>
              <w:t>Indolové alkaloidy</w:t>
            </w:r>
          </w:p>
        </w:tc>
        <w:tc>
          <w:tcPr>
            <w:tcW w:w="1701" w:type="dxa"/>
            <w:tcBorders>
              <w:top w:val="single" w:sz="4" w:space="0" w:color="auto"/>
              <w:bottom w:val="single" w:sz="4" w:space="0" w:color="auto"/>
            </w:tcBorders>
            <w:vAlign w:val="center"/>
          </w:tcPr>
          <w:p w14:paraId="7270AE0D" w14:textId="77777777" w:rsidR="00E57111" w:rsidRPr="00CF2C37" w:rsidRDefault="00E57111" w:rsidP="00E57111">
            <w:pPr>
              <w:spacing w:line="240" w:lineRule="auto"/>
              <w:jc w:val="center"/>
              <w:rPr>
                <w:rFonts w:ascii="Times New Roman" w:hAnsi="Times New Roman"/>
                <w:color w:val="auto"/>
                <w:sz w:val="24"/>
              </w:rPr>
            </w:pPr>
            <w:r w:rsidRPr="00CF2C37">
              <w:rPr>
                <w:rFonts w:ascii="Times New Roman" w:hAnsi="Times New Roman"/>
                <w:color w:val="auto"/>
                <w:sz w:val="24"/>
              </w:rPr>
              <w:t>4</w:t>
            </w:r>
          </w:p>
        </w:tc>
      </w:tr>
      <w:tr w:rsidR="00E57111" w:rsidRPr="009E7127" w14:paraId="3AF91CD7" w14:textId="77777777" w:rsidTr="008926D0">
        <w:trPr>
          <w:trHeight w:val="285"/>
        </w:trPr>
        <w:tc>
          <w:tcPr>
            <w:tcW w:w="863" w:type="dxa"/>
            <w:tcBorders>
              <w:top w:val="single" w:sz="4" w:space="0" w:color="auto"/>
              <w:bottom w:val="threeDEngrave" w:sz="24" w:space="0" w:color="auto"/>
            </w:tcBorders>
            <w:noWrap/>
            <w:vAlign w:val="center"/>
          </w:tcPr>
          <w:p w14:paraId="00EF6683" w14:textId="6D221C3F" w:rsidR="00E57111" w:rsidRPr="00CF2C37" w:rsidRDefault="00E57111" w:rsidP="00E57111">
            <w:pPr>
              <w:spacing w:before="60" w:after="60" w:line="240" w:lineRule="auto"/>
              <w:jc w:val="center"/>
              <w:rPr>
                <w:rFonts w:ascii="Times New Roman" w:hAnsi="Times New Roman"/>
                <w:color w:val="auto"/>
                <w:sz w:val="24"/>
              </w:rPr>
            </w:pPr>
            <w:r>
              <w:rPr>
                <w:rFonts w:ascii="Times New Roman" w:hAnsi="Times New Roman"/>
                <w:color w:val="auto"/>
                <w:sz w:val="24"/>
              </w:rPr>
              <w:t>6</w:t>
            </w:r>
          </w:p>
        </w:tc>
        <w:tc>
          <w:tcPr>
            <w:tcW w:w="4114" w:type="dxa"/>
            <w:tcBorders>
              <w:top w:val="single" w:sz="4" w:space="0" w:color="auto"/>
              <w:bottom w:val="threeDEngrave" w:sz="24" w:space="0" w:color="auto"/>
            </w:tcBorders>
            <w:noWrap/>
            <w:vAlign w:val="center"/>
          </w:tcPr>
          <w:p w14:paraId="7B3C5C65" w14:textId="77777777" w:rsidR="00E57111" w:rsidRPr="00CF2C37" w:rsidRDefault="00E57111" w:rsidP="00E57111">
            <w:pPr>
              <w:spacing w:before="60" w:after="60" w:line="240" w:lineRule="auto"/>
              <w:rPr>
                <w:rFonts w:ascii="Times New Roman" w:hAnsi="Times New Roman"/>
                <w:color w:val="auto"/>
                <w:sz w:val="24"/>
              </w:rPr>
            </w:pPr>
            <w:proofErr w:type="spellStart"/>
            <w:r w:rsidRPr="00CF2C37">
              <w:rPr>
                <w:rFonts w:ascii="Times New Roman" w:hAnsi="Times New Roman"/>
                <w:color w:val="auto"/>
                <w:sz w:val="24"/>
              </w:rPr>
              <w:t>Tetrahydrokanabiforol</w:t>
            </w:r>
            <w:proofErr w:type="spellEnd"/>
            <w:r w:rsidRPr="00CF2C37">
              <w:rPr>
                <w:rFonts w:ascii="Times New Roman" w:hAnsi="Times New Roman"/>
                <w:color w:val="auto"/>
                <w:sz w:val="24"/>
              </w:rPr>
              <w:t xml:space="preserve"> (THCP)</w:t>
            </w:r>
          </w:p>
        </w:tc>
        <w:tc>
          <w:tcPr>
            <w:tcW w:w="2693" w:type="dxa"/>
            <w:tcBorders>
              <w:top w:val="single" w:sz="4" w:space="0" w:color="auto"/>
              <w:bottom w:val="threeDEngrave" w:sz="24" w:space="0" w:color="auto"/>
            </w:tcBorders>
            <w:noWrap/>
            <w:vAlign w:val="center"/>
          </w:tcPr>
          <w:p w14:paraId="55B1805C" w14:textId="77777777" w:rsidR="00E57111" w:rsidRPr="00CF2C37" w:rsidRDefault="00E57111" w:rsidP="00E57111">
            <w:pPr>
              <w:spacing w:before="60" w:after="60" w:line="240" w:lineRule="auto"/>
              <w:rPr>
                <w:rFonts w:ascii="Times New Roman" w:hAnsi="Times New Roman"/>
                <w:color w:val="auto"/>
                <w:sz w:val="24"/>
              </w:rPr>
            </w:pPr>
            <w:proofErr w:type="spellStart"/>
            <w:r w:rsidRPr="00CF2C37">
              <w:rPr>
                <w:rFonts w:ascii="Times New Roman" w:hAnsi="Times New Roman"/>
                <w:color w:val="auto"/>
                <w:sz w:val="24"/>
              </w:rPr>
              <w:t>Kanabinoidy</w:t>
            </w:r>
            <w:proofErr w:type="spellEnd"/>
          </w:p>
        </w:tc>
        <w:tc>
          <w:tcPr>
            <w:tcW w:w="1701" w:type="dxa"/>
            <w:tcBorders>
              <w:top w:val="single" w:sz="4" w:space="0" w:color="auto"/>
              <w:bottom w:val="threeDEngrave" w:sz="24" w:space="0" w:color="auto"/>
            </w:tcBorders>
            <w:vAlign w:val="center"/>
          </w:tcPr>
          <w:p w14:paraId="15961D92" w14:textId="77777777" w:rsidR="00E57111" w:rsidRPr="00CF2C37" w:rsidRDefault="00E57111" w:rsidP="00E57111">
            <w:pPr>
              <w:spacing w:line="240" w:lineRule="auto"/>
              <w:jc w:val="center"/>
              <w:rPr>
                <w:rFonts w:ascii="Times New Roman" w:hAnsi="Times New Roman"/>
                <w:color w:val="auto"/>
                <w:sz w:val="24"/>
              </w:rPr>
            </w:pPr>
            <w:r w:rsidRPr="00CF2C37">
              <w:rPr>
                <w:rFonts w:ascii="Times New Roman" w:hAnsi="Times New Roman"/>
                <w:color w:val="auto"/>
                <w:sz w:val="24"/>
              </w:rPr>
              <w:t>4</w:t>
            </w:r>
          </w:p>
        </w:tc>
      </w:tr>
    </w:tbl>
    <w:p w14:paraId="01D443CB" w14:textId="77777777" w:rsidR="0028509A" w:rsidRPr="009E7127" w:rsidRDefault="0028509A" w:rsidP="0028509A">
      <w:pPr>
        <w:spacing w:line="240" w:lineRule="auto"/>
        <w:ind w:firstLine="709"/>
        <w:rPr>
          <w:rFonts w:ascii="Times New Roman" w:hAnsi="Times New Roman"/>
          <w:color w:val="auto"/>
          <w:sz w:val="24"/>
        </w:rPr>
      </w:pPr>
      <w:bookmarkStart w:id="2" w:name="_Hlk57021579"/>
      <w:bookmarkEnd w:id="1"/>
    </w:p>
    <w:bookmarkEnd w:id="2"/>
    <w:p w14:paraId="47397480" w14:textId="77777777" w:rsidR="0028509A" w:rsidRPr="009E7127" w:rsidRDefault="0028509A" w:rsidP="0028509A">
      <w:pPr>
        <w:spacing w:line="240" w:lineRule="auto"/>
        <w:ind w:firstLine="709"/>
        <w:rPr>
          <w:rFonts w:ascii="Times New Roman" w:hAnsi="Times New Roman"/>
          <w:color w:val="auto"/>
          <w:sz w:val="24"/>
        </w:rPr>
      </w:pPr>
      <w:r w:rsidRPr="009E7127">
        <w:rPr>
          <w:rFonts w:ascii="Times New Roman" w:hAnsi="Times New Roman"/>
          <w:color w:val="auto"/>
          <w:sz w:val="24"/>
        </w:rPr>
        <w:t xml:space="preserve">Vzhledem ke skutečnosti, že se jedná o technický předpis, bude návrh nařízení vlády </w:t>
      </w:r>
      <w:r w:rsidRPr="009E7127">
        <w:rPr>
          <w:rFonts w:ascii="Times New Roman" w:hAnsi="Times New Roman"/>
          <w:color w:val="auto"/>
          <w:sz w:val="24"/>
          <w:szCs w:val="20"/>
        </w:rPr>
        <w:t>oznámen v souladu se směrnicí Evropského parlamentu a Rady (EU) 2015/1535 ze dne 9. září 2015 o postupu při poskytování informací v oblasti technických předpisů a předpisů pro služby informační společnosti.</w:t>
      </w:r>
    </w:p>
    <w:p w14:paraId="02371D5C" w14:textId="77777777" w:rsidR="0028509A" w:rsidRPr="0039129E" w:rsidRDefault="0028509A" w:rsidP="0039129E">
      <w:pPr>
        <w:spacing w:line="240" w:lineRule="auto"/>
        <w:ind w:firstLine="709"/>
        <w:rPr>
          <w:rFonts w:ascii="Times New Roman" w:hAnsi="Times New Roman"/>
          <w:color w:val="auto"/>
          <w:sz w:val="24"/>
        </w:rPr>
      </w:pPr>
    </w:p>
    <w:p w14:paraId="733B5659" w14:textId="77777777" w:rsidR="0028509A" w:rsidRPr="0039129E" w:rsidRDefault="0028509A" w:rsidP="0039129E">
      <w:pPr>
        <w:spacing w:line="240" w:lineRule="auto"/>
        <w:rPr>
          <w:rFonts w:ascii="Times New Roman" w:hAnsi="Times New Roman"/>
          <w:b/>
          <w:color w:val="auto"/>
          <w:sz w:val="24"/>
        </w:rPr>
      </w:pPr>
      <w:r w:rsidRPr="0039129E">
        <w:rPr>
          <w:rFonts w:ascii="Times New Roman" w:hAnsi="Times New Roman"/>
          <w:b/>
          <w:color w:val="auto"/>
          <w:sz w:val="24"/>
        </w:rPr>
        <w:t>Zhodnocení souladu navrhované právní úpravy se zákonem, k jehož provedení je navržena, včetně souladu se zákonným zmocněním k jejímu vydání</w:t>
      </w:r>
    </w:p>
    <w:p w14:paraId="466C7C2F" w14:textId="77777777" w:rsidR="0028509A" w:rsidRPr="0039129E" w:rsidRDefault="0028509A" w:rsidP="0039129E">
      <w:pPr>
        <w:spacing w:line="240" w:lineRule="auto"/>
        <w:ind w:firstLine="709"/>
        <w:rPr>
          <w:rFonts w:ascii="Times New Roman" w:hAnsi="Times New Roman"/>
          <w:b/>
          <w:color w:val="auto"/>
          <w:sz w:val="24"/>
        </w:rPr>
      </w:pPr>
    </w:p>
    <w:p w14:paraId="4AE4E79F" w14:textId="77777777" w:rsidR="0028509A" w:rsidRPr="0039129E" w:rsidRDefault="0028509A" w:rsidP="0039129E">
      <w:pPr>
        <w:spacing w:line="240" w:lineRule="auto"/>
        <w:ind w:firstLine="709"/>
        <w:rPr>
          <w:rFonts w:ascii="Times New Roman" w:hAnsi="Times New Roman"/>
          <w:color w:val="auto"/>
          <w:sz w:val="24"/>
        </w:rPr>
      </w:pPr>
      <w:r w:rsidRPr="0039129E">
        <w:rPr>
          <w:rFonts w:ascii="Times New Roman" w:hAnsi="Times New Roman"/>
          <w:color w:val="auto"/>
          <w:sz w:val="24"/>
        </w:rPr>
        <w:t>Návrh novelizace nařízení vlády je zcela v souladu se zákonem stejně jako se zmocněním uvedeným v § 44c odst. 1 a odst. 2 zákona, k jehož provedení se navrhuje.</w:t>
      </w:r>
    </w:p>
    <w:p w14:paraId="0FED2C29" w14:textId="77777777" w:rsidR="0028509A" w:rsidRPr="0039129E" w:rsidRDefault="0028509A" w:rsidP="0039129E">
      <w:pPr>
        <w:spacing w:line="240" w:lineRule="auto"/>
        <w:ind w:firstLine="709"/>
        <w:rPr>
          <w:rFonts w:ascii="Times New Roman" w:hAnsi="Times New Roman"/>
          <w:color w:val="auto"/>
          <w:sz w:val="24"/>
        </w:rPr>
      </w:pPr>
    </w:p>
    <w:p w14:paraId="18C3E708" w14:textId="77777777" w:rsidR="0028509A" w:rsidRPr="0039129E" w:rsidRDefault="0028509A" w:rsidP="0039129E">
      <w:pPr>
        <w:suppressAutoHyphens/>
        <w:spacing w:line="240" w:lineRule="auto"/>
        <w:rPr>
          <w:rFonts w:ascii="Times New Roman" w:hAnsi="Times New Roman" w:cs="Arial"/>
          <w:b/>
          <w:color w:val="auto"/>
          <w:sz w:val="24"/>
          <w:szCs w:val="20"/>
        </w:rPr>
      </w:pPr>
      <w:r w:rsidRPr="0039129E">
        <w:rPr>
          <w:rFonts w:ascii="Times New Roman" w:hAnsi="Times New Roman" w:cs="Arial"/>
          <w:b/>
          <w:color w:val="auto"/>
          <w:sz w:val="24"/>
          <w:szCs w:val="20"/>
        </w:rPr>
        <w:t xml:space="preserve">Zhodnocení souladu navrhované právní úpravy s předpisy Evropské unie, judikaturou soudních orgánů Evropské unie a obecnými právními zásadami práva Evropské unie </w:t>
      </w:r>
      <w:r w:rsidRPr="0039129E">
        <w:rPr>
          <w:rFonts w:ascii="Times New Roman" w:hAnsi="Times New Roman" w:cs="Arial"/>
          <w:b/>
          <w:color w:val="auto"/>
          <w:sz w:val="24"/>
          <w:szCs w:val="20"/>
        </w:rPr>
        <w:br/>
        <w:t>a mezinárodními úmluvami</w:t>
      </w:r>
    </w:p>
    <w:p w14:paraId="2E82D1FC" w14:textId="77777777" w:rsidR="0028509A" w:rsidRPr="0039129E" w:rsidRDefault="0028509A" w:rsidP="0039129E">
      <w:pPr>
        <w:spacing w:line="240" w:lineRule="auto"/>
        <w:rPr>
          <w:rFonts w:ascii="Times New Roman" w:hAnsi="Times New Roman"/>
          <w:color w:val="auto"/>
          <w:sz w:val="24"/>
        </w:rPr>
      </w:pPr>
    </w:p>
    <w:p w14:paraId="6BBE6D3D" w14:textId="77777777" w:rsidR="0028509A" w:rsidRPr="0039129E" w:rsidRDefault="0028509A" w:rsidP="0039129E">
      <w:pPr>
        <w:tabs>
          <w:tab w:val="left" w:pos="851"/>
        </w:tabs>
        <w:spacing w:after="120" w:line="240" w:lineRule="auto"/>
        <w:ind w:right="227" w:firstLine="709"/>
        <w:outlineLvl w:val="6"/>
        <w:rPr>
          <w:rFonts w:ascii="Times New Roman" w:hAnsi="Times New Roman"/>
          <w:color w:val="auto"/>
          <w:sz w:val="24"/>
          <w:szCs w:val="20"/>
        </w:rPr>
      </w:pPr>
      <w:r w:rsidRPr="0039129E">
        <w:rPr>
          <w:rFonts w:ascii="Times New Roman" w:hAnsi="Times New Roman"/>
          <w:color w:val="auto"/>
          <w:sz w:val="24"/>
          <w:szCs w:val="20"/>
        </w:rPr>
        <w:t>Návrh novelizace nařízení vlády je slučitelný s mezinárodními úmluvami, kterými jsou:</w:t>
      </w:r>
    </w:p>
    <w:p w14:paraId="03719BF3" w14:textId="653CF8DF" w:rsidR="0028509A" w:rsidRPr="0039129E" w:rsidRDefault="0028509A" w:rsidP="0039129E">
      <w:pPr>
        <w:numPr>
          <w:ilvl w:val="0"/>
          <w:numId w:val="1"/>
        </w:numPr>
        <w:spacing w:line="240" w:lineRule="auto"/>
        <w:contextualSpacing/>
        <w:rPr>
          <w:rFonts w:ascii="Times New Roman" w:hAnsi="Times New Roman"/>
          <w:color w:val="auto"/>
          <w:sz w:val="24"/>
        </w:rPr>
      </w:pPr>
      <w:r w:rsidRPr="0039129E">
        <w:rPr>
          <w:rFonts w:ascii="Times New Roman" w:hAnsi="Times New Roman"/>
          <w:color w:val="auto"/>
          <w:sz w:val="24"/>
        </w:rPr>
        <w:t>Jednotná úmluva OSN o omamných látkách z roku 1961</w:t>
      </w:r>
      <w:r w:rsidR="0081607C">
        <w:rPr>
          <w:rFonts w:ascii="Times New Roman" w:hAnsi="Times New Roman"/>
          <w:color w:val="auto"/>
          <w:sz w:val="24"/>
        </w:rPr>
        <w:t>,</w:t>
      </w:r>
    </w:p>
    <w:p w14:paraId="38786436" w14:textId="6F2464F1" w:rsidR="0028509A" w:rsidRPr="0039129E" w:rsidRDefault="0028509A" w:rsidP="0039129E">
      <w:pPr>
        <w:numPr>
          <w:ilvl w:val="0"/>
          <w:numId w:val="1"/>
        </w:numPr>
        <w:spacing w:line="240" w:lineRule="auto"/>
        <w:contextualSpacing/>
        <w:rPr>
          <w:rFonts w:ascii="Times New Roman" w:hAnsi="Times New Roman"/>
          <w:color w:val="auto"/>
          <w:sz w:val="24"/>
        </w:rPr>
      </w:pPr>
      <w:r w:rsidRPr="0039129E">
        <w:rPr>
          <w:rFonts w:ascii="Times New Roman" w:hAnsi="Times New Roman"/>
          <w:color w:val="auto"/>
          <w:sz w:val="24"/>
        </w:rPr>
        <w:t>Úmluva OSN o psychotropních látkách z roku 1971</w:t>
      </w:r>
      <w:r w:rsidR="0081607C">
        <w:rPr>
          <w:rFonts w:ascii="Times New Roman" w:hAnsi="Times New Roman"/>
          <w:color w:val="auto"/>
          <w:sz w:val="24"/>
        </w:rPr>
        <w:t>,</w:t>
      </w:r>
    </w:p>
    <w:p w14:paraId="7DA94886" w14:textId="77777777" w:rsidR="0028509A" w:rsidRPr="0039129E" w:rsidRDefault="0028509A" w:rsidP="0039129E">
      <w:pPr>
        <w:spacing w:line="240" w:lineRule="auto"/>
        <w:contextualSpacing/>
        <w:rPr>
          <w:rFonts w:ascii="Times New Roman" w:hAnsi="Times New Roman"/>
          <w:color w:val="auto"/>
          <w:sz w:val="24"/>
        </w:rPr>
      </w:pPr>
    </w:p>
    <w:p w14:paraId="625045DF" w14:textId="77777777" w:rsidR="0028509A" w:rsidRPr="0039129E" w:rsidRDefault="0028509A" w:rsidP="0039129E">
      <w:pPr>
        <w:spacing w:line="240" w:lineRule="auto"/>
        <w:contextualSpacing/>
        <w:rPr>
          <w:rFonts w:ascii="Times New Roman" w:hAnsi="Times New Roman"/>
          <w:color w:val="auto"/>
          <w:sz w:val="24"/>
        </w:rPr>
      </w:pPr>
      <w:r w:rsidRPr="0039129E">
        <w:rPr>
          <w:rFonts w:ascii="Times New Roman" w:hAnsi="Times New Roman"/>
          <w:color w:val="auto"/>
          <w:sz w:val="24"/>
        </w:rPr>
        <w:t>a dále s právními akty Evropské unie:</w:t>
      </w:r>
    </w:p>
    <w:p w14:paraId="3C956C54" w14:textId="77777777" w:rsidR="0028509A" w:rsidRPr="0039129E" w:rsidRDefault="0028509A" w:rsidP="0039129E">
      <w:pPr>
        <w:spacing w:line="240" w:lineRule="auto"/>
        <w:contextualSpacing/>
        <w:rPr>
          <w:rFonts w:ascii="Times New Roman" w:hAnsi="Times New Roman"/>
          <w:color w:val="auto"/>
          <w:sz w:val="24"/>
        </w:rPr>
      </w:pPr>
    </w:p>
    <w:p w14:paraId="4B69B712" w14:textId="77777777" w:rsidR="0028509A" w:rsidRPr="0039129E" w:rsidRDefault="0028509A" w:rsidP="0039129E">
      <w:pPr>
        <w:numPr>
          <w:ilvl w:val="0"/>
          <w:numId w:val="1"/>
        </w:numPr>
        <w:spacing w:after="240" w:line="240" w:lineRule="auto"/>
        <w:rPr>
          <w:rFonts w:ascii="Times New Roman" w:hAnsi="Times New Roman"/>
          <w:bCs/>
          <w:color w:val="auto"/>
          <w:sz w:val="24"/>
        </w:rPr>
      </w:pPr>
      <w:r w:rsidRPr="0039129E">
        <w:rPr>
          <w:rFonts w:ascii="Times New Roman" w:hAnsi="Times New Roman"/>
          <w:bCs/>
          <w:color w:val="auto"/>
          <w:sz w:val="24"/>
          <w:szCs w:val="22"/>
        </w:rPr>
        <w:t>čl. 34 a násl. Smlouvy o fungování Evropské unie,</w:t>
      </w:r>
    </w:p>
    <w:p w14:paraId="31A0FE3D" w14:textId="77777777" w:rsidR="0028509A" w:rsidRPr="0039129E" w:rsidRDefault="0028509A" w:rsidP="0039129E">
      <w:pPr>
        <w:numPr>
          <w:ilvl w:val="0"/>
          <w:numId w:val="1"/>
        </w:numPr>
        <w:spacing w:after="240" w:line="240" w:lineRule="auto"/>
        <w:rPr>
          <w:rFonts w:ascii="Times New Roman" w:hAnsi="Times New Roman"/>
          <w:color w:val="auto"/>
          <w:sz w:val="24"/>
          <w:szCs w:val="22"/>
        </w:rPr>
      </w:pPr>
      <w:r w:rsidRPr="0039129E">
        <w:rPr>
          <w:rFonts w:ascii="Times New Roman" w:hAnsi="Times New Roman"/>
          <w:color w:val="auto"/>
          <w:sz w:val="24"/>
          <w:szCs w:val="22"/>
        </w:rPr>
        <w:t>rozhodnutí Rady 1999/615/SVV ze dne 13. září 1999, kterým se definuje 4-MTA jako nová syntetická droga, která musí být podrobena kontrolním opatřením a trestům,</w:t>
      </w:r>
    </w:p>
    <w:p w14:paraId="084635B1" w14:textId="097DFB68" w:rsidR="0028509A" w:rsidRPr="0039129E" w:rsidRDefault="0028509A" w:rsidP="0039129E">
      <w:pPr>
        <w:numPr>
          <w:ilvl w:val="0"/>
          <w:numId w:val="1"/>
        </w:numPr>
        <w:spacing w:after="240" w:line="240" w:lineRule="auto"/>
        <w:rPr>
          <w:rFonts w:ascii="Times New Roman" w:hAnsi="Times New Roman"/>
          <w:color w:val="auto"/>
          <w:sz w:val="24"/>
          <w:szCs w:val="22"/>
        </w:rPr>
      </w:pPr>
      <w:r w:rsidRPr="0039129E">
        <w:rPr>
          <w:rFonts w:ascii="Times New Roman" w:hAnsi="Times New Roman"/>
          <w:color w:val="auto"/>
          <w:sz w:val="24"/>
          <w:szCs w:val="22"/>
        </w:rPr>
        <w:t>rozhodnutí Rady 2002/188/SVV ze dne 28. února 2002 o kontrolních opatřeních a</w:t>
      </w:r>
      <w:r w:rsidR="0022460C">
        <w:rPr>
          <w:rFonts w:ascii="Times New Roman" w:hAnsi="Times New Roman"/>
          <w:color w:val="auto"/>
          <w:sz w:val="24"/>
          <w:szCs w:val="22"/>
        </w:rPr>
        <w:t> </w:t>
      </w:r>
      <w:r w:rsidRPr="0039129E">
        <w:rPr>
          <w:rFonts w:ascii="Times New Roman" w:hAnsi="Times New Roman"/>
          <w:color w:val="auto"/>
          <w:sz w:val="24"/>
          <w:szCs w:val="22"/>
        </w:rPr>
        <w:t>trestních sankcích v souvislosti s novou syntetickou drogou PMMA,</w:t>
      </w:r>
    </w:p>
    <w:p w14:paraId="08867E60" w14:textId="7EB1E013" w:rsidR="0028509A" w:rsidRPr="0039129E" w:rsidRDefault="0028509A" w:rsidP="0039129E">
      <w:pPr>
        <w:numPr>
          <w:ilvl w:val="0"/>
          <w:numId w:val="1"/>
        </w:numPr>
        <w:spacing w:after="240" w:line="240" w:lineRule="auto"/>
        <w:rPr>
          <w:rFonts w:ascii="Times New Roman" w:hAnsi="Times New Roman"/>
          <w:color w:val="auto"/>
          <w:sz w:val="24"/>
          <w:szCs w:val="22"/>
        </w:rPr>
      </w:pPr>
      <w:r w:rsidRPr="0039129E">
        <w:rPr>
          <w:rFonts w:ascii="Times New Roman" w:hAnsi="Times New Roman"/>
          <w:color w:val="auto"/>
          <w:sz w:val="24"/>
          <w:szCs w:val="22"/>
        </w:rPr>
        <w:t>rozhodnutí Rady 2003/847/SVV ze dne 27. listopadu 2003 o kontrolních opatřeních a</w:t>
      </w:r>
      <w:r w:rsidR="0022460C">
        <w:rPr>
          <w:rFonts w:ascii="Times New Roman" w:hAnsi="Times New Roman"/>
          <w:color w:val="auto"/>
          <w:sz w:val="24"/>
          <w:szCs w:val="22"/>
        </w:rPr>
        <w:t> </w:t>
      </w:r>
      <w:r w:rsidRPr="0039129E">
        <w:rPr>
          <w:rFonts w:ascii="Times New Roman" w:hAnsi="Times New Roman"/>
          <w:color w:val="auto"/>
          <w:sz w:val="24"/>
          <w:szCs w:val="22"/>
        </w:rPr>
        <w:t xml:space="preserve">trestních sankcích ve vztahu k novým syntetickým drogám </w:t>
      </w:r>
      <w:proofErr w:type="gramStart"/>
      <w:r w:rsidRPr="0039129E">
        <w:rPr>
          <w:rFonts w:ascii="Times New Roman" w:hAnsi="Times New Roman"/>
          <w:color w:val="auto"/>
          <w:sz w:val="24"/>
          <w:szCs w:val="22"/>
        </w:rPr>
        <w:t>2C</w:t>
      </w:r>
      <w:proofErr w:type="gramEnd"/>
      <w:r w:rsidRPr="0039129E">
        <w:rPr>
          <w:rFonts w:ascii="Times New Roman" w:hAnsi="Times New Roman"/>
          <w:color w:val="auto"/>
          <w:sz w:val="24"/>
          <w:szCs w:val="22"/>
        </w:rPr>
        <w:t>-I, 2C-T-2, 2C-T-7 a</w:t>
      </w:r>
      <w:r w:rsidR="0022460C">
        <w:rPr>
          <w:rFonts w:ascii="Times New Roman" w:hAnsi="Times New Roman"/>
          <w:color w:val="auto"/>
          <w:sz w:val="24"/>
          <w:szCs w:val="22"/>
        </w:rPr>
        <w:t> </w:t>
      </w:r>
      <w:r w:rsidRPr="0039129E">
        <w:rPr>
          <w:rFonts w:ascii="Times New Roman" w:hAnsi="Times New Roman"/>
          <w:color w:val="auto"/>
          <w:sz w:val="24"/>
          <w:szCs w:val="22"/>
        </w:rPr>
        <w:t>TMA-2,</w:t>
      </w:r>
    </w:p>
    <w:p w14:paraId="634383B4" w14:textId="7BEB4970" w:rsidR="003E6B13" w:rsidRDefault="003E6B13" w:rsidP="0039129E">
      <w:pPr>
        <w:pStyle w:val="Odstavecseseznamem"/>
        <w:numPr>
          <w:ilvl w:val="0"/>
          <w:numId w:val="1"/>
        </w:numPr>
        <w:rPr>
          <w:rFonts w:ascii="Times New Roman" w:hAnsi="Times New Roman"/>
          <w:color w:val="auto"/>
          <w:sz w:val="24"/>
          <w:szCs w:val="22"/>
        </w:rPr>
      </w:pPr>
      <w:r w:rsidRPr="0039129E">
        <w:rPr>
          <w:rFonts w:ascii="Times New Roman" w:hAnsi="Times New Roman"/>
          <w:color w:val="auto"/>
          <w:sz w:val="24"/>
          <w:szCs w:val="22"/>
        </w:rPr>
        <w:lastRenderedPageBreak/>
        <w:t>rámcové rozhodnutí Rady 2004/757/SVV ze dne 25. října 2004, kterým se stanoví minimální ustanovení týkající se znaků skutkových podstat trestných činů a sankcí v</w:t>
      </w:r>
      <w:r w:rsidR="0022460C">
        <w:rPr>
          <w:rFonts w:ascii="Times New Roman" w:hAnsi="Times New Roman"/>
          <w:color w:val="auto"/>
          <w:sz w:val="24"/>
          <w:szCs w:val="22"/>
        </w:rPr>
        <w:t> </w:t>
      </w:r>
      <w:r w:rsidRPr="0039129E">
        <w:rPr>
          <w:rFonts w:ascii="Times New Roman" w:hAnsi="Times New Roman"/>
          <w:color w:val="auto"/>
          <w:sz w:val="24"/>
          <w:szCs w:val="22"/>
        </w:rPr>
        <w:t>oblasti nedovoleného obchodu s drogami,</w:t>
      </w:r>
    </w:p>
    <w:p w14:paraId="0C6D48E0" w14:textId="77777777" w:rsidR="0022460C" w:rsidRPr="0039129E" w:rsidRDefault="0022460C" w:rsidP="0022460C">
      <w:pPr>
        <w:pStyle w:val="Odstavecseseznamem"/>
        <w:rPr>
          <w:rFonts w:ascii="Times New Roman" w:hAnsi="Times New Roman"/>
          <w:color w:val="auto"/>
          <w:sz w:val="24"/>
          <w:szCs w:val="22"/>
        </w:rPr>
      </w:pPr>
    </w:p>
    <w:p w14:paraId="2AAAEFC2" w14:textId="77777777" w:rsidR="0028509A" w:rsidRPr="0039129E" w:rsidRDefault="0028509A" w:rsidP="0039129E">
      <w:pPr>
        <w:numPr>
          <w:ilvl w:val="0"/>
          <w:numId w:val="1"/>
        </w:numPr>
        <w:spacing w:after="240" w:line="240" w:lineRule="auto"/>
        <w:rPr>
          <w:rFonts w:ascii="Times New Roman" w:hAnsi="Times New Roman"/>
          <w:color w:val="auto"/>
          <w:sz w:val="24"/>
          <w:szCs w:val="22"/>
        </w:rPr>
      </w:pPr>
      <w:r w:rsidRPr="0039129E">
        <w:rPr>
          <w:rFonts w:ascii="Times New Roman" w:hAnsi="Times New Roman"/>
          <w:color w:val="auto"/>
          <w:sz w:val="24"/>
          <w:szCs w:val="22"/>
        </w:rPr>
        <w:t>rozhodnutí Rady 2005/387/JVV ze dne 10. května 2005 o výměně informací, hodnocení rizika a kontrole nových psychoaktivních látek,</w:t>
      </w:r>
    </w:p>
    <w:p w14:paraId="7ABCB8DE" w14:textId="77777777" w:rsidR="0028509A" w:rsidRPr="0039129E" w:rsidRDefault="0028509A" w:rsidP="0039129E">
      <w:pPr>
        <w:numPr>
          <w:ilvl w:val="0"/>
          <w:numId w:val="1"/>
        </w:numPr>
        <w:spacing w:after="240" w:line="240" w:lineRule="auto"/>
        <w:rPr>
          <w:rFonts w:ascii="Times New Roman" w:hAnsi="Times New Roman"/>
          <w:color w:val="auto"/>
          <w:sz w:val="24"/>
          <w:szCs w:val="22"/>
        </w:rPr>
      </w:pPr>
      <w:r w:rsidRPr="0039129E">
        <w:rPr>
          <w:rFonts w:ascii="Times New Roman" w:hAnsi="Times New Roman"/>
          <w:color w:val="auto"/>
          <w:sz w:val="24"/>
          <w:szCs w:val="22"/>
        </w:rPr>
        <w:t xml:space="preserve">rozhodnutí Rady 2008/206/JVV ze dne 3. března 2008 o vymezení </w:t>
      </w:r>
      <w:proofErr w:type="gramStart"/>
      <w:r w:rsidRPr="0039129E">
        <w:rPr>
          <w:rFonts w:ascii="Times New Roman" w:hAnsi="Times New Roman"/>
          <w:color w:val="auto"/>
          <w:sz w:val="24"/>
          <w:szCs w:val="22"/>
        </w:rPr>
        <w:t>1-benzylpiperazinu</w:t>
      </w:r>
      <w:proofErr w:type="gramEnd"/>
      <w:r w:rsidRPr="0039129E">
        <w:rPr>
          <w:rFonts w:ascii="Times New Roman" w:hAnsi="Times New Roman"/>
          <w:color w:val="auto"/>
          <w:sz w:val="24"/>
          <w:szCs w:val="22"/>
        </w:rPr>
        <w:t xml:space="preserve"> (BZP) jako nové psychoaktivní látky, která má podléhat kontrolním opatřením </w:t>
      </w:r>
      <w:r w:rsidRPr="0039129E">
        <w:rPr>
          <w:rFonts w:ascii="Times New Roman" w:hAnsi="Times New Roman"/>
          <w:color w:val="auto"/>
          <w:sz w:val="24"/>
          <w:szCs w:val="22"/>
        </w:rPr>
        <w:br/>
        <w:t>a trestněprávním ustanovením,</w:t>
      </w:r>
    </w:p>
    <w:p w14:paraId="350D2338" w14:textId="77777777" w:rsidR="0028509A" w:rsidRPr="0039129E" w:rsidRDefault="0028509A" w:rsidP="0039129E">
      <w:pPr>
        <w:numPr>
          <w:ilvl w:val="0"/>
          <w:numId w:val="1"/>
        </w:numPr>
        <w:spacing w:after="240" w:line="240" w:lineRule="auto"/>
        <w:rPr>
          <w:rFonts w:ascii="Times New Roman" w:hAnsi="Times New Roman"/>
          <w:color w:val="auto"/>
          <w:sz w:val="24"/>
          <w:szCs w:val="22"/>
        </w:rPr>
      </w:pPr>
      <w:r w:rsidRPr="0039129E">
        <w:rPr>
          <w:rFonts w:ascii="Times New Roman" w:hAnsi="Times New Roman"/>
          <w:color w:val="auto"/>
          <w:sz w:val="24"/>
          <w:szCs w:val="22"/>
        </w:rPr>
        <w:t>rozhodnutí Rady 2010/759/EU ze dne 2. prosince 2010 o podrobení 4-methylmethkatinonu (</w:t>
      </w:r>
      <w:proofErr w:type="spellStart"/>
      <w:r w:rsidRPr="0039129E">
        <w:rPr>
          <w:rFonts w:ascii="Times New Roman" w:hAnsi="Times New Roman"/>
          <w:color w:val="auto"/>
          <w:sz w:val="24"/>
          <w:szCs w:val="22"/>
        </w:rPr>
        <w:t>mefedronu</w:t>
      </w:r>
      <w:proofErr w:type="spellEnd"/>
      <w:r w:rsidRPr="0039129E">
        <w:rPr>
          <w:rFonts w:ascii="Times New Roman" w:hAnsi="Times New Roman"/>
          <w:color w:val="auto"/>
          <w:sz w:val="24"/>
          <w:szCs w:val="22"/>
        </w:rPr>
        <w:t>) kontrolním opatřením,</w:t>
      </w:r>
    </w:p>
    <w:p w14:paraId="540CFDE0" w14:textId="77777777" w:rsidR="0028509A" w:rsidRPr="0039129E" w:rsidRDefault="0028509A" w:rsidP="0039129E">
      <w:pPr>
        <w:numPr>
          <w:ilvl w:val="0"/>
          <w:numId w:val="1"/>
        </w:numPr>
        <w:spacing w:after="240" w:line="240" w:lineRule="auto"/>
        <w:rPr>
          <w:rFonts w:ascii="Times New Roman" w:hAnsi="Times New Roman"/>
          <w:color w:val="auto"/>
          <w:sz w:val="24"/>
          <w:szCs w:val="22"/>
        </w:rPr>
      </w:pPr>
      <w:r w:rsidRPr="0039129E">
        <w:rPr>
          <w:rFonts w:ascii="Times New Roman" w:hAnsi="Times New Roman"/>
          <w:color w:val="auto"/>
          <w:sz w:val="24"/>
          <w:szCs w:val="22"/>
        </w:rPr>
        <w:t xml:space="preserve">prováděcí rozhodnutí </w:t>
      </w:r>
      <w:bookmarkStart w:id="3" w:name="http://eur-lex.europa.eu/legal-content/A"/>
      <w:bookmarkEnd w:id="3"/>
      <w:r w:rsidRPr="0039129E">
        <w:rPr>
          <w:rFonts w:ascii="Times New Roman" w:hAnsi="Times New Roman"/>
          <w:color w:val="auto"/>
          <w:sz w:val="24"/>
          <w:szCs w:val="22"/>
        </w:rPr>
        <w:fldChar w:fldCharType="begin"/>
      </w:r>
      <w:r w:rsidRPr="0039129E">
        <w:rPr>
          <w:rFonts w:ascii="Times New Roman" w:hAnsi="Times New Roman"/>
          <w:color w:val="auto"/>
          <w:sz w:val="24"/>
          <w:szCs w:val="22"/>
        </w:rPr>
        <w:instrText xml:space="preserve"> HYPERLINK "http://eur-lex.europa.eu/legal-content/AUTO/?uri=CELEX:32015D1873&amp;qid=1473860847870&amp;rid=8" </w:instrText>
      </w:r>
      <w:r w:rsidRPr="0039129E">
        <w:rPr>
          <w:rFonts w:ascii="Times New Roman" w:hAnsi="Times New Roman"/>
          <w:color w:val="auto"/>
          <w:sz w:val="24"/>
          <w:szCs w:val="22"/>
        </w:rPr>
        <w:fldChar w:fldCharType="separate"/>
      </w:r>
      <w:r w:rsidRPr="0039129E">
        <w:rPr>
          <w:rFonts w:ascii="Times New Roman" w:hAnsi="Times New Roman"/>
          <w:color w:val="auto"/>
          <w:sz w:val="24"/>
          <w:szCs w:val="22"/>
        </w:rPr>
        <w:t xml:space="preserve">Prováděcí rozhodnutí Rady (EU) 2015/1873 ze dne 8. října 2015 </w:t>
      </w:r>
      <w:r w:rsidRPr="0039129E">
        <w:rPr>
          <w:rFonts w:ascii="Times New Roman" w:hAnsi="Times New Roman"/>
          <w:color w:val="auto"/>
          <w:sz w:val="24"/>
          <w:szCs w:val="22"/>
        </w:rPr>
        <w:br/>
        <w:t>o podrobení 4-methyl-5-(4-</w:t>
      </w:r>
      <w:proofErr w:type="gramStart"/>
      <w:r w:rsidRPr="0039129E">
        <w:rPr>
          <w:rFonts w:ascii="Times New Roman" w:hAnsi="Times New Roman"/>
          <w:color w:val="auto"/>
          <w:sz w:val="24"/>
          <w:szCs w:val="22"/>
        </w:rPr>
        <w:t>methylfenyl)-</w:t>
      </w:r>
      <w:proofErr w:type="gramEnd"/>
      <w:r w:rsidRPr="0039129E">
        <w:rPr>
          <w:rFonts w:ascii="Times New Roman" w:hAnsi="Times New Roman"/>
          <w:color w:val="auto"/>
          <w:sz w:val="24"/>
          <w:szCs w:val="22"/>
        </w:rPr>
        <w:t>4,5-dihydrooxazol-2-aminu (4,4′-DMAR) a 1-cyklohexyl-4-(1,2-difenylethyl)-piperazinu (MT-45) kontrolním opatřením</w:t>
      </w:r>
      <w:r w:rsidRPr="0039129E">
        <w:rPr>
          <w:rFonts w:ascii="Times New Roman" w:hAnsi="Times New Roman"/>
          <w:color w:val="auto"/>
          <w:sz w:val="24"/>
          <w:szCs w:val="22"/>
        </w:rPr>
        <w:fldChar w:fldCharType="end"/>
      </w:r>
      <w:r w:rsidRPr="0039129E">
        <w:rPr>
          <w:rFonts w:ascii="Times New Roman" w:hAnsi="Times New Roman"/>
          <w:color w:val="auto"/>
          <w:sz w:val="24"/>
          <w:szCs w:val="22"/>
        </w:rPr>
        <w:t>,</w:t>
      </w:r>
    </w:p>
    <w:p w14:paraId="11744EBF" w14:textId="77777777" w:rsidR="0028509A" w:rsidRPr="0039129E" w:rsidRDefault="0013346B" w:rsidP="0039129E">
      <w:pPr>
        <w:numPr>
          <w:ilvl w:val="0"/>
          <w:numId w:val="1"/>
        </w:numPr>
        <w:spacing w:after="240" w:line="240" w:lineRule="auto"/>
        <w:rPr>
          <w:rFonts w:ascii="Times New Roman" w:hAnsi="Times New Roman"/>
          <w:color w:val="auto"/>
          <w:sz w:val="24"/>
          <w:szCs w:val="22"/>
        </w:rPr>
      </w:pPr>
      <w:hyperlink r:id="rId7" w:history="1">
        <w:r w:rsidR="0028509A" w:rsidRPr="0039129E">
          <w:rPr>
            <w:rFonts w:ascii="Times New Roman" w:hAnsi="Times New Roman"/>
            <w:color w:val="auto"/>
            <w:sz w:val="24"/>
            <w:szCs w:val="22"/>
          </w:rPr>
          <w:t xml:space="preserve">prováděcí rozhodnutí Rady (EU) 2015/1874 ze dne 8. října 2015 o podrobení </w:t>
        </w:r>
        <w:proofErr w:type="gramStart"/>
        <w:r w:rsidR="0028509A" w:rsidRPr="0039129E">
          <w:rPr>
            <w:rFonts w:ascii="Times New Roman" w:hAnsi="Times New Roman"/>
            <w:color w:val="auto"/>
            <w:sz w:val="24"/>
            <w:szCs w:val="22"/>
          </w:rPr>
          <w:t>4-metamfetaminu</w:t>
        </w:r>
        <w:proofErr w:type="gramEnd"/>
        <w:r w:rsidR="0028509A" w:rsidRPr="0039129E">
          <w:rPr>
            <w:rFonts w:ascii="Times New Roman" w:hAnsi="Times New Roman"/>
            <w:color w:val="auto"/>
            <w:sz w:val="24"/>
            <w:szCs w:val="22"/>
          </w:rPr>
          <w:t xml:space="preserve"> kontrolním opatřením</w:t>
        </w:r>
      </w:hyperlink>
      <w:r w:rsidR="0028509A" w:rsidRPr="0039129E">
        <w:rPr>
          <w:rFonts w:ascii="Times New Roman" w:hAnsi="Times New Roman"/>
          <w:color w:val="auto"/>
          <w:sz w:val="24"/>
          <w:szCs w:val="22"/>
        </w:rPr>
        <w:t>,</w:t>
      </w:r>
    </w:p>
    <w:p w14:paraId="35FDBD18" w14:textId="77777777" w:rsidR="0028509A" w:rsidRPr="009E7127" w:rsidRDefault="0013346B" w:rsidP="0039129E">
      <w:pPr>
        <w:numPr>
          <w:ilvl w:val="0"/>
          <w:numId w:val="1"/>
        </w:numPr>
        <w:spacing w:after="240" w:line="240" w:lineRule="auto"/>
        <w:rPr>
          <w:rFonts w:ascii="Times New Roman" w:hAnsi="Times New Roman"/>
          <w:color w:val="auto"/>
          <w:sz w:val="24"/>
          <w:szCs w:val="22"/>
        </w:rPr>
      </w:pPr>
      <w:hyperlink r:id="rId8" w:history="1">
        <w:r w:rsidR="0028509A" w:rsidRPr="0039129E">
          <w:rPr>
            <w:rFonts w:ascii="Times New Roman" w:hAnsi="Times New Roman"/>
            <w:color w:val="auto"/>
            <w:sz w:val="24"/>
            <w:szCs w:val="22"/>
          </w:rPr>
          <w:t>prováděcí rozhodnutí Rady (EU) 2015/1875 ze dne 8. října 2015 o podrobení 4-jod-2,5-dimethoxy-N-(2-</w:t>
        </w:r>
        <w:proofErr w:type="gramStart"/>
        <w:r w:rsidR="0028509A" w:rsidRPr="0039129E">
          <w:rPr>
            <w:rFonts w:ascii="Times New Roman" w:hAnsi="Times New Roman"/>
            <w:color w:val="auto"/>
            <w:sz w:val="24"/>
            <w:szCs w:val="22"/>
          </w:rPr>
          <w:t>methoxybenzyl)</w:t>
        </w:r>
        <w:proofErr w:type="spellStart"/>
        <w:r w:rsidR="0028509A" w:rsidRPr="0039129E">
          <w:rPr>
            <w:rFonts w:ascii="Times New Roman" w:hAnsi="Times New Roman"/>
            <w:color w:val="auto"/>
            <w:sz w:val="24"/>
            <w:szCs w:val="22"/>
          </w:rPr>
          <w:t>fenethylaminu</w:t>
        </w:r>
        <w:proofErr w:type="spellEnd"/>
        <w:proofErr w:type="gramEnd"/>
        <w:r w:rsidR="0028509A" w:rsidRPr="0039129E">
          <w:rPr>
            <w:rFonts w:ascii="Times New Roman" w:hAnsi="Times New Roman"/>
            <w:color w:val="auto"/>
            <w:sz w:val="24"/>
            <w:szCs w:val="22"/>
          </w:rPr>
          <w:t xml:space="preserve"> (25I-NBOMe), 3,4-dichlor-N-[[1-(</w:t>
        </w:r>
        <w:proofErr w:type="spellStart"/>
        <w:r w:rsidR="0028509A" w:rsidRPr="0039129E">
          <w:rPr>
            <w:rFonts w:ascii="Times New Roman" w:hAnsi="Times New Roman"/>
            <w:color w:val="auto"/>
            <w:sz w:val="24"/>
            <w:szCs w:val="22"/>
          </w:rPr>
          <w:t>dimethylamino</w:t>
        </w:r>
        <w:proofErr w:type="spellEnd"/>
        <w:r w:rsidR="0028509A" w:rsidRPr="0039129E">
          <w:rPr>
            <w:rFonts w:ascii="Times New Roman" w:hAnsi="Times New Roman"/>
            <w:color w:val="auto"/>
            <w:sz w:val="24"/>
            <w:szCs w:val="22"/>
          </w:rPr>
          <w:t>)</w:t>
        </w:r>
        <w:proofErr w:type="spellStart"/>
        <w:r w:rsidR="0028509A" w:rsidRPr="0039129E">
          <w:rPr>
            <w:rFonts w:ascii="Times New Roman" w:hAnsi="Times New Roman"/>
            <w:color w:val="auto"/>
            <w:sz w:val="24"/>
            <w:szCs w:val="22"/>
          </w:rPr>
          <w:t>cyklohexyl</w:t>
        </w:r>
        <w:proofErr w:type="spellEnd"/>
        <w:r w:rsidR="0028509A" w:rsidRPr="0039129E">
          <w:rPr>
            <w:rFonts w:ascii="Times New Roman" w:hAnsi="Times New Roman"/>
            <w:color w:val="auto"/>
            <w:sz w:val="24"/>
            <w:szCs w:val="22"/>
          </w:rPr>
          <w:t>]methyl]</w:t>
        </w:r>
        <w:proofErr w:type="spellStart"/>
        <w:r w:rsidR="0028509A" w:rsidRPr="0039129E">
          <w:rPr>
            <w:rFonts w:ascii="Times New Roman" w:hAnsi="Times New Roman"/>
            <w:color w:val="auto"/>
            <w:sz w:val="24"/>
            <w:szCs w:val="22"/>
          </w:rPr>
          <w:t>benzamidu</w:t>
        </w:r>
        <w:proofErr w:type="spellEnd"/>
        <w:r w:rsidR="0028509A" w:rsidRPr="0039129E">
          <w:rPr>
            <w:rFonts w:ascii="Times New Roman" w:hAnsi="Times New Roman"/>
            <w:color w:val="auto"/>
            <w:sz w:val="24"/>
            <w:szCs w:val="22"/>
          </w:rPr>
          <w:t xml:space="preserve"> (AH-7921), 3,4-methylendioxypyro-valeronu (MDPV) a 2-(3-methoxyfenyl)-2-(</w:t>
        </w:r>
        <w:proofErr w:type="spellStart"/>
        <w:r w:rsidR="0028509A" w:rsidRPr="0039129E">
          <w:rPr>
            <w:rFonts w:ascii="Times New Roman" w:hAnsi="Times New Roman"/>
            <w:color w:val="auto"/>
            <w:sz w:val="24"/>
            <w:szCs w:val="22"/>
          </w:rPr>
          <w:t>ethylamino</w:t>
        </w:r>
        <w:proofErr w:type="spellEnd"/>
        <w:r w:rsidR="0028509A" w:rsidRPr="0039129E">
          <w:rPr>
            <w:rFonts w:ascii="Times New Roman" w:hAnsi="Times New Roman"/>
            <w:color w:val="auto"/>
            <w:sz w:val="24"/>
            <w:szCs w:val="22"/>
          </w:rPr>
          <w:t>)cyklohexanonu (</w:t>
        </w:r>
        <w:proofErr w:type="spellStart"/>
        <w:r w:rsidR="0028509A" w:rsidRPr="0039129E">
          <w:rPr>
            <w:rFonts w:ascii="Times New Roman" w:hAnsi="Times New Roman"/>
            <w:color w:val="auto"/>
            <w:sz w:val="24"/>
            <w:szCs w:val="22"/>
          </w:rPr>
          <w:t>methox-etaminu</w:t>
        </w:r>
        <w:proofErr w:type="spellEnd"/>
        <w:r w:rsidR="0028509A" w:rsidRPr="0039129E">
          <w:rPr>
            <w:rFonts w:ascii="Times New Roman" w:hAnsi="Times New Roman"/>
            <w:color w:val="auto"/>
            <w:sz w:val="24"/>
            <w:szCs w:val="22"/>
          </w:rPr>
          <w:t>) kontrolním opatřením</w:t>
        </w:r>
      </w:hyperlink>
      <w:r w:rsidR="0028509A" w:rsidRPr="009E7127">
        <w:rPr>
          <w:rFonts w:ascii="Times New Roman" w:hAnsi="Times New Roman"/>
          <w:color w:val="auto"/>
          <w:sz w:val="24"/>
          <w:szCs w:val="22"/>
        </w:rPr>
        <w:t>,</w:t>
      </w:r>
    </w:p>
    <w:p w14:paraId="624C150A" w14:textId="77777777" w:rsidR="0028509A" w:rsidRPr="009E7127" w:rsidRDefault="0013346B" w:rsidP="0039129E">
      <w:pPr>
        <w:numPr>
          <w:ilvl w:val="0"/>
          <w:numId w:val="1"/>
        </w:numPr>
        <w:spacing w:after="240" w:line="240" w:lineRule="auto"/>
        <w:rPr>
          <w:rFonts w:ascii="Times New Roman" w:hAnsi="Times New Roman"/>
          <w:color w:val="auto"/>
          <w:sz w:val="24"/>
          <w:szCs w:val="22"/>
        </w:rPr>
      </w:pPr>
      <w:hyperlink r:id="rId9" w:history="1">
        <w:r w:rsidR="0028509A" w:rsidRPr="009E7127">
          <w:rPr>
            <w:rFonts w:ascii="Times New Roman" w:hAnsi="Times New Roman"/>
            <w:color w:val="auto"/>
            <w:sz w:val="24"/>
            <w:szCs w:val="22"/>
          </w:rPr>
          <w:t>prováděcí rozhodnutí Rady (EU) 2015/1876 ze dne 8. října 2015 o podrobení 5-(2-</w:t>
        </w:r>
        <w:proofErr w:type="gramStart"/>
        <w:r w:rsidR="0028509A" w:rsidRPr="009E7127">
          <w:rPr>
            <w:rFonts w:ascii="Times New Roman" w:hAnsi="Times New Roman"/>
            <w:color w:val="auto"/>
            <w:sz w:val="24"/>
            <w:szCs w:val="22"/>
          </w:rPr>
          <w:t>aminopropyl)indolu</w:t>
        </w:r>
        <w:proofErr w:type="gramEnd"/>
        <w:r w:rsidR="0028509A" w:rsidRPr="009E7127">
          <w:rPr>
            <w:rFonts w:ascii="Times New Roman" w:hAnsi="Times New Roman"/>
            <w:color w:val="auto"/>
            <w:sz w:val="24"/>
            <w:szCs w:val="22"/>
          </w:rPr>
          <w:t xml:space="preserve"> kontrolním opatřením</w:t>
        </w:r>
      </w:hyperlink>
      <w:r w:rsidR="0028509A" w:rsidRPr="009E7127">
        <w:rPr>
          <w:rFonts w:ascii="Times New Roman" w:hAnsi="Times New Roman"/>
          <w:color w:val="auto"/>
          <w:sz w:val="24"/>
          <w:szCs w:val="22"/>
        </w:rPr>
        <w:t xml:space="preserve">, </w:t>
      </w:r>
    </w:p>
    <w:p w14:paraId="1BCFF9E0" w14:textId="77777777" w:rsidR="0028509A" w:rsidRPr="009E7127" w:rsidRDefault="0028509A" w:rsidP="0039129E">
      <w:pPr>
        <w:numPr>
          <w:ilvl w:val="0"/>
          <w:numId w:val="1"/>
        </w:numPr>
        <w:spacing w:after="240" w:line="240" w:lineRule="auto"/>
        <w:rPr>
          <w:rFonts w:ascii="Times New Roman" w:hAnsi="Times New Roman"/>
          <w:color w:val="auto"/>
          <w:sz w:val="24"/>
          <w:szCs w:val="22"/>
        </w:rPr>
      </w:pPr>
      <w:r w:rsidRPr="009E7127">
        <w:rPr>
          <w:rFonts w:ascii="Times New Roman" w:hAnsi="Times New Roman"/>
          <w:color w:val="auto"/>
          <w:sz w:val="24"/>
          <w:szCs w:val="22"/>
        </w:rPr>
        <w:t>prováděcí rozhodnutí Rady (EU) 2016/1070 ze dne 27. června 2016 o podrobení látky 1-fenyl-2-(pyrrolidin-1-</w:t>
      </w:r>
      <w:proofErr w:type="gramStart"/>
      <w:r w:rsidRPr="009E7127">
        <w:rPr>
          <w:rFonts w:ascii="Times New Roman" w:hAnsi="Times New Roman"/>
          <w:color w:val="auto"/>
          <w:sz w:val="24"/>
          <w:szCs w:val="22"/>
        </w:rPr>
        <w:t>yl)pentan</w:t>
      </w:r>
      <w:proofErr w:type="gramEnd"/>
      <w:r w:rsidRPr="009E7127">
        <w:rPr>
          <w:rFonts w:ascii="Times New Roman" w:hAnsi="Times New Roman"/>
          <w:color w:val="auto"/>
          <w:sz w:val="24"/>
          <w:szCs w:val="22"/>
        </w:rPr>
        <w:t>-1-on (α-</w:t>
      </w:r>
      <w:proofErr w:type="spellStart"/>
      <w:r w:rsidRPr="009E7127">
        <w:rPr>
          <w:rFonts w:ascii="Times New Roman" w:hAnsi="Times New Roman"/>
          <w:color w:val="auto"/>
          <w:sz w:val="24"/>
          <w:szCs w:val="22"/>
        </w:rPr>
        <w:t>pyrrolidinovalerofenon</w:t>
      </w:r>
      <w:proofErr w:type="spellEnd"/>
      <w:r w:rsidRPr="009E7127">
        <w:rPr>
          <w:rFonts w:ascii="Times New Roman" w:hAnsi="Times New Roman"/>
          <w:color w:val="auto"/>
          <w:sz w:val="24"/>
          <w:szCs w:val="22"/>
        </w:rPr>
        <w:t xml:space="preserve">, α-PVP) kontrolním opatřením, </w:t>
      </w:r>
    </w:p>
    <w:p w14:paraId="14B1C6AB" w14:textId="77777777" w:rsidR="0028509A" w:rsidRPr="009E7127" w:rsidRDefault="0028509A" w:rsidP="0039129E">
      <w:pPr>
        <w:numPr>
          <w:ilvl w:val="0"/>
          <w:numId w:val="1"/>
        </w:numPr>
        <w:spacing w:after="240" w:line="240" w:lineRule="auto"/>
        <w:rPr>
          <w:rFonts w:ascii="Times New Roman" w:hAnsi="Times New Roman"/>
          <w:color w:val="auto"/>
          <w:sz w:val="24"/>
          <w:szCs w:val="22"/>
        </w:rPr>
      </w:pPr>
      <w:r w:rsidRPr="009E7127">
        <w:rPr>
          <w:rFonts w:ascii="Times New Roman" w:hAnsi="Times New Roman"/>
          <w:color w:val="auto"/>
          <w:sz w:val="24"/>
          <w:szCs w:val="22"/>
        </w:rPr>
        <w:t>prováděcí rozhodnutí Rady (EU) 2017/369 ze dne 27. února 2017 o podrobení látky methyl-2-{[1-(</w:t>
      </w:r>
      <w:proofErr w:type="gramStart"/>
      <w:r w:rsidRPr="009E7127">
        <w:rPr>
          <w:rFonts w:ascii="Times New Roman" w:hAnsi="Times New Roman"/>
          <w:color w:val="auto"/>
          <w:sz w:val="24"/>
          <w:szCs w:val="22"/>
        </w:rPr>
        <w:t>cyklohexylmethyl)-</w:t>
      </w:r>
      <w:proofErr w:type="gramEnd"/>
      <w:r w:rsidRPr="009E7127">
        <w:rPr>
          <w:rFonts w:ascii="Times New Roman" w:hAnsi="Times New Roman"/>
          <w:color w:val="auto"/>
          <w:sz w:val="24"/>
          <w:szCs w:val="22"/>
        </w:rPr>
        <w:t>1H-indol-3-karbonyl]amino}-3,3-dimethylbutanoát (MDMB-CHMICA) kontrolním opatřením,</w:t>
      </w:r>
    </w:p>
    <w:p w14:paraId="031F3BC2" w14:textId="13ED9D83" w:rsidR="0028509A" w:rsidRDefault="001B43F2" w:rsidP="0039129E">
      <w:pPr>
        <w:numPr>
          <w:ilvl w:val="0"/>
          <w:numId w:val="1"/>
        </w:numPr>
        <w:spacing w:after="240" w:line="240" w:lineRule="auto"/>
        <w:rPr>
          <w:rFonts w:ascii="Times New Roman" w:hAnsi="Times New Roman"/>
          <w:color w:val="auto"/>
          <w:sz w:val="24"/>
          <w:szCs w:val="22"/>
        </w:rPr>
      </w:pPr>
      <w:r>
        <w:rPr>
          <w:rFonts w:ascii="Times New Roman" w:hAnsi="Times New Roman"/>
          <w:color w:val="auto"/>
          <w:sz w:val="24"/>
          <w:szCs w:val="22"/>
        </w:rPr>
        <w:t>p</w:t>
      </w:r>
      <w:r w:rsidR="0028509A" w:rsidRPr="009E7127">
        <w:rPr>
          <w:rFonts w:ascii="Times New Roman" w:hAnsi="Times New Roman"/>
          <w:color w:val="auto"/>
          <w:sz w:val="24"/>
          <w:szCs w:val="22"/>
        </w:rPr>
        <w:t>rováděcí rozhodnutí Rady (EU) 2017/1774 ze dne 25. září 2017 o podrobení látky N-(1-fenethylpiperidin-4-</w:t>
      </w:r>
      <w:proofErr w:type="gramStart"/>
      <w:r w:rsidR="0028509A" w:rsidRPr="009E7127">
        <w:rPr>
          <w:rFonts w:ascii="Times New Roman" w:hAnsi="Times New Roman"/>
          <w:color w:val="auto"/>
          <w:sz w:val="24"/>
          <w:szCs w:val="22"/>
        </w:rPr>
        <w:t>yl)-</w:t>
      </w:r>
      <w:proofErr w:type="gramEnd"/>
      <w:r w:rsidR="0028509A" w:rsidRPr="009E7127">
        <w:rPr>
          <w:rFonts w:ascii="Times New Roman" w:hAnsi="Times New Roman"/>
          <w:color w:val="auto"/>
          <w:sz w:val="24"/>
          <w:szCs w:val="22"/>
        </w:rPr>
        <w:t>N-</w:t>
      </w:r>
      <w:proofErr w:type="spellStart"/>
      <w:r w:rsidR="0028509A" w:rsidRPr="009E7127">
        <w:rPr>
          <w:rFonts w:ascii="Times New Roman" w:hAnsi="Times New Roman"/>
          <w:color w:val="auto"/>
          <w:sz w:val="24"/>
          <w:szCs w:val="22"/>
        </w:rPr>
        <w:t>fenylakrylamid</w:t>
      </w:r>
      <w:proofErr w:type="spellEnd"/>
      <w:r w:rsidR="0028509A" w:rsidRPr="009E7127">
        <w:rPr>
          <w:rFonts w:ascii="Times New Roman" w:hAnsi="Times New Roman"/>
          <w:color w:val="auto"/>
          <w:sz w:val="24"/>
          <w:szCs w:val="22"/>
        </w:rPr>
        <w:t xml:space="preserve"> (akryl-</w:t>
      </w:r>
      <w:proofErr w:type="spellStart"/>
      <w:r w:rsidR="0028509A" w:rsidRPr="009E7127">
        <w:rPr>
          <w:rFonts w:ascii="Times New Roman" w:hAnsi="Times New Roman"/>
          <w:color w:val="auto"/>
          <w:sz w:val="24"/>
          <w:szCs w:val="22"/>
        </w:rPr>
        <w:t>fentanyl</w:t>
      </w:r>
      <w:proofErr w:type="spellEnd"/>
      <w:r w:rsidR="0028509A" w:rsidRPr="009E7127">
        <w:rPr>
          <w:rFonts w:ascii="Times New Roman" w:hAnsi="Times New Roman"/>
          <w:color w:val="auto"/>
          <w:sz w:val="24"/>
          <w:szCs w:val="22"/>
        </w:rPr>
        <w:t>) kontrolním opatřením,</w:t>
      </w:r>
    </w:p>
    <w:p w14:paraId="1DC06230" w14:textId="60650899" w:rsidR="0021292E" w:rsidRPr="0039129E" w:rsidRDefault="0021292E" w:rsidP="0039129E">
      <w:pPr>
        <w:numPr>
          <w:ilvl w:val="0"/>
          <w:numId w:val="1"/>
        </w:numPr>
        <w:spacing w:after="240" w:line="240" w:lineRule="auto"/>
        <w:rPr>
          <w:rFonts w:ascii="Times New Roman" w:hAnsi="Times New Roman"/>
          <w:color w:val="auto"/>
          <w:sz w:val="24"/>
          <w:szCs w:val="22"/>
        </w:rPr>
      </w:pPr>
      <w:r w:rsidRPr="0039129E">
        <w:rPr>
          <w:rFonts w:ascii="Times New Roman" w:hAnsi="Times New Roman"/>
          <w:color w:val="auto"/>
          <w:sz w:val="24"/>
          <w:szCs w:val="22"/>
        </w:rPr>
        <w:t>směrnice Evropského parlamentu a Rady (EU) 2017/2103 ze dne 15. listopadu 2017, kterou se mění rámcové rozhodnutí Rady 2004/757/SVV s cílem zahrnout do definice drogy nové psychoaktivní látky a zrušuje rozhodnutí Rady 2005/387/SVV</w:t>
      </w:r>
      <w:r w:rsidR="0039129E" w:rsidRPr="0039129E">
        <w:rPr>
          <w:rFonts w:ascii="Times New Roman" w:hAnsi="Times New Roman"/>
          <w:color w:val="auto"/>
          <w:sz w:val="24"/>
          <w:szCs w:val="22"/>
        </w:rPr>
        <w:t>,</w:t>
      </w:r>
    </w:p>
    <w:p w14:paraId="60442657" w14:textId="1D57377A" w:rsidR="0028509A" w:rsidRPr="009E7127" w:rsidRDefault="001B43F2" w:rsidP="0039129E">
      <w:pPr>
        <w:numPr>
          <w:ilvl w:val="0"/>
          <w:numId w:val="1"/>
        </w:numPr>
        <w:spacing w:after="240" w:line="240" w:lineRule="auto"/>
        <w:rPr>
          <w:rFonts w:ascii="Times New Roman" w:hAnsi="Times New Roman"/>
          <w:color w:val="auto"/>
          <w:sz w:val="24"/>
          <w:szCs w:val="22"/>
        </w:rPr>
      </w:pPr>
      <w:r w:rsidRPr="0039129E">
        <w:rPr>
          <w:rFonts w:ascii="Times New Roman" w:hAnsi="Times New Roman"/>
          <w:color w:val="auto"/>
          <w:sz w:val="24"/>
          <w:szCs w:val="22"/>
        </w:rPr>
        <w:t>p</w:t>
      </w:r>
      <w:r w:rsidR="0028509A" w:rsidRPr="0039129E">
        <w:rPr>
          <w:rFonts w:ascii="Times New Roman" w:hAnsi="Times New Roman"/>
          <w:color w:val="auto"/>
          <w:sz w:val="24"/>
          <w:szCs w:val="22"/>
        </w:rPr>
        <w:t xml:space="preserve">rováděcí rozhodnutí Rady (EU) 2017/2170 ze dne 15. listopadu 2017 o podrobení </w:t>
      </w:r>
      <w:r w:rsidR="0028509A" w:rsidRPr="009E7127">
        <w:rPr>
          <w:rFonts w:ascii="Times New Roman" w:hAnsi="Times New Roman"/>
          <w:color w:val="auto"/>
          <w:sz w:val="24"/>
          <w:szCs w:val="22"/>
        </w:rPr>
        <w:t>N-fenyl-N-[1-(2-</w:t>
      </w:r>
      <w:proofErr w:type="gramStart"/>
      <w:r w:rsidR="0028509A" w:rsidRPr="009E7127">
        <w:rPr>
          <w:rFonts w:ascii="Times New Roman" w:hAnsi="Times New Roman"/>
          <w:color w:val="auto"/>
          <w:sz w:val="24"/>
          <w:szCs w:val="22"/>
        </w:rPr>
        <w:t>fenylethyl)piperidin</w:t>
      </w:r>
      <w:proofErr w:type="gramEnd"/>
      <w:r w:rsidR="0028509A" w:rsidRPr="009E7127">
        <w:rPr>
          <w:rFonts w:ascii="Times New Roman" w:hAnsi="Times New Roman"/>
          <w:color w:val="auto"/>
          <w:sz w:val="24"/>
          <w:szCs w:val="22"/>
        </w:rPr>
        <w:t>-4-yl]furan-2-karboxamid (</w:t>
      </w:r>
      <w:proofErr w:type="spellStart"/>
      <w:r w:rsidR="0028509A" w:rsidRPr="009E7127">
        <w:rPr>
          <w:rFonts w:ascii="Times New Roman" w:hAnsi="Times New Roman"/>
          <w:color w:val="auto"/>
          <w:sz w:val="24"/>
          <w:szCs w:val="22"/>
        </w:rPr>
        <w:t>furanylfentanylu</w:t>
      </w:r>
      <w:proofErr w:type="spellEnd"/>
      <w:r w:rsidR="0028509A" w:rsidRPr="009E7127">
        <w:rPr>
          <w:rFonts w:ascii="Times New Roman" w:hAnsi="Times New Roman"/>
          <w:color w:val="auto"/>
          <w:sz w:val="24"/>
          <w:szCs w:val="22"/>
        </w:rPr>
        <w:t xml:space="preserve">) </w:t>
      </w:r>
      <w:proofErr w:type="spellStart"/>
      <w:r w:rsidR="0028509A" w:rsidRPr="009E7127">
        <w:rPr>
          <w:rFonts w:ascii="Times New Roman" w:hAnsi="Times New Roman"/>
          <w:color w:val="auto"/>
          <w:sz w:val="24"/>
          <w:szCs w:val="22"/>
        </w:rPr>
        <w:t>kon</w:t>
      </w:r>
      <w:proofErr w:type="spellEnd"/>
      <w:r w:rsidR="0028509A" w:rsidRPr="009E7127">
        <w:rPr>
          <w:rFonts w:ascii="Times New Roman" w:hAnsi="Times New Roman"/>
          <w:color w:val="auto"/>
          <w:sz w:val="24"/>
          <w:szCs w:val="22"/>
        </w:rPr>
        <w:t xml:space="preserve">- </w:t>
      </w:r>
      <w:proofErr w:type="spellStart"/>
      <w:r w:rsidR="0028509A" w:rsidRPr="009E7127">
        <w:rPr>
          <w:rFonts w:ascii="Times New Roman" w:hAnsi="Times New Roman"/>
          <w:color w:val="auto"/>
          <w:sz w:val="24"/>
          <w:szCs w:val="22"/>
        </w:rPr>
        <w:t>trolním</w:t>
      </w:r>
      <w:proofErr w:type="spellEnd"/>
      <w:r w:rsidR="0028509A" w:rsidRPr="009E7127">
        <w:rPr>
          <w:rFonts w:ascii="Times New Roman" w:hAnsi="Times New Roman"/>
          <w:color w:val="auto"/>
          <w:sz w:val="24"/>
          <w:szCs w:val="22"/>
        </w:rPr>
        <w:t xml:space="preserve"> opatřením,</w:t>
      </w:r>
    </w:p>
    <w:p w14:paraId="317FBF89" w14:textId="06648F08" w:rsidR="0028509A" w:rsidRPr="009E7127" w:rsidRDefault="001B43F2" w:rsidP="0039129E">
      <w:pPr>
        <w:numPr>
          <w:ilvl w:val="0"/>
          <w:numId w:val="1"/>
        </w:numPr>
        <w:spacing w:after="240" w:line="240" w:lineRule="auto"/>
        <w:rPr>
          <w:rFonts w:ascii="Times New Roman" w:hAnsi="Times New Roman"/>
          <w:color w:val="auto"/>
          <w:sz w:val="24"/>
          <w:szCs w:val="22"/>
        </w:rPr>
      </w:pPr>
      <w:r>
        <w:rPr>
          <w:rFonts w:ascii="Times New Roman" w:hAnsi="Times New Roman"/>
          <w:color w:val="auto"/>
          <w:sz w:val="24"/>
          <w:szCs w:val="22"/>
        </w:rPr>
        <w:lastRenderedPageBreak/>
        <w:t>p</w:t>
      </w:r>
      <w:r w:rsidR="0028509A" w:rsidRPr="009E7127">
        <w:rPr>
          <w:rFonts w:ascii="Times New Roman" w:hAnsi="Times New Roman"/>
          <w:color w:val="auto"/>
          <w:sz w:val="24"/>
          <w:szCs w:val="22"/>
        </w:rPr>
        <w:t>rováděcí rozhodnutí Rady (EU) 2018/748 ze dne 14. května 2018 o podrobení nové psychoaktivní látky 1-(4-</w:t>
      </w:r>
      <w:proofErr w:type="gramStart"/>
      <w:r w:rsidR="0028509A" w:rsidRPr="009E7127">
        <w:rPr>
          <w:rFonts w:ascii="Times New Roman" w:hAnsi="Times New Roman"/>
          <w:color w:val="auto"/>
          <w:sz w:val="24"/>
          <w:szCs w:val="22"/>
        </w:rPr>
        <w:t>kyanobutyl)-</w:t>
      </w:r>
      <w:proofErr w:type="gramEnd"/>
      <w:r w:rsidR="0028509A" w:rsidRPr="009E7127">
        <w:rPr>
          <w:rFonts w:ascii="Times New Roman" w:hAnsi="Times New Roman"/>
          <w:color w:val="auto"/>
          <w:sz w:val="24"/>
          <w:szCs w:val="22"/>
        </w:rPr>
        <w:t>N-(2-fenylpropan-2-yl)-1H-indazol-3-karbox- amid (CUMYL-4CN-BINACA) kontrolním opatřením,</w:t>
      </w:r>
    </w:p>
    <w:p w14:paraId="0CE3B2C7" w14:textId="3FB5B0B5" w:rsidR="0028509A" w:rsidRPr="009E7127" w:rsidRDefault="001B43F2" w:rsidP="0039129E">
      <w:pPr>
        <w:numPr>
          <w:ilvl w:val="0"/>
          <w:numId w:val="1"/>
        </w:numPr>
        <w:spacing w:after="240" w:line="240" w:lineRule="auto"/>
        <w:rPr>
          <w:rFonts w:ascii="Times New Roman" w:hAnsi="Times New Roman"/>
          <w:color w:val="auto"/>
          <w:sz w:val="24"/>
          <w:szCs w:val="22"/>
        </w:rPr>
      </w:pPr>
      <w:r>
        <w:rPr>
          <w:rFonts w:ascii="Times New Roman" w:hAnsi="Times New Roman"/>
          <w:color w:val="auto"/>
          <w:sz w:val="24"/>
          <w:szCs w:val="22"/>
        </w:rPr>
        <w:t>p</w:t>
      </w:r>
      <w:r w:rsidR="0028509A" w:rsidRPr="009E7127">
        <w:rPr>
          <w:rFonts w:ascii="Times New Roman" w:hAnsi="Times New Roman"/>
          <w:color w:val="auto"/>
          <w:sz w:val="24"/>
          <w:szCs w:val="22"/>
        </w:rPr>
        <w:t>rováděcí rozhodnutí Rady (EU) 2018/747 ze dne 14. května 2018 o podrobení nové psychoaktivní látky N-(1-amino-3,3-dimethyl-1-oxobutan-2-</w:t>
      </w:r>
      <w:proofErr w:type="gramStart"/>
      <w:r w:rsidR="0028509A" w:rsidRPr="009E7127">
        <w:rPr>
          <w:rFonts w:ascii="Times New Roman" w:hAnsi="Times New Roman"/>
          <w:color w:val="auto"/>
          <w:sz w:val="24"/>
          <w:szCs w:val="22"/>
        </w:rPr>
        <w:t>yl)-</w:t>
      </w:r>
      <w:proofErr w:type="gramEnd"/>
      <w:r w:rsidR="0028509A" w:rsidRPr="009E7127">
        <w:rPr>
          <w:rFonts w:ascii="Times New Roman" w:hAnsi="Times New Roman"/>
          <w:color w:val="auto"/>
          <w:sz w:val="24"/>
          <w:szCs w:val="22"/>
        </w:rPr>
        <w:t>1-(cyklohexylmet-hyl)-1H-indazol-3-karboxamid (ADB-CHMINACA) kontrolním opatřením</w:t>
      </w:r>
      <w:r w:rsidR="00C03803">
        <w:rPr>
          <w:rFonts w:ascii="Times New Roman" w:hAnsi="Times New Roman"/>
          <w:color w:val="auto"/>
          <w:sz w:val="24"/>
          <w:szCs w:val="22"/>
        </w:rPr>
        <w:t xml:space="preserve">, </w:t>
      </w:r>
    </w:p>
    <w:p w14:paraId="164E4520" w14:textId="47ECBEEB" w:rsidR="0028509A" w:rsidRDefault="001B43F2" w:rsidP="0039129E">
      <w:pPr>
        <w:numPr>
          <w:ilvl w:val="0"/>
          <w:numId w:val="1"/>
        </w:numPr>
        <w:spacing w:after="240" w:line="240" w:lineRule="auto"/>
        <w:rPr>
          <w:rFonts w:ascii="Times New Roman" w:hAnsi="Times New Roman"/>
          <w:color w:val="auto"/>
          <w:sz w:val="24"/>
          <w:szCs w:val="22"/>
        </w:rPr>
      </w:pPr>
      <w:r>
        <w:rPr>
          <w:rFonts w:ascii="Times New Roman" w:hAnsi="Times New Roman"/>
          <w:color w:val="auto"/>
          <w:sz w:val="24"/>
          <w:szCs w:val="22"/>
        </w:rPr>
        <w:t>p</w:t>
      </w:r>
      <w:r w:rsidR="0028509A" w:rsidRPr="009E7127">
        <w:rPr>
          <w:rFonts w:ascii="Times New Roman" w:hAnsi="Times New Roman"/>
          <w:color w:val="auto"/>
          <w:sz w:val="24"/>
          <w:szCs w:val="22"/>
        </w:rPr>
        <w:t>rováděcí rozhodnutí Rady (EU) 2018/1463 ze dne 28. září 2018 o podrobení nových psychoaktivních látek N-fenyl-N-[1-(2-</w:t>
      </w:r>
      <w:proofErr w:type="gramStart"/>
      <w:r w:rsidR="0028509A" w:rsidRPr="009E7127">
        <w:rPr>
          <w:rFonts w:ascii="Times New Roman" w:hAnsi="Times New Roman"/>
          <w:color w:val="auto"/>
          <w:sz w:val="24"/>
          <w:szCs w:val="22"/>
        </w:rPr>
        <w:t>fenylethyl)piperidin</w:t>
      </w:r>
      <w:proofErr w:type="gramEnd"/>
      <w:r w:rsidR="0028509A" w:rsidRPr="009E7127">
        <w:rPr>
          <w:rFonts w:ascii="Times New Roman" w:hAnsi="Times New Roman"/>
          <w:color w:val="auto"/>
          <w:sz w:val="24"/>
          <w:szCs w:val="22"/>
        </w:rPr>
        <w:t xml:space="preserve">-4-yl]cyklopropan </w:t>
      </w:r>
      <w:proofErr w:type="spellStart"/>
      <w:r w:rsidR="0028509A" w:rsidRPr="009E7127">
        <w:rPr>
          <w:rFonts w:ascii="Times New Roman" w:hAnsi="Times New Roman"/>
          <w:color w:val="auto"/>
          <w:sz w:val="24"/>
          <w:szCs w:val="22"/>
        </w:rPr>
        <w:t>karbox</w:t>
      </w:r>
      <w:proofErr w:type="spellEnd"/>
      <w:r w:rsidR="0028509A" w:rsidRPr="009E7127">
        <w:rPr>
          <w:rFonts w:ascii="Times New Roman" w:hAnsi="Times New Roman"/>
          <w:color w:val="auto"/>
          <w:sz w:val="24"/>
          <w:szCs w:val="22"/>
        </w:rPr>
        <w:t>- amid (</w:t>
      </w:r>
      <w:proofErr w:type="spellStart"/>
      <w:r w:rsidR="0028509A" w:rsidRPr="009E7127">
        <w:rPr>
          <w:rFonts w:ascii="Times New Roman" w:hAnsi="Times New Roman"/>
          <w:color w:val="auto"/>
          <w:sz w:val="24"/>
          <w:szCs w:val="22"/>
        </w:rPr>
        <w:t>cyklopropylfentanyl</w:t>
      </w:r>
      <w:proofErr w:type="spellEnd"/>
      <w:r w:rsidR="0028509A" w:rsidRPr="009E7127">
        <w:rPr>
          <w:rFonts w:ascii="Times New Roman" w:hAnsi="Times New Roman"/>
          <w:color w:val="auto"/>
          <w:sz w:val="24"/>
          <w:szCs w:val="22"/>
        </w:rPr>
        <w:t>) a 2-methoxy-N-fenyl-N-[1-(2-fenylethyl)piperidin-4-yl]acetamid (</w:t>
      </w:r>
      <w:proofErr w:type="spellStart"/>
      <w:r w:rsidR="0028509A" w:rsidRPr="009E7127">
        <w:rPr>
          <w:rFonts w:ascii="Times New Roman" w:hAnsi="Times New Roman"/>
          <w:color w:val="auto"/>
          <w:sz w:val="24"/>
          <w:szCs w:val="22"/>
        </w:rPr>
        <w:t>methoxyacetylfentanyl</w:t>
      </w:r>
      <w:proofErr w:type="spellEnd"/>
      <w:r w:rsidR="0028509A" w:rsidRPr="009E7127">
        <w:rPr>
          <w:rFonts w:ascii="Times New Roman" w:hAnsi="Times New Roman"/>
          <w:color w:val="auto"/>
          <w:sz w:val="24"/>
          <w:szCs w:val="22"/>
        </w:rPr>
        <w:t>) kontrolním opatřením</w:t>
      </w:r>
      <w:r w:rsidR="0039129E">
        <w:rPr>
          <w:rFonts w:ascii="Times New Roman" w:hAnsi="Times New Roman"/>
          <w:color w:val="auto"/>
          <w:sz w:val="24"/>
          <w:szCs w:val="22"/>
        </w:rPr>
        <w:t>,</w:t>
      </w:r>
    </w:p>
    <w:p w14:paraId="6A9D8965" w14:textId="7ED65236" w:rsidR="0021292E" w:rsidRDefault="0021292E" w:rsidP="0039129E">
      <w:pPr>
        <w:pStyle w:val="Odstavecseseznamem"/>
        <w:numPr>
          <w:ilvl w:val="0"/>
          <w:numId w:val="1"/>
        </w:numPr>
        <w:rPr>
          <w:rFonts w:ascii="Times New Roman" w:hAnsi="Times New Roman"/>
          <w:color w:val="auto"/>
          <w:sz w:val="24"/>
          <w:szCs w:val="22"/>
        </w:rPr>
      </w:pPr>
      <w:r w:rsidRPr="0021292E">
        <w:rPr>
          <w:rFonts w:ascii="Times New Roman" w:hAnsi="Times New Roman"/>
          <w:color w:val="auto"/>
          <w:sz w:val="24"/>
          <w:szCs w:val="22"/>
        </w:rPr>
        <w:t>směrnice Komise v přenesené pravomoci (EU) 2019/369 ze dne 13. prosince 2018, kterou se mění příloha rámcového rozhodnutí Rady 2004/757/SVV, pokud jde o</w:t>
      </w:r>
      <w:r w:rsidR="0022460C">
        <w:rPr>
          <w:rFonts w:ascii="Times New Roman" w:hAnsi="Times New Roman"/>
          <w:color w:val="auto"/>
          <w:sz w:val="24"/>
          <w:szCs w:val="22"/>
        </w:rPr>
        <w:t> </w:t>
      </w:r>
      <w:r w:rsidRPr="0021292E">
        <w:rPr>
          <w:rFonts w:ascii="Times New Roman" w:hAnsi="Times New Roman"/>
          <w:color w:val="auto"/>
          <w:sz w:val="24"/>
          <w:szCs w:val="22"/>
        </w:rPr>
        <w:t>zahrnutí nových psychoaktivních látek do definice drogy,</w:t>
      </w:r>
    </w:p>
    <w:p w14:paraId="62177609" w14:textId="77777777" w:rsidR="0021292E" w:rsidRPr="0021292E" w:rsidRDefault="0021292E" w:rsidP="0039129E">
      <w:pPr>
        <w:pStyle w:val="Odstavecseseznamem"/>
        <w:rPr>
          <w:rFonts w:ascii="Times New Roman" w:hAnsi="Times New Roman"/>
          <w:color w:val="auto"/>
          <w:sz w:val="24"/>
          <w:szCs w:val="22"/>
        </w:rPr>
      </w:pPr>
    </w:p>
    <w:p w14:paraId="53BEA561" w14:textId="050073CA" w:rsidR="0028509A" w:rsidRPr="009E7127" w:rsidRDefault="0021292E" w:rsidP="0039129E">
      <w:pPr>
        <w:numPr>
          <w:ilvl w:val="0"/>
          <w:numId w:val="1"/>
        </w:numPr>
        <w:spacing w:after="240" w:line="240" w:lineRule="auto"/>
        <w:rPr>
          <w:rFonts w:ascii="Times New Roman" w:hAnsi="Times New Roman"/>
          <w:color w:val="auto"/>
          <w:sz w:val="24"/>
          <w:szCs w:val="22"/>
        </w:rPr>
      </w:pPr>
      <w:r w:rsidRPr="0021292E">
        <w:rPr>
          <w:rFonts w:ascii="Times New Roman" w:hAnsi="Times New Roman"/>
          <w:color w:val="auto"/>
          <w:sz w:val="24"/>
          <w:szCs w:val="22"/>
        </w:rPr>
        <w:t xml:space="preserve">směrnice Komise v přenesené pravomoci </w:t>
      </w:r>
      <w:r w:rsidR="0028509A" w:rsidRPr="009E7127">
        <w:rPr>
          <w:rFonts w:ascii="Times New Roman" w:hAnsi="Times New Roman"/>
          <w:color w:val="auto"/>
          <w:sz w:val="24"/>
          <w:szCs w:val="22"/>
        </w:rPr>
        <w:t>(EU) 2020/1687 ze dne 2. září 2020, kterou se mění příloha rámcového rozhodnutí Rady 2004/757 / SVV, pokud jde o zahrnutí nové psychoaktivní látky N, N-diethyl-2-[[4-(1-</w:t>
      </w:r>
      <w:proofErr w:type="gramStart"/>
      <w:r w:rsidR="0028509A" w:rsidRPr="009E7127">
        <w:rPr>
          <w:rFonts w:ascii="Times New Roman" w:hAnsi="Times New Roman"/>
          <w:color w:val="auto"/>
          <w:sz w:val="24"/>
          <w:szCs w:val="22"/>
        </w:rPr>
        <w:t>methylethoxy)fenyl</w:t>
      </w:r>
      <w:proofErr w:type="gramEnd"/>
      <w:r w:rsidR="0028509A" w:rsidRPr="009E7127">
        <w:rPr>
          <w:rFonts w:ascii="Times New Roman" w:hAnsi="Times New Roman"/>
          <w:color w:val="auto"/>
          <w:sz w:val="24"/>
          <w:szCs w:val="22"/>
        </w:rPr>
        <w:t>] methyl] -5-nitro-lH-benzimidazol-l-ethanamin (</w:t>
      </w:r>
      <w:proofErr w:type="spellStart"/>
      <w:r w:rsidR="0028509A" w:rsidRPr="009E7127">
        <w:rPr>
          <w:rFonts w:ascii="Times New Roman" w:hAnsi="Times New Roman"/>
          <w:color w:val="auto"/>
          <w:sz w:val="24"/>
          <w:szCs w:val="22"/>
        </w:rPr>
        <w:t>isotonitazen</w:t>
      </w:r>
      <w:proofErr w:type="spellEnd"/>
      <w:r w:rsidR="0028509A" w:rsidRPr="009E7127">
        <w:rPr>
          <w:rFonts w:ascii="Times New Roman" w:hAnsi="Times New Roman"/>
          <w:color w:val="auto"/>
          <w:sz w:val="24"/>
          <w:szCs w:val="22"/>
        </w:rPr>
        <w:t>) v definici návyková látka</w:t>
      </w:r>
      <w:r w:rsidR="0039129E">
        <w:rPr>
          <w:rFonts w:ascii="Times New Roman" w:hAnsi="Times New Roman"/>
          <w:color w:val="auto"/>
          <w:sz w:val="24"/>
          <w:szCs w:val="22"/>
        </w:rPr>
        <w:t>,</w:t>
      </w:r>
    </w:p>
    <w:p w14:paraId="53DB6263" w14:textId="6AF7BFCA" w:rsidR="0028509A" w:rsidRDefault="0021292E" w:rsidP="0039129E">
      <w:pPr>
        <w:numPr>
          <w:ilvl w:val="0"/>
          <w:numId w:val="1"/>
        </w:numPr>
        <w:spacing w:after="240" w:line="240" w:lineRule="auto"/>
        <w:rPr>
          <w:rFonts w:ascii="Times New Roman" w:hAnsi="Times New Roman"/>
          <w:color w:val="auto"/>
          <w:sz w:val="24"/>
          <w:szCs w:val="22"/>
        </w:rPr>
      </w:pPr>
      <w:r w:rsidRPr="0021292E">
        <w:rPr>
          <w:rFonts w:ascii="Times New Roman" w:hAnsi="Times New Roman"/>
          <w:color w:val="auto"/>
          <w:sz w:val="24"/>
          <w:szCs w:val="22"/>
        </w:rPr>
        <w:t xml:space="preserve">směrnice Komise v přenesené pravomoci </w:t>
      </w:r>
      <w:r w:rsidR="0028509A" w:rsidRPr="009E7127">
        <w:rPr>
          <w:rFonts w:ascii="Times New Roman" w:hAnsi="Times New Roman"/>
          <w:color w:val="auto"/>
          <w:sz w:val="24"/>
          <w:szCs w:val="22"/>
        </w:rPr>
        <w:t>(EU) 2021/802 ze dne 12. března 2021, kterou se mění příloha rámcového rozhodnutí Rady 2004/757/SVV, pokud jde o zahrnutí nových psychoaktivních látek methyl 3,3-dimethyl-2-{[1-(pent-4-en-1-</w:t>
      </w:r>
      <w:proofErr w:type="gramStart"/>
      <w:r w:rsidR="0028509A" w:rsidRPr="009E7127">
        <w:rPr>
          <w:rFonts w:ascii="Times New Roman" w:hAnsi="Times New Roman"/>
          <w:color w:val="auto"/>
          <w:sz w:val="24"/>
          <w:szCs w:val="22"/>
        </w:rPr>
        <w:t>yl)-</w:t>
      </w:r>
      <w:proofErr w:type="gramEnd"/>
      <w:r w:rsidR="0028509A" w:rsidRPr="009E7127">
        <w:rPr>
          <w:rFonts w:ascii="Times New Roman" w:hAnsi="Times New Roman"/>
          <w:color w:val="auto"/>
          <w:sz w:val="24"/>
          <w:szCs w:val="22"/>
        </w:rPr>
        <w:t>1H- indazol-3-karbonyl]</w:t>
      </w:r>
      <w:proofErr w:type="spellStart"/>
      <w:r w:rsidR="0028509A" w:rsidRPr="009E7127">
        <w:rPr>
          <w:rFonts w:ascii="Times New Roman" w:hAnsi="Times New Roman"/>
          <w:color w:val="auto"/>
          <w:sz w:val="24"/>
          <w:szCs w:val="22"/>
        </w:rPr>
        <w:t>amino</w:t>
      </w:r>
      <w:proofErr w:type="spellEnd"/>
      <w:r w:rsidR="0028509A" w:rsidRPr="009E7127">
        <w:rPr>
          <w:rFonts w:ascii="Times New Roman" w:hAnsi="Times New Roman"/>
          <w:color w:val="auto"/>
          <w:sz w:val="24"/>
          <w:szCs w:val="22"/>
        </w:rPr>
        <w:t xml:space="preserve">} </w:t>
      </w:r>
      <w:proofErr w:type="spellStart"/>
      <w:r w:rsidR="0028509A" w:rsidRPr="009E7127">
        <w:rPr>
          <w:rFonts w:ascii="Times New Roman" w:hAnsi="Times New Roman"/>
          <w:color w:val="auto"/>
          <w:sz w:val="24"/>
          <w:szCs w:val="22"/>
        </w:rPr>
        <w:t>butanoát</w:t>
      </w:r>
      <w:proofErr w:type="spellEnd"/>
      <w:r w:rsidR="0028509A" w:rsidRPr="009E7127">
        <w:rPr>
          <w:rFonts w:ascii="Times New Roman" w:hAnsi="Times New Roman"/>
          <w:color w:val="auto"/>
          <w:sz w:val="24"/>
          <w:szCs w:val="22"/>
        </w:rPr>
        <w:t xml:space="preserve"> (MDMB-4en-PINACA) a methyl-2-{[1-(4-fluor- butyl) -1H-indol-3-karbonyl] </w:t>
      </w:r>
      <w:proofErr w:type="spellStart"/>
      <w:r w:rsidR="0028509A" w:rsidRPr="009E7127">
        <w:rPr>
          <w:rFonts w:ascii="Times New Roman" w:hAnsi="Times New Roman"/>
          <w:color w:val="auto"/>
          <w:sz w:val="24"/>
          <w:szCs w:val="22"/>
        </w:rPr>
        <w:t>amino</w:t>
      </w:r>
      <w:proofErr w:type="spellEnd"/>
      <w:r w:rsidR="0028509A" w:rsidRPr="009E7127">
        <w:rPr>
          <w:rFonts w:ascii="Times New Roman" w:hAnsi="Times New Roman"/>
          <w:color w:val="auto"/>
          <w:sz w:val="24"/>
          <w:szCs w:val="22"/>
        </w:rPr>
        <w:t>}-3,3-dimethylbutanoát (4F-MDMB-BICA) do definice drogy</w:t>
      </w:r>
      <w:r w:rsidR="0039129E">
        <w:rPr>
          <w:rFonts w:ascii="Times New Roman" w:hAnsi="Times New Roman"/>
          <w:color w:val="auto"/>
          <w:sz w:val="24"/>
          <w:szCs w:val="22"/>
        </w:rPr>
        <w:t>,</w:t>
      </w:r>
    </w:p>
    <w:p w14:paraId="225A5C3D" w14:textId="124F4432" w:rsidR="0028509A" w:rsidRPr="006826DF" w:rsidRDefault="0021292E" w:rsidP="0039129E">
      <w:pPr>
        <w:numPr>
          <w:ilvl w:val="0"/>
          <w:numId w:val="1"/>
        </w:numPr>
        <w:spacing w:after="240" w:line="240" w:lineRule="auto"/>
        <w:rPr>
          <w:rFonts w:ascii="Times New Roman" w:hAnsi="Times New Roman"/>
          <w:color w:val="auto"/>
          <w:sz w:val="24"/>
          <w:szCs w:val="22"/>
        </w:rPr>
      </w:pPr>
      <w:r w:rsidRPr="0021292E">
        <w:rPr>
          <w:rFonts w:ascii="Times New Roman" w:hAnsi="Times New Roman"/>
          <w:color w:val="auto"/>
          <w:sz w:val="24"/>
          <w:szCs w:val="22"/>
        </w:rPr>
        <w:t xml:space="preserve">směrnice Komise v přenesené pravomoci </w:t>
      </w:r>
      <w:r w:rsidR="0028509A" w:rsidRPr="006826DF">
        <w:rPr>
          <w:rFonts w:ascii="Times New Roman" w:hAnsi="Times New Roman"/>
          <w:color w:val="auto"/>
          <w:sz w:val="24"/>
          <w:szCs w:val="22"/>
        </w:rPr>
        <w:t>(EU) 2022/1326 ze dne 18. března 2022, kterou se mění příloha rámcového rozhodnutí Rady 2004/757/SVV, pokud jde o</w:t>
      </w:r>
      <w:r w:rsidR="0022460C">
        <w:rPr>
          <w:rFonts w:ascii="Times New Roman" w:hAnsi="Times New Roman"/>
          <w:color w:val="auto"/>
          <w:sz w:val="24"/>
          <w:szCs w:val="22"/>
        </w:rPr>
        <w:t> </w:t>
      </w:r>
      <w:r w:rsidR="0028509A" w:rsidRPr="006826DF">
        <w:rPr>
          <w:rFonts w:ascii="Times New Roman" w:hAnsi="Times New Roman"/>
          <w:color w:val="auto"/>
          <w:sz w:val="24"/>
          <w:szCs w:val="22"/>
        </w:rPr>
        <w:t>zahrnutí nových</w:t>
      </w:r>
      <w:r w:rsidR="0028509A">
        <w:rPr>
          <w:rFonts w:ascii="Times New Roman" w:hAnsi="Times New Roman"/>
          <w:color w:val="auto"/>
          <w:sz w:val="24"/>
          <w:szCs w:val="22"/>
        </w:rPr>
        <w:t xml:space="preserve"> </w:t>
      </w:r>
      <w:r w:rsidR="0028509A" w:rsidRPr="006826DF">
        <w:rPr>
          <w:rFonts w:ascii="Times New Roman" w:hAnsi="Times New Roman"/>
          <w:color w:val="auto"/>
          <w:sz w:val="24"/>
          <w:szCs w:val="22"/>
        </w:rPr>
        <w:t>psychoaktivních látek do definice drogy</w:t>
      </w:r>
      <w:r w:rsidR="0028509A">
        <w:rPr>
          <w:rFonts w:ascii="Times New Roman" w:hAnsi="Times New Roman"/>
          <w:color w:val="auto"/>
          <w:sz w:val="24"/>
          <w:szCs w:val="22"/>
        </w:rPr>
        <w:t xml:space="preserve"> (zařazení látek </w:t>
      </w:r>
      <w:r w:rsidR="0028509A" w:rsidRPr="006826DF">
        <w:rPr>
          <w:rFonts w:ascii="Times New Roman" w:hAnsi="Times New Roman"/>
          <w:color w:val="auto"/>
          <w:sz w:val="24"/>
          <w:szCs w:val="22"/>
        </w:rPr>
        <w:t>3-MMC a 3-CMC</w:t>
      </w:r>
      <w:r w:rsidR="0028509A">
        <w:rPr>
          <w:rFonts w:ascii="Times New Roman" w:hAnsi="Times New Roman"/>
          <w:color w:val="auto"/>
          <w:sz w:val="24"/>
          <w:szCs w:val="22"/>
        </w:rPr>
        <w:t>)</w:t>
      </w:r>
      <w:r w:rsidR="001B43F2">
        <w:rPr>
          <w:rFonts w:ascii="Times New Roman" w:hAnsi="Times New Roman"/>
          <w:color w:val="auto"/>
          <w:sz w:val="24"/>
          <w:szCs w:val="22"/>
        </w:rPr>
        <w:t>.</w:t>
      </w:r>
    </w:p>
    <w:p w14:paraId="059156B9" w14:textId="3848E326" w:rsidR="0028509A" w:rsidRDefault="0028509A" w:rsidP="0039129E">
      <w:pPr>
        <w:spacing w:line="240" w:lineRule="auto"/>
        <w:ind w:firstLine="708"/>
        <w:rPr>
          <w:rFonts w:ascii="Times New Roman" w:hAnsi="Times New Roman"/>
          <w:bCs/>
          <w:color w:val="auto"/>
          <w:sz w:val="24"/>
          <w:szCs w:val="22"/>
        </w:rPr>
      </w:pPr>
      <w:r w:rsidRPr="009E7127">
        <w:rPr>
          <w:rFonts w:ascii="Times New Roman" w:hAnsi="Times New Roman"/>
          <w:bCs/>
          <w:color w:val="auto"/>
          <w:sz w:val="24"/>
          <w:szCs w:val="22"/>
        </w:rPr>
        <w:t>Navrhovaná právní úprava je podle odůvodnění návrhu technickým předpisem ve smyslu směrnice Evropského Parlamentu a Rady (EU) 2015/1535 ze dne 9. září 2015 o postupu při poskytování informací v oblasti technických předpisů a předpisů pro služby informační společnosti. Návrh nařízení vlády má z tohoto důvodu podstoupit notifikační proces podle této unijní úpravy.</w:t>
      </w:r>
    </w:p>
    <w:p w14:paraId="16454AC7" w14:textId="77777777" w:rsidR="003549B4" w:rsidRPr="00DE072D" w:rsidRDefault="003549B4" w:rsidP="0039129E">
      <w:pPr>
        <w:spacing w:line="240" w:lineRule="auto"/>
        <w:ind w:firstLine="708"/>
        <w:rPr>
          <w:rFonts w:ascii="Times New Roman" w:hAnsi="Times New Roman"/>
          <w:bCs/>
          <w:color w:val="auto"/>
          <w:sz w:val="24"/>
          <w:szCs w:val="22"/>
        </w:rPr>
      </w:pPr>
      <w:r w:rsidRPr="00DE072D">
        <w:rPr>
          <w:rFonts w:ascii="Times New Roman" w:hAnsi="Times New Roman"/>
          <w:bCs/>
          <w:color w:val="auto"/>
          <w:sz w:val="24"/>
          <w:szCs w:val="22"/>
        </w:rPr>
        <w:t>Z důvodu urychlení legislativního procesu s ohledem na ochranu zdraví obyvatelstva byla požádána Legislativní rada vlády o udělení výjimky z provedení hodnocení dopadů regulace (RIA) k návrhu nařízení vlády, kterým se mění nařízení č. 463/2013 Sb., o seznamech návykových látek, ve znění pozdějších předpisů.</w:t>
      </w:r>
    </w:p>
    <w:p w14:paraId="7B526CDC" w14:textId="1117E2ED" w:rsidR="003549B4" w:rsidRPr="009E7127" w:rsidRDefault="003549B4" w:rsidP="0039129E">
      <w:pPr>
        <w:spacing w:line="240" w:lineRule="auto"/>
        <w:ind w:firstLine="708"/>
        <w:rPr>
          <w:rFonts w:ascii="Times New Roman" w:hAnsi="Times New Roman"/>
          <w:bCs/>
          <w:color w:val="auto"/>
          <w:sz w:val="24"/>
          <w:szCs w:val="22"/>
        </w:rPr>
      </w:pPr>
      <w:r w:rsidRPr="00DE072D">
        <w:rPr>
          <w:rFonts w:ascii="Times New Roman" w:hAnsi="Times New Roman"/>
          <w:bCs/>
          <w:color w:val="auto"/>
          <w:sz w:val="24"/>
          <w:szCs w:val="22"/>
        </w:rPr>
        <w:t>Dopisem předsedy Legislativní rady vlády č.j. 9947/2023-UVCR</w:t>
      </w:r>
      <w:r>
        <w:rPr>
          <w:rFonts w:ascii="Times New Roman" w:hAnsi="Times New Roman"/>
          <w:bCs/>
          <w:color w:val="auto"/>
          <w:sz w:val="24"/>
          <w:szCs w:val="22"/>
        </w:rPr>
        <w:t xml:space="preserve"> </w:t>
      </w:r>
      <w:r w:rsidRPr="00DE072D">
        <w:rPr>
          <w:rFonts w:ascii="Times New Roman" w:hAnsi="Times New Roman"/>
          <w:bCs/>
          <w:color w:val="auto"/>
          <w:sz w:val="24"/>
          <w:szCs w:val="22"/>
        </w:rPr>
        <w:t xml:space="preserve">ze dne </w:t>
      </w:r>
      <w:r>
        <w:rPr>
          <w:rFonts w:ascii="Times New Roman" w:hAnsi="Times New Roman"/>
          <w:bCs/>
          <w:color w:val="auto"/>
          <w:sz w:val="24"/>
          <w:szCs w:val="22"/>
        </w:rPr>
        <w:t>28</w:t>
      </w:r>
      <w:r w:rsidRPr="00DE072D">
        <w:rPr>
          <w:rFonts w:ascii="Times New Roman" w:hAnsi="Times New Roman"/>
          <w:bCs/>
          <w:color w:val="auto"/>
          <w:sz w:val="24"/>
          <w:szCs w:val="22"/>
        </w:rPr>
        <w:t xml:space="preserve">. </w:t>
      </w:r>
      <w:r>
        <w:rPr>
          <w:rFonts w:ascii="Times New Roman" w:hAnsi="Times New Roman"/>
          <w:bCs/>
          <w:color w:val="auto"/>
          <w:sz w:val="24"/>
          <w:szCs w:val="22"/>
        </w:rPr>
        <w:t>února</w:t>
      </w:r>
      <w:r w:rsidRPr="00DE072D">
        <w:rPr>
          <w:rFonts w:ascii="Times New Roman" w:hAnsi="Times New Roman"/>
          <w:bCs/>
          <w:color w:val="auto"/>
          <w:sz w:val="24"/>
          <w:szCs w:val="22"/>
        </w:rPr>
        <w:t xml:space="preserve"> 202</w:t>
      </w:r>
      <w:r>
        <w:rPr>
          <w:rFonts w:ascii="Times New Roman" w:hAnsi="Times New Roman"/>
          <w:bCs/>
          <w:color w:val="auto"/>
          <w:sz w:val="24"/>
          <w:szCs w:val="22"/>
        </w:rPr>
        <w:t>3</w:t>
      </w:r>
      <w:r w:rsidRPr="00DE072D">
        <w:rPr>
          <w:rFonts w:ascii="Times New Roman" w:hAnsi="Times New Roman"/>
          <w:bCs/>
          <w:color w:val="auto"/>
          <w:sz w:val="24"/>
          <w:szCs w:val="22"/>
        </w:rPr>
        <w:t xml:space="preserve"> bylo rozhodnuto v souladu s čl. 76 odst. 2 Legislativních pravidel vlády o udělení výjimky z</w:t>
      </w:r>
      <w:r w:rsidR="0022460C">
        <w:rPr>
          <w:rFonts w:ascii="Times New Roman" w:hAnsi="Times New Roman"/>
          <w:bCs/>
          <w:color w:val="auto"/>
          <w:sz w:val="24"/>
          <w:szCs w:val="22"/>
        </w:rPr>
        <w:t> </w:t>
      </w:r>
      <w:r w:rsidRPr="00DE072D">
        <w:rPr>
          <w:rFonts w:ascii="Times New Roman" w:hAnsi="Times New Roman"/>
          <w:bCs/>
          <w:color w:val="auto"/>
          <w:sz w:val="24"/>
          <w:szCs w:val="22"/>
        </w:rPr>
        <w:t>vypracování hodnocení dopadů regulace (RIA).</w:t>
      </w:r>
    </w:p>
    <w:p w14:paraId="6F3D1B18" w14:textId="4374C3AA" w:rsidR="003549B4" w:rsidRDefault="003549B4" w:rsidP="0039129E">
      <w:pPr>
        <w:spacing w:line="240" w:lineRule="auto"/>
        <w:ind w:firstLine="708"/>
        <w:rPr>
          <w:rFonts w:ascii="Times New Roman" w:hAnsi="Times New Roman"/>
          <w:bCs/>
          <w:color w:val="auto"/>
          <w:sz w:val="24"/>
          <w:szCs w:val="22"/>
        </w:rPr>
      </w:pPr>
    </w:p>
    <w:p w14:paraId="7183214E" w14:textId="77777777" w:rsidR="0021292E" w:rsidRPr="009E7127" w:rsidRDefault="0021292E" w:rsidP="0039129E">
      <w:pPr>
        <w:spacing w:line="240" w:lineRule="auto"/>
        <w:ind w:firstLine="708"/>
        <w:rPr>
          <w:rFonts w:ascii="Times New Roman" w:hAnsi="Times New Roman"/>
          <w:bCs/>
          <w:color w:val="auto"/>
          <w:sz w:val="24"/>
          <w:szCs w:val="22"/>
        </w:rPr>
      </w:pPr>
    </w:p>
    <w:p w14:paraId="33B8AE95" w14:textId="77777777" w:rsidR="0028509A" w:rsidRPr="009E7127" w:rsidRDefault="0028509A" w:rsidP="0039129E">
      <w:pPr>
        <w:spacing w:line="240" w:lineRule="auto"/>
        <w:contextualSpacing/>
        <w:rPr>
          <w:rFonts w:ascii="Times New Roman" w:hAnsi="Times New Roman"/>
          <w:color w:val="auto"/>
          <w:sz w:val="24"/>
        </w:rPr>
      </w:pPr>
    </w:p>
    <w:p w14:paraId="4F0E4685" w14:textId="77777777" w:rsidR="0028509A" w:rsidRPr="009E7127" w:rsidRDefault="0028509A" w:rsidP="0039129E">
      <w:pPr>
        <w:suppressAutoHyphens/>
        <w:spacing w:line="240" w:lineRule="auto"/>
        <w:rPr>
          <w:rFonts w:ascii="Times New Roman" w:hAnsi="Times New Roman"/>
          <w:b/>
          <w:color w:val="auto"/>
          <w:sz w:val="24"/>
        </w:rPr>
      </w:pPr>
      <w:r w:rsidRPr="009E7127">
        <w:rPr>
          <w:rFonts w:ascii="Times New Roman" w:hAnsi="Times New Roman"/>
          <w:b/>
          <w:color w:val="auto"/>
          <w:sz w:val="24"/>
        </w:rPr>
        <w:lastRenderedPageBreak/>
        <w:t>Předpokládaný hospodářský a finanční dosah navrhované právní úpravy na státní rozpočet, ostatní veřejné rozpočty, na podnikatelské prostředí České republiky, dále sociální dopady, včetně dopadů na specifické skupiny obyvatel, zejména osoby sociálně slabé, osoby se zdravotním postižením a národnostní menšiny, a dopady na životní prostředí</w:t>
      </w:r>
    </w:p>
    <w:p w14:paraId="71B44597" w14:textId="77777777" w:rsidR="0028509A" w:rsidRPr="009E7127" w:rsidRDefault="0028509A" w:rsidP="0039129E">
      <w:pPr>
        <w:spacing w:line="240" w:lineRule="auto"/>
        <w:ind w:firstLine="709"/>
        <w:rPr>
          <w:rFonts w:ascii="Times New Roman" w:hAnsi="Times New Roman"/>
          <w:color w:val="auto"/>
          <w:sz w:val="24"/>
        </w:rPr>
      </w:pPr>
    </w:p>
    <w:p w14:paraId="2BDE9390" w14:textId="4CEB9273" w:rsidR="0028509A" w:rsidRDefault="0028509A" w:rsidP="0039129E">
      <w:pPr>
        <w:spacing w:line="240" w:lineRule="auto"/>
        <w:ind w:firstLine="709"/>
        <w:rPr>
          <w:rFonts w:ascii="Times New Roman" w:hAnsi="Times New Roman"/>
          <w:color w:val="auto"/>
          <w:sz w:val="24"/>
        </w:rPr>
      </w:pPr>
      <w:r w:rsidRPr="009E7127">
        <w:rPr>
          <w:rFonts w:ascii="Times New Roman" w:hAnsi="Times New Roman"/>
          <w:color w:val="auto"/>
          <w:sz w:val="24"/>
        </w:rPr>
        <w:t xml:space="preserve">Předkládaný návrh </w:t>
      </w:r>
      <w:r w:rsidRPr="009E7127">
        <w:rPr>
          <w:rFonts w:ascii="Times New Roman" w:hAnsi="Times New Roman"/>
          <w:color w:val="auto"/>
          <w:sz w:val="24"/>
          <w:szCs w:val="20"/>
        </w:rPr>
        <w:t>novelizace nařízení vlády</w:t>
      </w:r>
      <w:r>
        <w:rPr>
          <w:rFonts w:ascii="Times New Roman" w:hAnsi="Times New Roman"/>
          <w:color w:val="auto"/>
          <w:sz w:val="24"/>
          <w:szCs w:val="20"/>
        </w:rPr>
        <w:t xml:space="preserve"> může mít dopad na podnikatelské subjekty, které se zabývají prodejem HHC</w:t>
      </w:r>
      <w:r w:rsidR="0021292E">
        <w:rPr>
          <w:rFonts w:ascii="Times New Roman" w:hAnsi="Times New Roman"/>
          <w:color w:val="auto"/>
          <w:sz w:val="24"/>
          <w:szCs w:val="20"/>
        </w:rPr>
        <w:t xml:space="preserve"> a </w:t>
      </w:r>
      <w:proofErr w:type="spellStart"/>
      <w:r w:rsidR="0021292E">
        <w:rPr>
          <w:rFonts w:ascii="Times New Roman" w:hAnsi="Times New Roman"/>
          <w:color w:val="auto"/>
          <w:sz w:val="24"/>
          <w:szCs w:val="20"/>
        </w:rPr>
        <w:t>kratomu</w:t>
      </w:r>
      <w:proofErr w:type="spellEnd"/>
      <w:r>
        <w:rPr>
          <w:rFonts w:ascii="Times New Roman" w:hAnsi="Times New Roman"/>
          <w:color w:val="auto"/>
          <w:sz w:val="24"/>
          <w:szCs w:val="20"/>
        </w:rPr>
        <w:t xml:space="preserve"> často uváděným jako prodej sběratelských předmětů, přestože z návodů a informací prodejců je zřejmé jejich užití ke konzumaci. </w:t>
      </w:r>
      <w:r w:rsidR="0021292E">
        <w:rPr>
          <w:rFonts w:ascii="Times New Roman" w:hAnsi="Times New Roman"/>
          <w:color w:val="auto"/>
          <w:sz w:val="24"/>
          <w:szCs w:val="20"/>
        </w:rPr>
        <w:t>S ohledem na značné rozšíření těchto látek v nedospělé populaci</w:t>
      </w:r>
      <w:r w:rsidR="002F6C23">
        <w:rPr>
          <w:rFonts w:ascii="Times New Roman" w:hAnsi="Times New Roman"/>
          <w:color w:val="auto"/>
          <w:sz w:val="24"/>
          <w:szCs w:val="20"/>
        </w:rPr>
        <w:t>,</w:t>
      </w:r>
      <w:r w:rsidR="0021292E">
        <w:rPr>
          <w:rFonts w:ascii="Times New Roman" w:hAnsi="Times New Roman"/>
          <w:color w:val="auto"/>
          <w:sz w:val="24"/>
          <w:szCs w:val="20"/>
        </w:rPr>
        <w:t xml:space="preserve"> </w:t>
      </w:r>
      <w:r w:rsidR="002F6C23">
        <w:rPr>
          <w:rFonts w:ascii="Times New Roman" w:hAnsi="Times New Roman"/>
          <w:color w:val="auto"/>
          <w:sz w:val="24"/>
          <w:szCs w:val="20"/>
        </w:rPr>
        <w:t xml:space="preserve">a s tím související významné riziko pro veřejné zdraví, </w:t>
      </w:r>
      <w:r w:rsidR="0021292E">
        <w:rPr>
          <w:rFonts w:ascii="Times New Roman" w:hAnsi="Times New Roman"/>
          <w:color w:val="auto"/>
          <w:sz w:val="24"/>
          <w:szCs w:val="20"/>
        </w:rPr>
        <w:t xml:space="preserve">navrhovatel upřednostnil </w:t>
      </w:r>
      <w:r w:rsidR="002F6C23">
        <w:rPr>
          <w:rFonts w:ascii="Times New Roman" w:hAnsi="Times New Roman"/>
          <w:color w:val="auto"/>
          <w:sz w:val="24"/>
          <w:szCs w:val="20"/>
        </w:rPr>
        <w:t xml:space="preserve">zdravotní </w:t>
      </w:r>
      <w:r w:rsidR="0021292E">
        <w:rPr>
          <w:rFonts w:ascii="Times New Roman" w:hAnsi="Times New Roman"/>
          <w:color w:val="auto"/>
          <w:sz w:val="24"/>
          <w:szCs w:val="20"/>
        </w:rPr>
        <w:t xml:space="preserve">rizika vyplývající z lehké dostupnosti výše zmíněných látek oproti případným dopadům na hospodářské subjekty, které se zabývají prodejem HHC a </w:t>
      </w:r>
      <w:proofErr w:type="spellStart"/>
      <w:r w:rsidR="0021292E">
        <w:rPr>
          <w:rFonts w:ascii="Times New Roman" w:hAnsi="Times New Roman"/>
          <w:color w:val="auto"/>
          <w:sz w:val="24"/>
          <w:szCs w:val="20"/>
        </w:rPr>
        <w:t>kratomu</w:t>
      </w:r>
      <w:proofErr w:type="spellEnd"/>
      <w:r w:rsidR="0021292E">
        <w:rPr>
          <w:rFonts w:ascii="Times New Roman" w:hAnsi="Times New Roman"/>
          <w:color w:val="auto"/>
          <w:sz w:val="24"/>
          <w:szCs w:val="20"/>
        </w:rPr>
        <w:t xml:space="preserve">. </w:t>
      </w:r>
    </w:p>
    <w:p w14:paraId="14CFCFC2" w14:textId="77777777" w:rsidR="0028509A" w:rsidRPr="009E7127" w:rsidRDefault="0028509A" w:rsidP="0039129E">
      <w:pPr>
        <w:spacing w:line="240" w:lineRule="auto"/>
        <w:ind w:firstLine="709"/>
        <w:rPr>
          <w:rFonts w:ascii="Times New Roman" w:hAnsi="Times New Roman"/>
          <w:color w:val="auto"/>
          <w:sz w:val="24"/>
        </w:rPr>
      </w:pPr>
      <w:r w:rsidRPr="009E7127">
        <w:rPr>
          <w:rFonts w:ascii="Times New Roman" w:hAnsi="Times New Roman"/>
          <w:color w:val="auto"/>
          <w:sz w:val="24"/>
        </w:rPr>
        <w:t xml:space="preserve">Předkládaný návrh </w:t>
      </w:r>
      <w:r w:rsidRPr="009E7127">
        <w:rPr>
          <w:rFonts w:ascii="Times New Roman" w:hAnsi="Times New Roman"/>
          <w:color w:val="auto"/>
          <w:sz w:val="24"/>
          <w:szCs w:val="20"/>
        </w:rPr>
        <w:t xml:space="preserve">novelizace nařízení vlády s ohledem na svůj charakter </w:t>
      </w:r>
      <w:r w:rsidRPr="009E7127">
        <w:rPr>
          <w:rFonts w:ascii="Times New Roman" w:hAnsi="Times New Roman"/>
          <w:color w:val="auto"/>
          <w:sz w:val="24"/>
        </w:rPr>
        <w:t>nemá žádné negativní sociální dopady ani nemá žádné dopady na specifické skupiny obyvatel</w:t>
      </w:r>
      <w:r>
        <w:rPr>
          <w:rFonts w:ascii="Times New Roman" w:hAnsi="Times New Roman"/>
          <w:color w:val="auto"/>
          <w:sz w:val="24"/>
        </w:rPr>
        <w:t xml:space="preserve">. </w:t>
      </w:r>
    </w:p>
    <w:p w14:paraId="03621428" w14:textId="77777777" w:rsidR="0028509A" w:rsidRPr="009E7127" w:rsidRDefault="0028509A" w:rsidP="0039129E">
      <w:pPr>
        <w:spacing w:line="240" w:lineRule="auto"/>
        <w:ind w:firstLine="709"/>
        <w:rPr>
          <w:rFonts w:ascii="Times New Roman" w:hAnsi="Times New Roman"/>
          <w:color w:val="auto"/>
          <w:sz w:val="24"/>
        </w:rPr>
      </w:pPr>
      <w:r w:rsidRPr="009E7127">
        <w:rPr>
          <w:rFonts w:ascii="Times New Roman" w:hAnsi="Times New Roman"/>
          <w:color w:val="auto"/>
          <w:sz w:val="24"/>
        </w:rPr>
        <w:t xml:space="preserve">Předkládaný návrh </w:t>
      </w:r>
      <w:r w:rsidRPr="009E7127">
        <w:rPr>
          <w:rFonts w:ascii="Times New Roman" w:hAnsi="Times New Roman"/>
          <w:color w:val="auto"/>
          <w:sz w:val="24"/>
          <w:szCs w:val="20"/>
        </w:rPr>
        <w:t xml:space="preserve">novelizace nařízení vlády </w:t>
      </w:r>
      <w:r w:rsidRPr="009E7127">
        <w:rPr>
          <w:rFonts w:ascii="Times New Roman" w:hAnsi="Times New Roman"/>
          <w:color w:val="auto"/>
          <w:sz w:val="24"/>
        </w:rPr>
        <w:t>nemá žádné negativní dopady na životní prostředí.</w:t>
      </w:r>
    </w:p>
    <w:p w14:paraId="64ABEB5E" w14:textId="77777777" w:rsidR="0028509A" w:rsidRPr="009E7127" w:rsidRDefault="0028509A" w:rsidP="0039129E">
      <w:pPr>
        <w:spacing w:line="240" w:lineRule="auto"/>
        <w:rPr>
          <w:rFonts w:ascii="Times New Roman" w:hAnsi="Times New Roman"/>
          <w:b/>
          <w:color w:val="FF0000"/>
          <w:szCs w:val="20"/>
        </w:rPr>
      </w:pPr>
    </w:p>
    <w:p w14:paraId="3FE771F8" w14:textId="77777777" w:rsidR="0028509A" w:rsidRPr="009E7127" w:rsidRDefault="0028509A" w:rsidP="0028509A">
      <w:pPr>
        <w:spacing w:line="240" w:lineRule="auto"/>
        <w:rPr>
          <w:rFonts w:ascii="Times New Roman" w:hAnsi="Times New Roman"/>
          <w:b/>
          <w:color w:val="auto"/>
          <w:szCs w:val="20"/>
        </w:rPr>
      </w:pPr>
      <w:r w:rsidRPr="009E7127">
        <w:rPr>
          <w:rFonts w:ascii="Times New Roman" w:hAnsi="Times New Roman"/>
          <w:b/>
          <w:color w:val="auto"/>
          <w:sz w:val="24"/>
          <w:szCs w:val="20"/>
        </w:rPr>
        <w:t>Zhodnocení současného stavu a dopadů navrhovaného řešení ve vztahu k zákazu diskriminace</w:t>
      </w:r>
    </w:p>
    <w:p w14:paraId="2D0C1CD9" w14:textId="77777777" w:rsidR="0028509A" w:rsidRPr="009E7127" w:rsidRDefault="0028509A" w:rsidP="0028509A">
      <w:pPr>
        <w:spacing w:line="240" w:lineRule="auto"/>
        <w:ind w:firstLine="708"/>
        <w:rPr>
          <w:rFonts w:ascii="Times New Roman" w:hAnsi="Times New Roman"/>
          <w:color w:val="auto"/>
          <w:sz w:val="24"/>
          <w:szCs w:val="20"/>
        </w:rPr>
      </w:pPr>
    </w:p>
    <w:p w14:paraId="44BB7DEF" w14:textId="77777777" w:rsidR="0028509A" w:rsidRPr="009E7127" w:rsidRDefault="0028509A" w:rsidP="0028509A">
      <w:pPr>
        <w:spacing w:line="240" w:lineRule="auto"/>
        <w:ind w:firstLine="708"/>
        <w:rPr>
          <w:rFonts w:ascii="Times New Roman" w:hAnsi="Times New Roman"/>
          <w:b/>
          <w:color w:val="auto"/>
          <w:sz w:val="24"/>
          <w:szCs w:val="20"/>
        </w:rPr>
      </w:pPr>
      <w:r w:rsidRPr="009E7127">
        <w:rPr>
          <w:rFonts w:ascii="Times New Roman" w:hAnsi="Times New Roman"/>
          <w:color w:val="auto"/>
          <w:sz w:val="24"/>
          <w:szCs w:val="20"/>
        </w:rPr>
        <w:t>Navrhovaná právní úprava neobsahuje ustanovení, která by byla předmětem diskriminace.</w:t>
      </w:r>
    </w:p>
    <w:p w14:paraId="67DB1024" w14:textId="77777777" w:rsidR="0028509A" w:rsidRPr="009E7127" w:rsidRDefault="0028509A" w:rsidP="0028509A">
      <w:pPr>
        <w:spacing w:line="240" w:lineRule="auto"/>
        <w:rPr>
          <w:rFonts w:ascii="Times New Roman" w:hAnsi="Times New Roman"/>
          <w:b/>
          <w:color w:val="auto"/>
          <w:szCs w:val="20"/>
        </w:rPr>
      </w:pPr>
    </w:p>
    <w:p w14:paraId="5A071882" w14:textId="77777777" w:rsidR="0028509A" w:rsidRPr="009E7127" w:rsidRDefault="0028509A" w:rsidP="0028509A">
      <w:pPr>
        <w:spacing w:line="240" w:lineRule="auto"/>
        <w:rPr>
          <w:rFonts w:ascii="Times New Roman" w:hAnsi="Times New Roman"/>
          <w:b/>
          <w:color w:val="auto"/>
          <w:szCs w:val="20"/>
        </w:rPr>
      </w:pPr>
    </w:p>
    <w:p w14:paraId="5D440E7D" w14:textId="77777777" w:rsidR="0028509A" w:rsidRPr="009E7127" w:rsidRDefault="0028509A" w:rsidP="0028509A">
      <w:pPr>
        <w:spacing w:line="240" w:lineRule="auto"/>
        <w:rPr>
          <w:rFonts w:ascii="Times New Roman" w:hAnsi="Times New Roman"/>
          <w:color w:val="auto"/>
          <w:sz w:val="24"/>
          <w:szCs w:val="20"/>
        </w:rPr>
      </w:pPr>
      <w:r w:rsidRPr="009E7127">
        <w:rPr>
          <w:rFonts w:ascii="Times New Roman" w:hAnsi="Times New Roman"/>
          <w:b/>
          <w:color w:val="auto"/>
          <w:sz w:val="24"/>
          <w:szCs w:val="20"/>
        </w:rPr>
        <w:t>Zhodnocení dopadů navrhovaného řešení ve vztahu k ochraně soukromí a osobních údajů</w:t>
      </w:r>
    </w:p>
    <w:p w14:paraId="16ECB465" w14:textId="77777777" w:rsidR="0028509A" w:rsidRPr="009E7127" w:rsidRDefault="0028509A" w:rsidP="0028509A">
      <w:pPr>
        <w:spacing w:line="240" w:lineRule="auto"/>
        <w:ind w:left="284" w:hanging="284"/>
        <w:rPr>
          <w:rFonts w:ascii="Times New Roman" w:hAnsi="Times New Roman"/>
          <w:b/>
          <w:color w:val="auto"/>
          <w:sz w:val="24"/>
          <w:szCs w:val="20"/>
        </w:rPr>
      </w:pPr>
    </w:p>
    <w:p w14:paraId="11D13826" w14:textId="77CA4E23" w:rsidR="0028509A" w:rsidRPr="009E7127" w:rsidRDefault="0028509A" w:rsidP="0028509A">
      <w:pPr>
        <w:spacing w:line="240" w:lineRule="auto"/>
        <w:ind w:firstLine="709"/>
        <w:rPr>
          <w:rFonts w:ascii="Times New Roman" w:hAnsi="Times New Roman"/>
          <w:b/>
          <w:color w:val="auto"/>
          <w:sz w:val="24"/>
          <w:szCs w:val="20"/>
        </w:rPr>
      </w:pPr>
      <w:r w:rsidRPr="009E7127">
        <w:rPr>
          <w:rFonts w:ascii="Times New Roman" w:hAnsi="Times New Roman"/>
          <w:color w:val="auto"/>
          <w:sz w:val="24"/>
          <w:szCs w:val="20"/>
        </w:rPr>
        <w:t xml:space="preserve">Navrhovaná právní úprava se nedotýká zákona </w:t>
      </w:r>
      <w:r w:rsidR="005729D4" w:rsidRPr="005729D4">
        <w:rPr>
          <w:rFonts w:ascii="Times New Roman" w:hAnsi="Times New Roman"/>
          <w:color w:val="auto"/>
          <w:sz w:val="24"/>
          <w:szCs w:val="20"/>
        </w:rPr>
        <w:t>č. 110/2019 Sb., o zpracování osobních údajů</w:t>
      </w:r>
      <w:r w:rsidRPr="009E7127">
        <w:rPr>
          <w:rFonts w:ascii="Times New Roman" w:hAnsi="Times New Roman"/>
          <w:color w:val="auto"/>
          <w:sz w:val="24"/>
          <w:szCs w:val="20"/>
        </w:rPr>
        <w:t xml:space="preserve">. </w:t>
      </w:r>
    </w:p>
    <w:p w14:paraId="2263B8C9" w14:textId="77777777" w:rsidR="0028509A" w:rsidRPr="009E7127" w:rsidRDefault="0028509A" w:rsidP="0028509A">
      <w:pPr>
        <w:spacing w:line="240" w:lineRule="auto"/>
        <w:ind w:left="284" w:hanging="284"/>
        <w:rPr>
          <w:rFonts w:ascii="Times New Roman" w:hAnsi="Times New Roman"/>
          <w:b/>
          <w:color w:val="auto"/>
          <w:sz w:val="24"/>
          <w:szCs w:val="20"/>
        </w:rPr>
      </w:pPr>
    </w:p>
    <w:p w14:paraId="0A7561D8" w14:textId="77777777" w:rsidR="0028509A" w:rsidRPr="009E7127" w:rsidRDefault="0028509A" w:rsidP="0028509A">
      <w:pPr>
        <w:spacing w:line="240" w:lineRule="auto"/>
        <w:ind w:left="284" w:hanging="284"/>
        <w:rPr>
          <w:rFonts w:ascii="Times New Roman" w:hAnsi="Times New Roman"/>
          <w:color w:val="auto"/>
          <w:sz w:val="24"/>
          <w:szCs w:val="20"/>
        </w:rPr>
      </w:pPr>
      <w:r w:rsidRPr="009E7127">
        <w:rPr>
          <w:rFonts w:ascii="Times New Roman" w:hAnsi="Times New Roman"/>
          <w:b/>
          <w:color w:val="auto"/>
          <w:sz w:val="24"/>
          <w:szCs w:val="20"/>
        </w:rPr>
        <w:t>Zhodnocení korupčních rizik</w:t>
      </w:r>
    </w:p>
    <w:p w14:paraId="54375457" w14:textId="77777777" w:rsidR="0028509A" w:rsidRPr="009E7127" w:rsidRDefault="0028509A" w:rsidP="0028509A">
      <w:pPr>
        <w:spacing w:line="240" w:lineRule="auto"/>
        <w:rPr>
          <w:rFonts w:ascii="Times New Roman" w:hAnsi="Times New Roman"/>
          <w:b/>
          <w:color w:val="FF0000"/>
          <w:sz w:val="24"/>
          <w:szCs w:val="20"/>
        </w:rPr>
      </w:pPr>
    </w:p>
    <w:p w14:paraId="69AB6246" w14:textId="77777777" w:rsidR="0028509A" w:rsidRPr="009E7127" w:rsidRDefault="0028509A" w:rsidP="0028509A">
      <w:pPr>
        <w:spacing w:line="240" w:lineRule="auto"/>
        <w:ind w:firstLine="708"/>
        <w:rPr>
          <w:rFonts w:ascii="Times New Roman" w:hAnsi="Times New Roman"/>
          <w:color w:val="auto"/>
          <w:sz w:val="24"/>
          <w:szCs w:val="20"/>
        </w:rPr>
      </w:pPr>
      <w:r w:rsidRPr="009E7127">
        <w:rPr>
          <w:rFonts w:ascii="Times New Roman" w:hAnsi="Times New Roman"/>
          <w:bCs/>
          <w:color w:val="auto"/>
          <w:sz w:val="24"/>
          <w:szCs w:val="20"/>
        </w:rPr>
        <w:t xml:space="preserve">Navrhovaná právní úprava </w:t>
      </w:r>
      <w:r w:rsidRPr="009E7127">
        <w:rPr>
          <w:rFonts w:ascii="Times New Roman" w:hAnsi="Times New Roman"/>
          <w:color w:val="auto"/>
          <w:sz w:val="24"/>
          <w:szCs w:val="20"/>
        </w:rPr>
        <w:t>nepředpokládá založení korupčních rizik ani jejich nárůst.</w:t>
      </w:r>
    </w:p>
    <w:p w14:paraId="6EE5FB02" w14:textId="77777777" w:rsidR="0028509A" w:rsidRPr="009E7127" w:rsidRDefault="0028509A" w:rsidP="0028509A">
      <w:pPr>
        <w:spacing w:line="240" w:lineRule="auto"/>
        <w:ind w:firstLine="709"/>
        <w:rPr>
          <w:rFonts w:ascii="Times New Roman" w:hAnsi="Times New Roman"/>
          <w:color w:val="auto"/>
          <w:sz w:val="24"/>
        </w:rPr>
      </w:pPr>
    </w:p>
    <w:p w14:paraId="07DB64EE" w14:textId="77777777" w:rsidR="0028509A" w:rsidRPr="009E7127" w:rsidRDefault="0028509A" w:rsidP="0028509A">
      <w:pPr>
        <w:spacing w:line="240" w:lineRule="auto"/>
        <w:ind w:left="284" w:hanging="284"/>
        <w:rPr>
          <w:rFonts w:ascii="Times New Roman" w:hAnsi="Times New Roman"/>
          <w:b/>
          <w:color w:val="auto"/>
          <w:sz w:val="24"/>
          <w:szCs w:val="20"/>
        </w:rPr>
      </w:pPr>
      <w:r w:rsidRPr="009E7127">
        <w:rPr>
          <w:rFonts w:ascii="Times New Roman" w:hAnsi="Times New Roman"/>
          <w:b/>
          <w:color w:val="auto"/>
          <w:sz w:val="24"/>
          <w:szCs w:val="20"/>
        </w:rPr>
        <w:t>Zhodnocení dopadů na bezpečnost nebo obranu státu</w:t>
      </w:r>
    </w:p>
    <w:p w14:paraId="06BBB2D7" w14:textId="77777777" w:rsidR="0028509A" w:rsidRPr="009E7127" w:rsidRDefault="0028509A" w:rsidP="0028509A">
      <w:pPr>
        <w:spacing w:line="240" w:lineRule="auto"/>
        <w:ind w:firstLine="709"/>
        <w:rPr>
          <w:rFonts w:ascii="Times New Roman" w:hAnsi="Times New Roman"/>
          <w:color w:val="auto"/>
          <w:sz w:val="24"/>
        </w:rPr>
      </w:pPr>
    </w:p>
    <w:p w14:paraId="69C8944E" w14:textId="659E40EE" w:rsidR="0028509A" w:rsidRDefault="0028509A" w:rsidP="0028509A">
      <w:pPr>
        <w:spacing w:line="240" w:lineRule="auto"/>
        <w:ind w:firstLine="709"/>
        <w:rPr>
          <w:rFonts w:ascii="Times New Roman" w:hAnsi="Times New Roman"/>
          <w:color w:val="auto"/>
          <w:sz w:val="24"/>
        </w:rPr>
      </w:pPr>
      <w:r w:rsidRPr="009E7127">
        <w:rPr>
          <w:rFonts w:ascii="Times New Roman" w:hAnsi="Times New Roman"/>
          <w:color w:val="auto"/>
          <w:sz w:val="24"/>
        </w:rPr>
        <w:t>Navrhovaná právní úprava nemá negativní dopad na bezpečnost nebo obranu státu.</w:t>
      </w:r>
    </w:p>
    <w:p w14:paraId="032DD8D6" w14:textId="10E42C36" w:rsidR="004513FF" w:rsidRDefault="004513FF" w:rsidP="0028509A">
      <w:pPr>
        <w:spacing w:line="240" w:lineRule="auto"/>
        <w:ind w:firstLine="709"/>
        <w:rPr>
          <w:rFonts w:ascii="Times New Roman" w:hAnsi="Times New Roman"/>
          <w:color w:val="auto"/>
          <w:sz w:val="24"/>
        </w:rPr>
      </w:pPr>
    </w:p>
    <w:p w14:paraId="169327AB" w14:textId="77777777" w:rsidR="004513FF" w:rsidRPr="004513FF" w:rsidRDefault="004513FF" w:rsidP="004513FF">
      <w:pPr>
        <w:spacing w:line="276" w:lineRule="auto"/>
        <w:rPr>
          <w:rFonts w:ascii="Times New Roman" w:hAnsi="Times New Roman"/>
          <w:b/>
          <w:bCs/>
          <w:sz w:val="24"/>
        </w:rPr>
      </w:pPr>
      <w:r w:rsidRPr="004513FF">
        <w:rPr>
          <w:rFonts w:ascii="Times New Roman" w:hAnsi="Times New Roman"/>
          <w:b/>
          <w:bCs/>
          <w:sz w:val="24"/>
        </w:rPr>
        <w:t>Zhodnocení dopadů v oblasti digitálně přívětivé legislativy</w:t>
      </w:r>
    </w:p>
    <w:p w14:paraId="266587F7" w14:textId="77777777" w:rsidR="004513FF" w:rsidRPr="004513FF" w:rsidRDefault="004513FF" w:rsidP="004513FF">
      <w:pPr>
        <w:spacing w:line="276" w:lineRule="auto"/>
        <w:rPr>
          <w:rFonts w:ascii="Times New Roman" w:hAnsi="Times New Roman"/>
          <w:b/>
          <w:bCs/>
          <w:sz w:val="24"/>
        </w:rPr>
      </w:pPr>
    </w:p>
    <w:p w14:paraId="201DD517" w14:textId="17D7B305" w:rsidR="004513FF" w:rsidRDefault="004513FF" w:rsidP="00685CAD">
      <w:pPr>
        <w:spacing w:line="276" w:lineRule="auto"/>
        <w:ind w:firstLine="708"/>
        <w:rPr>
          <w:rFonts w:ascii="Times New Roman" w:hAnsi="Times New Roman"/>
          <w:sz w:val="24"/>
        </w:rPr>
      </w:pPr>
      <w:r w:rsidRPr="004513FF">
        <w:rPr>
          <w:rFonts w:ascii="Times New Roman" w:hAnsi="Times New Roman"/>
          <w:sz w:val="24"/>
        </w:rPr>
        <w:t xml:space="preserve">S ohledem na charakter navrhované změny se nejedná o </w:t>
      </w:r>
      <w:r>
        <w:rPr>
          <w:rFonts w:ascii="Times New Roman" w:hAnsi="Times New Roman"/>
          <w:sz w:val="24"/>
        </w:rPr>
        <w:t>nařízení vlády</w:t>
      </w:r>
      <w:r w:rsidRPr="004513FF">
        <w:rPr>
          <w:rFonts w:ascii="Times New Roman" w:hAnsi="Times New Roman"/>
          <w:sz w:val="24"/>
        </w:rPr>
        <w:t xml:space="preserve"> s dopadem do oblasti digitální agendy, zásady pro tvorbu digitálně přívětivé legislativy tak nemohly být zohledněny.</w:t>
      </w:r>
    </w:p>
    <w:p w14:paraId="48FB73FF" w14:textId="77777777" w:rsidR="00685CAD" w:rsidRDefault="00685CAD" w:rsidP="004513FF">
      <w:pPr>
        <w:spacing w:line="276" w:lineRule="auto"/>
        <w:rPr>
          <w:rFonts w:ascii="Times New Roman" w:hAnsi="Times New Roman"/>
          <w:sz w:val="24"/>
        </w:rPr>
      </w:pPr>
    </w:p>
    <w:p w14:paraId="27D0AF5F" w14:textId="7567E61B" w:rsidR="00685CAD" w:rsidRDefault="00685CAD" w:rsidP="00685CAD">
      <w:pPr>
        <w:spacing w:line="276" w:lineRule="auto"/>
        <w:rPr>
          <w:rFonts w:ascii="Times New Roman" w:hAnsi="Times New Roman"/>
          <w:b/>
          <w:bCs/>
          <w:sz w:val="24"/>
        </w:rPr>
      </w:pPr>
      <w:r w:rsidRPr="00685CAD">
        <w:rPr>
          <w:rFonts w:ascii="Times New Roman" w:hAnsi="Times New Roman"/>
          <w:b/>
          <w:bCs/>
          <w:sz w:val="24"/>
        </w:rPr>
        <w:t>Zhodnocení dopadů na rodiny</w:t>
      </w:r>
    </w:p>
    <w:p w14:paraId="2DF387CE" w14:textId="77777777" w:rsidR="00685CAD" w:rsidRPr="00685CAD" w:rsidRDefault="00685CAD" w:rsidP="00685CAD">
      <w:pPr>
        <w:spacing w:line="276" w:lineRule="auto"/>
        <w:rPr>
          <w:rFonts w:ascii="Times New Roman" w:hAnsi="Times New Roman"/>
          <w:b/>
          <w:bCs/>
          <w:sz w:val="24"/>
        </w:rPr>
      </w:pPr>
    </w:p>
    <w:p w14:paraId="0BE4A9BB" w14:textId="0D332CCD" w:rsidR="00685CAD" w:rsidRDefault="00685CAD" w:rsidP="00685CAD">
      <w:pPr>
        <w:spacing w:line="276" w:lineRule="auto"/>
        <w:ind w:firstLine="708"/>
        <w:rPr>
          <w:rFonts w:ascii="Times New Roman" w:hAnsi="Times New Roman"/>
          <w:sz w:val="24"/>
        </w:rPr>
      </w:pPr>
      <w:r w:rsidRPr="00685CAD">
        <w:rPr>
          <w:rFonts w:ascii="Times New Roman" w:hAnsi="Times New Roman"/>
          <w:sz w:val="24"/>
        </w:rPr>
        <w:t>S ohledem na předmět navrhované právní úpravy nejsou spatřovány žádné dopady v</w:t>
      </w:r>
      <w:r>
        <w:rPr>
          <w:rFonts w:ascii="Times New Roman" w:hAnsi="Times New Roman"/>
          <w:sz w:val="24"/>
        </w:rPr>
        <w:t> </w:t>
      </w:r>
      <w:r w:rsidRPr="00685CAD">
        <w:rPr>
          <w:rFonts w:ascii="Times New Roman" w:hAnsi="Times New Roman"/>
          <w:sz w:val="24"/>
        </w:rPr>
        <w:t>této oblasti.</w:t>
      </w:r>
    </w:p>
    <w:p w14:paraId="526B31F2" w14:textId="77777777" w:rsidR="00685CAD" w:rsidRPr="00685CAD" w:rsidRDefault="00685CAD" w:rsidP="00685CAD">
      <w:pPr>
        <w:spacing w:line="276" w:lineRule="auto"/>
        <w:rPr>
          <w:rFonts w:ascii="Times New Roman" w:hAnsi="Times New Roman"/>
          <w:sz w:val="24"/>
        </w:rPr>
      </w:pPr>
    </w:p>
    <w:p w14:paraId="1FD497A8" w14:textId="4E2B5E5B" w:rsidR="00685CAD" w:rsidRDefault="00685CAD" w:rsidP="00685CAD">
      <w:pPr>
        <w:spacing w:line="276" w:lineRule="auto"/>
        <w:rPr>
          <w:rFonts w:ascii="Times New Roman" w:hAnsi="Times New Roman"/>
          <w:b/>
          <w:bCs/>
          <w:sz w:val="24"/>
        </w:rPr>
      </w:pPr>
      <w:r w:rsidRPr="00685CAD">
        <w:rPr>
          <w:rFonts w:ascii="Times New Roman" w:hAnsi="Times New Roman"/>
          <w:b/>
          <w:bCs/>
          <w:sz w:val="24"/>
        </w:rPr>
        <w:lastRenderedPageBreak/>
        <w:t>Zhodnocení územních dopadů, včetně dopadů na územní samosprávné celky</w:t>
      </w:r>
    </w:p>
    <w:p w14:paraId="70CFA48B" w14:textId="77777777" w:rsidR="00780715" w:rsidRPr="00685CAD" w:rsidRDefault="00780715" w:rsidP="00685CAD">
      <w:pPr>
        <w:spacing w:line="276" w:lineRule="auto"/>
        <w:rPr>
          <w:rFonts w:ascii="Times New Roman" w:hAnsi="Times New Roman"/>
          <w:b/>
          <w:bCs/>
          <w:sz w:val="24"/>
        </w:rPr>
      </w:pPr>
    </w:p>
    <w:p w14:paraId="1C80DC61" w14:textId="058F4963" w:rsidR="004513FF" w:rsidRPr="009E7127" w:rsidRDefault="00C700A7" w:rsidP="0028509A">
      <w:pPr>
        <w:spacing w:line="240" w:lineRule="auto"/>
        <w:ind w:firstLine="709"/>
        <w:rPr>
          <w:rFonts w:ascii="Times New Roman" w:hAnsi="Times New Roman"/>
          <w:color w:val="auto"/>
          <w:sz w:val="24"/>
        </w:rPr>
      </w:pPr>
      <w:r w:rsidRPr="00C700A7">
        <w:rPr>
          <w:rFonts w:ascii="Times New Roman" w:hAnsi="Times New Roman"/>
          <w:color w:val="auto"/>
          <w:sz w:val="24"/>
        </w:rPr>
        <w:t>Navrhovaná právní úprava nepředpokládá</w:t>
      </w:r>
      <w:r>
        <w:rPr>
          <w:rFonts w:ascii="Times New Roman" w:hAnsi="Times New Roman"/>
          <w:color w:val="auto"/>
          <w:sz w:val="24"/>
        </w:rPr>
        <w:t xml:space="preserve"> žádné územní dopady, ani dopady na územní samosprávné celky.</w:t>
      </w:r>
    </w:p>
    <w:p w14:paraId="4EEE6900" w14:textId="77777777" w:rsidR="0028509A" w:rsidRPr="009E7127" w:rsidRDefault="0028509A" w:rsidP="0028509A">
      <w:pPr>
        <w:spacing w:line="240" w:lineRule="auto"/>
        <w:ind w:firstLine="709"/>
        <w:rPr>
          <w:rFonts w:ascii="Times New Roman" w:hAnsi="Times New Roman"/>
          <w:color w:val="auto"/>
          <w:sz w:val="24"/>
        </w:rPr>
      </w:pPr>
    </w:p>
    <w:p w14:paraId="2B3EF7B9" w14:textId="77777777" w:rsidR="0028509A" w:rsidRPr="009E7127" w:rsidRDefault="0028509A" w:rsidP="0028509A">
      <w:pPr>
        <w:spacing w:line="240" w:lineRule="auto"/>
        <w:ind w:firstLine="709"/>
        <w:rPr>
          <w:rFonts w:ascii="Times New Roman" w:hAnsi="Times New Roman"/>
          <w:color w:val="auto"/>
          <w:sz w:val="24"/>
        </w:rPr>
      </w:pPr>
    </w:p>
    <w:p w14:paraId="29B23C11" w14:textId="77777777" w:rsidR="0028509A" w:rsidRPr="0045428A" w:rsidRDefault="0028509A" w:rsidP="0028509A">
      <w:pPr>
        <w:spacing w:line="240" w:lineRule="auto"/>
        <w:jc w:val="center"/>
        <w:rPr>
          <w:rFonts w:ascii="Times New Roman" w:hAnsi="Times New Roman"/>
          <w:b/>
          <w:color w:val="auto"/>
          <w:sz w:val="24"/>
        </w:rPr>
      </w:pPr>
      <w:r w:rsidRPr="0045428A">
        <w:rPr>
          <w:rFonts w:ascii="Times New Roman" w:hAnsi="Times New Roman"/>
          <w:b/>
          <w:color w:val="auto"/>
          <w:sz w:val="24"/>
        </w:rPr>
        <w:t>II. ZVLÁŠTNÍ ČÁST</w:t>
      </w:r>
    </w:p>
    <w:p w14:paraId="35B71312" w14:textId="77777777" w:rsidR="0028509A" w:rsidRPr="009E7127" w:rsidRDefault="0028509A" w:rsidP="0028509A">
      <w:pPr>
        <w:spacing w:line="240" w:lineRule="auto"/>
        <w:jc w:val="left"/>
        <w:rPr>
          <w:rFonts w:ascii="Times New Roman" w:hAnsi="Times New Roman"/>
          <w:color w:val="auto"/>
          <w:sz w:val="24"/>
        </w:rPr>
      </w:pPr>
    </w:p>
    <w:p w14:paraId="4B636A89" w14:textId="2BE83BA8" w:rsidR="0028509A" w:rsidRDefault="0028509A" w:rsidP="0028509A">
      <w:pPr>
        <w:spacing w:line="240" w:lineRule="auto"/>
        <w:jc w:val="left"/>
        <w:rPr>
          <w:rFonts w:ascii="Times New Roman" w:hAnsi="Times New Roman"/>
          <w:b/>
          <w:color w:val="auto"/>
          <w:sz w:val="24"/>
        </w:rPr>
      </w:pPr>
      <w:r w:rsidRPr="009E7127">
        <w:rPr>
          <w:rFonts w:ascii="Times New Roman" w:hAnsi="Times New Roman"/>
          <w:b/>
          <w:color w:val="auto"/>
          <w:sz w:val="24"/>
        </w:rPr>
        <w:t>K Čl. I</w:t>
      </w:r>
    </w:p>
    <w:p w14:paraId="0745580D" w14:textId="08BB6935" w:rsidR="00431C22" w:rsidRDefault="00431C22" w:rsidP="0028509A">
      <w:pPr>
        <w:spacing w:line="240" w:lineRule="auto"/>
        <w:jc w:val="left"/>
        <w:rPr>
          <w:rFonts w:ascii="Times New Roman" w:hAnsi="Times New Roman"/>
          <w:b/>
          <w:color w:val="auto"/>
          <w:sz w:val="24"/>
        </w:rPr>
      </w:pPr>
      <w:r>
        <w:rPr>
          <w:rFonts w:ascii="Times New Roman" w:hAnsi="Times New Roman"/>
          <w:b/>
          <w:color w:val="auto"/>
          <w:sz w:val="24"/>
        </w:rPr>
        <w:t>K bodu 1</w:t>
      </w:r>
    </w:p>
    <w:p w14:paraId="18BFBBF2" w14:textId="274278AA" w:rsidR="00431C22" w:rsidRPr="00431C22" w:rsidRDefault="00431C22" w:rsidP="00431C22">
      <w:pPr>
        <w:spacing w:line="240" w:lineRule="auto"/>
        <w:rPr>
          <w:rFonts w:ascii="Times New Roman" w:hAnsi="Times New Roman"/>
          <w:bCs/>
          <w:color w:val="auto"/>
          <w:sz w:val="24"/>
        </w:rPr>
      </w:pPr>
      <w:r>
        <w:rPr>
          <w:rFonts w:ascii="Times New Roman" w:hAnsi="Times New Roman"/>
          <w:b/>
          <w:color w:val="auto"/>
          <w:sz w:val="24"/>
        </w:rPr>
        <w:tab/>
      </w:r>
      <w:r w:rsidRPr="00431C22">
        <w:rPr>
          <w:rFonts w:ascii="Times New Roman" w:hAnsi="Times New Roman"/>
          <w:bCs/>
          <w:color w:val="auto"/>
          <w:sz w:val="24"/>
        </w:rPr>
        <w:t>Směrnice Komise v přenesené pravomoci (EU) 2022/1326 ze dne 18. března 2022, kterou se mění příloha rámcového rozhodnutí Rady 2004/757/SVV, pokud jde o zahrnutí nových psychoaktivních látek do definice drogy se doplňuje do seznamu transponovaných předpisů EU.</w:t>
      </w:r>
      <w:r w:rsidRPr="00431C22">
        <w:rPr>
          <w:rFonts w:ascii="Times New Roman" w:hAnsi="Times New Roman"/>
          <w:bCs/>
          <w:color w:val="auto"/>
          <w:sz w:val="24"/>
        </w:rPr>
        <w:tab/>
      </w:r>
    </w:p>
    <w:p w14:paraId="51CD9EF1" w14:textId="77777777" w:rsidR="00431C22" w:rsidRPr="009E7127" w:rsidRDefault="00431C22" w:rsidP="0028509A">
      <w:pPr>
        <w:spacing w:line="240" w:lineRule="auto"/>
        <w:jc w:val="left"/>
        <w:rPr>
          <w:rFonts w:ascii="Times New Roman" w:hAnsi="Times New Roman"/>
          <w:b/>
          <w:color w:val="auto"/>
          <w:sz w:val="24"/>
        </w:rPr>
      </w:pPr>
    </w:p>
    <w:p w14:paraId="3FFAF12C" w14:textId="7A21EE2D" w:rsidR="0028509A" w:rsidRDefault="0028509A" w:rsidP="0028509A">
      <w:pPr>
        <w:spacing w:line="240" w:lineRule="auto"/>
        <w:jc w:val="left"/>
        <w:rPr>
          <w:rFonts w:ascii="Times New Roman" w:hAnsi="Times New Roman"/>
          <w:b/>
          <w:color w:val="auto"/>
          <w:sz w:val="24"/>
        </w:rPr>
      </w:pPr>
      <w:r w:rsidRPr="009E7127">
        <w:rPr>
          <w:rFonts w:ascii="Times New Roman" w:hAnsi="Times New Roman"/>
          <w:b/>
          <w:color w:val="auto"/>
          <w:sz w:val="24"/>
        </w:rPr>
        <w:t xml:space="preserve">k bodu </w:t>
      </w:r>
      <w:r w:rsidR="00431C22">
        <w:rPr>
          <w:rFonts w:ascii="Times New Roman" w:hAnsi="Times New Roman"/>
          <w:b/>
          <w:color w:val="auto"/>
          <w:sz w:val="24"/>
        </w:rPr>
        <w:t>2</w:t>
      </w:r>
    </w:p>
    <w:p w14:paraId="4D72EB03" w14:textId="3CEB2D8A" w:rsidR="00A6669D" w:rsidRDefault="00A6669D" w:rsidP="00A6669D">
      <w:pPr>
        <w:spacing w:line="240" w:lineRule="auto"/>
        <w:ind w:firstLine="708"/>
        <w:rPr>
          <w:rFonts w:ascii="Times New Roman" w:hAnsi="Times New Roman"/>
          <w:color w:val="auto"/>
          <w:sz w:val="24"/>
        </w:rPr>
      </w:pPr>
      <w:r w:rsidRPr="009E7127">
        <w:rPr>
          <w:rFonts w:ascii="Times New Roman" w:hAnsi="Times New Roman"/>
          <w:color w:val="auto"/>
          <w:sz w:val="24"/>
        </w:rPr>
        <w:t xml:space="preserve">Látka </w:t>
      </w:r>
      <w:proofErr w:type="spellStart"/>
      <w:r>
        <w:rPr>
          <w:rFonts w:ascii="Times New Roman" w:hAnsi="Times New Roman"/>
          <w:b/>
          <w:color w:val="auto"/>
          <w:sz w:val="24"/>
        </w:rPr>
        <w:t>Brorfin</w:t>
      </w:r>
      <w:proofErr w:type="spellEnd"/>
      <w:r w:rsidRPr="009E7127">
        <w:rPr>
          <w:rFonts w:ascii="Times New Roman" w:hAnsi="Times New Roman"/>
          <w:color w:val="auto"/>
          <w:sz w:val="24"/>
        </w:rPr>
        <w:t xml:space="preserve"> se zařazuje do přílohy č. </w:t>
      </w:r>
      <w:r>
        <w:rPr>
          <w:rFonts w:ascii="Times New Roman" w:hAnsi="Times New Roman"/>
          <w:color w:val="auto"/>
          <w:sz w:val="24"/>
        </w:rPr>
        <w:t>3</w:t>
      </w:r>
      <w:r w:rsidRPr="009E7127">
        <w:rPr>
          <w:rFonts w:ascii="Times New Roman" w:hAnsi="Times New Roman"/>
          <w:color w:val="auto"/>
          <w:sz w:val="24"/>
        </w:rPr>
        <w:t xml:space="preserve"> k nařízení vlády v abecedním pořádku na </w:t>
      </w:r>
      <w:r w:rsidR="006A77F8" w:rsidRPr="006A77F8">
        <w:rPr>
          <w:rFonts w:ascii="Times New Roman" w:hAnsi="Times New Roman"/>
          <w:color w:val="auto"/>
          <w:sz w:val="24"/>
        </w:rPr>
        <w:t>základě rozhodnutí</w:t>
      </w:r>
      <w:r>
        <w:rPr>
          <w:rFonts w:ascii="Times New Roman" w:hAnsi="Times New Roman"/>
          <w:color w:val="auto"/>
          <w:sz w:val="24"/>
        </w:rPr>
        <w:t xml:space="preserve"> z </w:t>
      </w:r>
      <w:r w:rsidRPr="00A6669D">
        <w:rPr>
          <w:rFonts w:ascii="Times New Roman" w:hAnsi="Times New Roman"/>
          <w:color w:val="auto"/>
          <w:sz w:val="24"/>
        </w:rPr>
        <w:t>65. řádné</w:t>
      </w:r>
      <w:r>
        <w:rPr>
          <w:rFonts w:ascii="Times New Roman" w:hAnsi="Times New Roman"/>
          <w:color w:val="auto"/>
          <w:sz w:val="24"/>
        </w:rPr>
        <w:t>ho</w:t>
      </w:r>
      <w:r w:rsidRPr="00A6669D">
        <w:rPr>
          <w:rFonts w:ascii="Times New Roman" w:hAnsi="Times New Roman"/>
          <w:color w:val="auto"/>
          <w:sz w:val="24"/>
        </w:rPr>
        <w:t xml:space="preserve"> zasedání Komise pro omamné látky při OSN</w:t>
      </w:r>
      <w:r w:rsidR="006A77F8">
        <w:rPr>
          <w:rFonts w:ascii="Times New Roman" w:hAnsi="Times New Roman"/>
          <w:color w:val="auto"/>
          <w:sz w:val="24"/>
        </w:rPr>
        <w:t xml:space="preserve">, kdy Komise rozhodla o zařazení látky </w:t>
      </w:r>
      <w:proofErr w:type="spellStart"/>
      <w:r w:rsidR="006A77F8">
        <w:rPr>
          <w:rFonts w:ascii="Times New Roman" w:hAnsi="Times New Roman"/>
          <w:color w:val="auto"/>
          <w:sz w:val="24"/>
        </w:rPr>
        <w:t>Brorfin</w:t>
      </w:r>
      <w:proofErr w:type="spellEnd"/>
      <w:r w:rsidR="006A77F8">
        <w:rPr>
          <w:rFonts w:ascii="Times New Roman" w:hAnsi="Times New Roman"/>
          <w:color w:val="auto"/>
          <w:sz w:val="24"/>
        </w:rPr>
        <w:t xml:space="preserve"> </w:t>
      </w:r>
      <w:r w:rsidRPr="00B73387">
        <w:rPr>
          <w:rFonts w:ascii="Times New Roman" w:hAnsi="Times New Roman"/>
          <w:color w:val="auto"/>
          <w:sz w:val="24"/>
        </w:rPr>
        <w:t>k novým psychoaktivním látkám, které by měly být zařazeny pod mezinárodní kontrolu v rámci Úmluv OSN</w:t>
      </w:r>
      <w:r>
        <w:rPr>
          <w:rFonts w:ascii="Times New Roman" w:hAnsi="Times New Roman"/>
          <w:color w:val="auto"/>
          <w:sz w:val="24"/>
        </w:rPr>
        <w:t>.</w:t>
      </w:r>
      <w:r w:rsidRPr="009E7127">
        <w:rPr>
          <w:rFonts w:ascii="Times New Roman" w:hAnsi="Times New Roman"/>
          <w:color w:val="auto"/>
          <w:sz w:val="24"/>
        </w:rPr>
        <w:t xml:space="preserve"> </w:t>
      </w:r>
    </w:p>
    <w:p w14:paraId="5FDCD7EA" w14:textId="77777777" w:rsidR="00A6669D" w:rsidRPr="009E7127" w:rsidRDefault="00A6669D" w:rsidP="00A6669D">
      <w:pPr>
        <w:spacing w:line="240" w:lineRule="auto"/>
        <w:ind w:firstLine="708"/>
        <w:rPr>
          <w:rFonts w:ascii="Times New Roman" w:hAnsi="Times New Roman"/>
          <w:color w:val="auto"/>
          <w:sz w:val="24"/>
        </w:rPr>
      </w:pPr>
    </w:p>
    <w:p w14:paraId="69F7AB2E" w14:textId="606EF2E7" w:rsidR="00A6669D" w:rsidRPr="00F45276" w:rsidRDefault="00A6669D" w:rsidP="0028509A">
      <w:pPr>
        <w:spacing w:line="240" w:lineRule="auto"/>
        <w:rPr>
          <w:rFonts w:ascii="Times New Roman" w:hAnsi="Times New Roman"/>
          <w:b/>
          <w:bCs/>
          <w:color w:val="auto"/>
          <w:sz w:val="24"/>
        </w:rPr>
      </w:pPr>
      <w:r w:rsidRPr="00F45276">
        <w:rPr>
          <w:rFonts w:ascii="Times New Roman" w:hAnsi="Times New Roman"/>
          <w:b/>
          <w:bCs/>
          <w:color w:val="auto"/>
          <w:sz w:val="24"/>
        </w:rPr>
        <w:t xml:space="preserve">k bodu </w:t>
      </w:r>
      <w:r w:rsidR="00431C22">
        <w:rPr>
          <w:rFonts w:ascii="Times New Roman" w:hAnsi="Times New Roman"/>
          <w:b/>
          <w:bCs/>
          <w:color w:val="auto"/>
          <w:sz w:val="24"/>
        </w:rPr>
        <w:t>3</w:t>
      </w:r>
    </w:p>
    <w:p w14:paraId="1902F1F0" w14:textId="45739CA1" w:rsidR="0028509A" w:rsidRPr="009E7127" w:rsidRDefault="0028509A" w:rsidP="00F45276">
      <w:pPr>
        <w:spacing w:line="240" w:lineRule="auto"/>
        <w:ind w:firstLine="708"/>
        <w:rPr>
          <w:rFonts w:ascii="Times New Roman" w:hAnsi="Times New Roman"/>
          <w:color w:val="auto"/>
          <w:sz w:val="24"/>
        </w:rPr>
      </w:pPr>
      <w:r w:rsidRPr="009E7127">
        <w:rPr>
          <w:rFonts w:ascii="Times New Roman" w:hAnsi="Times New Roman"/>
          <w:color w:val="auto"/>
          <w:sz w:val="24"/>
        </w:rPr>
        <w:t xml:space="preserve">Látka </w:t>
      </w:r>
      <w:proofErr w:type="spellStart"/>
      <w:r>
        <w:rPr>
          <w:rFonts w:ascii="Times New Roman" w:hAnsi="Times New Roman"/>
          <w:b/>
          <w:color w:val="auto"/>
          <w:sz w:val="24"/>
        </w:rPr>
        <w:t>Etonitazepyn</w:t>
      </w:r>
      <w:proofErr w:type="spellEnd"/>
      <w:r w:rsidRPr="009E7127">
        <w:rPr>
          <w:rFonts w:ascii="Times New Roman" w:hAnsi="Times New Roman"/>
          <w:color w:val="auto"/>
          <w:sz w:val="24"/>
        </w:rPr>
        <w:t xml:space="preserve"> se zařazuje do přílohy č. </w:t>
      </w:r>
      <w:r>
        <w:rPr>
          <w:rFonts w:ascii="Times New Roman" w:hAnsi="Times New Roman"/>
          <w:color w:val="auto"/>
          <w:sz w:val="24"/>
        </w:rPr>
        <w:t>3</w:t>
      </w:r>
      <w:r w:rsidRPr="009E7127">
        <w:rPr>
          <w:rFonts w:ascii="Times New Roman" w:hAnsi="Times New Roman"/>
          <w:color w:val="auto"/>
          <w:sz w:val="24"/>
        </w:rPr>
        <w:t xml:space="preserve"> k nařízení vlády v abecedním pořádku na základě návrhu </w:t>
      </w:r>
      <w:r w:rsidRPr="00B73387">
        <w:rPr>
          <w:rFonts w:ascii="Times New Roman" w:hAnsi="Times New Roman"/>
          <w:color w:val="auto"/>
          <w:sz w:val="24"/>
        </w:rPr>
        <w:t>Evropsk</w:t>
      </w:r>
      <w:r>
        <w:rPr>
          <w:rFonts w:ascii="Times New Roman" w:hAnsi="Times New Roman"/>
          <w:color w:val="auto"/>
          <w:sz w:val="24"/>
        </w:rPr>
        <w:t>é</w:t>
      </w:r>
      <w:r w:rsidRPr="00B73387">
        <w:rPr>
          <w:rFonts w:ascii="Times New Roman" w:hAnsi="Times New Roman"/>
          <w:color w:val="auto"/>
          <w:sz w:val="24"/>
        </w:rPr>
        <w:t xml:space="preserve"> komise </w:t>
      </w:r>
      <w:r>
        <w:rPr>
          <w:rFonts w:ascii="Times New Roman" w:hAnsi="Times New Roman"/>
          <w:color w:val="auto"/>
          <w:sz w:val="24"/>
        </w:rPr>
        <w:t xml:space="preserve">k </w:t>
      </w:r>
      <w:r w:rsidRPr="00B73387">
        <w:rPr>
          <w:rFonts w:ascii="Times New Roman" w:hAnsi="Times New Roman"/>
          <w:color w:val="auto"/>
          <w:sz w:val="24"/>
        </w:rPr>
        <w:t>jednotné pozic</w:t>
      </w:r>
      <w:r>
        <w:rPr>
          <w:rFonts w:ascii="Times New Roman" w:hAnsi="Times New Roman"/>
          <w:color w:val="auto"/>
          <w:sz w:val="24"/>
        </w:rPr>
        <w:t>i</w:t>
      </w:r>
      <w:r w:rsidRPr="00B73387">
        <w:rPr>
          <w:rFonts w:ascii="Times New Roman" w:hAnsi="Times New Roman"/>
          <w:color w:val="auto"/>
          <w:sz w:val="24"/>
        </w:rPr>
        <w:t xml:space="preserve"> EU k novým psychoaktivním látkám, které by měly být zařazeny pod mezinárodní kontrolu v rámci Úmluv OSN</w:t>
      </w:r>
      <w:r>
        <w:rPr>
          <w:rFonts w:ascii="Times New Roman" w:hAnsi="Times New Roman"/>
          <w:color w:val="auto"/>
          <w:sz w:val="24"/>
        </w:rPr>
        <w:t>.</w:t>
      </w:r>
      <w:r w:rsidRPr="009E7127">
        <w:rPr>
          <w:rFonts w:ascii="Times New Roman" w:hAnsi="Times New Roman"/>
          <w:color w:val="auto"/>
          <w:sz w:val="24"/>
        </w:rPr>
        <w:t xml:space="preserve"> </w:t>
      </w:r>
    </w:p>
    <w:p w14:paraId="21084C92" w14:textId="36FD3F73" w:rsidR="0028509A" w:rsidRPr="009E7127" w:rsidRDefault="0028509A" w:rsidP="0028509A">
      <w:pPr>
        <w:spacing w:line="240" w:lineRule="auto"/>
        <w:jc w:val="left"/>
        <w:rPr>
          <w:rFonts w:ascii="Times New Roman" w:hAnsi="Times New Roman"/>
          <w:b/>
          <w:color w:val="auto"/>
          <w:sz w:val="24"/>
        </w:rPr>
      </w:pPr>
      <w:r w:rsidRPr="009E7127">
        <w:rPr>
          <w:rFonts w:ascii="Times New Roman" w:hAnsi="Times New Roman"/>
          <w:color w:val="auto"/>
          <w:sz w:val="24"/>
        </w:rPr>
        <w:br/>
      </w:r>
      <w:r w:rsidRPr="009E7127">
        <w:rPr>
          <w:rFonts w:ascii="Times New Roman" w:hAnsi="Times New Roman"/>
          <w:b/>
          <w:color w:val="auto"/>
          <w:sz w:val="24"/>
        </w:rPr>
        <w:t xml:space="preserve">k bodu </w:t>
      </w:r>
      <w:r w:rsidR="00431C22">
        <w:rPr>
          <w:rFonts w:ascii="Times New Roman" w:hAnsi="Times New Roman"/>
          <w:b/>
          <w:color w:val="auto"/>
          <w:sz w:val="24"/>
        </w:rPr>
        <w:t>4</w:t>
      </w:r>
    </w:p>
    <w:p w14:paraId="68A42F31" w14:textId="38110A65" w:rsidR="000206E9" w:rsidRDefault="0028509A" w:rsidP="00F45276">
      <w:pPr>
        <w:spacing w:line="240" w:lineRule="auto"/>
        <w:ind w:firstLine="708"/>
        <w:rPr>
          <w:rFonts w:ascii="Times New Roman" w:hAnsi="Times New Roman"/>
          <w:color w:val="auto"/>
          <w:sz w:val="24"/>
        </w:rPr>
      </w:pPr>
      <w:r w:rsidRPr="009E7127">
        <w:rPr>
          <w:rFonts w:ascii="Times New Roman" w:hAnsi="Times New Roman"/>
          <w:color w:val="auto"/>
          <w:sz w:val="24"/>
        </w:rPr>
        <w:t xml:space="preserve">Látka </w:t>
      </w:r>
      <w:proofErr w:type="spellStart"/>
      <w:r>
        <w:rPr>
          <w:rFonts w:ascii="Times New Roman" w:hAnsi="Times New Roman"/>
          <w:b/>
          <w:color w:val="auto"/>
          <w:sz w:val="24"/>
        </w:rPr>
        <w:t>Protonitazen</w:t>
      </w:r>
      <w:proofErr w:type="spellEnd"/>
      <w:r w:rsidRPr="009E7127">
        <w:rPr>
          <w:rFonts w:ascii="Times New Roman" w:hAnsi="Times New Roman"/>
          <w:b/>
          <w:color w:val="auto"/>
          <w:sz w:val="24"/>
        </w:rPr>
        <w:t xml:space="preserve"> </w:t>
      </w:r>
      <w:r w:rsidRPr="009E7127">
        <w:rPr>
          <w:rFonts w:ascii="Times New Roman" w:hAnsi="Times New Roman"/>
          <w:color w:val="auto"/>
          <w:sz w:val="24"/>
        </w:rPr>
        <w:t xml:space="preserve">se zařazuje do přílohy č. </w:t>
      </w:r>
      <w:r>
        <w:rPr>
          <w:rFonts w:ascii="Times New Roman" w:hAnsi="Times New Roman"/>
          <w:color w:val="auto"/>
          <w:sz w:val="24"/>
        </w:rPr>
        <w:t>3</w:t>
      </w:r>
      <w:r w:rsidRPr="009E7127">
        <w:rPr>
          <w:rFonts w:ascii="Times New Roman" w:hAnsi="Times New Roman"/>
          <w:color w:val="auto"/>
          <w:sz w:val="24"/>
        </w:rPr>
        <w:t xml:space="preserve"> k nařízení vlády v abecedním pořádku na základě návrhu </w:t>
      </w:r>
      <w:r w:rsidRPr="00B73387">
        <w:rPr>
          <w:rFonts w:ascii="Times New Roman" w:hAnsi="Times New Roman"/>
          <w:color w:val="auto"/>
          <w:sz w:val="24"/>
        </w:rPr>
        <w:t>Evropsk</w:t>
      </w:r>
      <w:r>
        <w:rPr>
          <w:rFonts w:ascii="Times New Roman" w:hAnsi="Times New Roman"/>
          <w:color w:val="auto"/>
          <w:sz w:val="24"/>
        </w:rPr>
        <w:t>é</w:t>
      </w:r>
      <w:r w:rsidRPr="00B73387">
        <w:rPr>
          <w:rFonts w:ascii="Times New Roman" w:hAnsi="Times New Roman"/>
          <w:color w:val="auto"/>
          <w:sz w:val="24"/>
        </w:rPr>
        <w:t xml:space="preserve"> komise </w:t>
      </w:r>
      <w:r>
        <w:rPr>
          <w:rFonts w:ascii="Times New Roman" w:hAnsi="Times New Roman"/>
          <w:color w:val="auto"/>
          <w:sz w:val="24"/>
        </w:rPr>
        <w:t xml:space="preserve">k </w:t>
      </w:r>
      <w:r w:rsidRPr="00B73387">
        <w:rPr>
          <w:rFonts w:ascii="Times New Roman" w:hAnsi="Times New Roman"/>
          <w:color w:val="auto"/>
          <w:sz w:val="24"/>
        </w:rPr>
        <w:t>jednotné pozic</w:t>
      </w:r>
      <w:r>
        <w:rPr>
          <w:rFonts w:ascii="Times New Roman" w:hAnsi="Times New Roman"/>
          <w:color w:val="auto"/>
          <w:sz w:val="24"/>
        </w:rPr>
        <w:t>i</w:t>
      </w:r>
      <w:r w:rsidRPr="00B73387">
        <w:rPr>
          <w:rFonts w:ascii="Times New Roman" w:hAnsi="Times New Roman"/>
          <w:color w:val="auto"/>
          <w:sz w:val="24"/>
        </w:rPr>
        <w:t xml:space="preserve"> EU k novým psychoaktivním látkám, které by měly být zařazeny pod mezinárodní kontrolu v rámci Úmluv OSN</w:t>
      </w:r>
      <w:r w:rsidRPr="009E7127">
        <w:rPr>
          <w:rFonts w:ascii="Times New Roman" w:hAnsi="Times New Roman"/>
          <w:color w:val="auto"/>
          <w:sz w:val="24"/>
        </w:rPr>
        <w:t xml:space="preserve">. </w:t>
      </w:r>
    </w:p>
    <w:p w14:paraId="00C8891B" w14:textId="77777777" w:rsidR="006655AB" w:rsidRDefault="006655AB" w:rsidP="00F45276">
      <w:pPr>
        <w:spacing w:line="240" w:lineRule="auto"/>
        <w:ind w:firstLine="708"/>
        <w:rPr>
          <w:rFonts w:ascii="Times New Roman" w:hAnsi="Times New Roman"/>
          <w:color w:val="auto"/>
          <w:sz w:val="24"/>
        </w:rPr>
      </w:pPr>
    </w:p>
    <w:p w14:paraId="15205E1A" w14:textId="12E2878E" w:rsidR="000206E9" w:rsidRPr="009E7127" w:rsidRDefault="000206E9" w:rsidP="000206E9">
      <w:pPr>
        <w:spacing w:line="240" w:lineRule="auto"/>
        <w:jc w:val="left"/>
        <w:rPr>
          <w:rFonts w:ascii="Times New Roman" w:hAnsi="Times New Roman"/>
          <w:b/>
          <w:color w:val="auto"/>
          <w:sz w:val="24"/>
        </w:rPr>
      </w:pPr>
      <w:r w:rsidRPr="009E7127">
        <w:rPr>
          <w:rFonts w:ascii="Times New Roman" w:hAnsi="Times New Roman"/>
          <w:b/>
          <w:color w:val="auto"/>
          <w:sz w:val="24"/>
        </w:rPr>
        <w:t xml:space="preserve">k bodu </w:t>
      </w:r>
      <w:r w:rsidR="00431C22">
        <w:rPr>
          <w:rFonts w:ascii="Times New Roman" w:hAnsi="Times New Roman"/>
          <w:b/>
          <w:color w:val="auto"/>
          <w:sz w:val="24"/>
        </w:rPr>
        <w:t>6</w:t>
      </w:r>
    </w:p>
    <w:p w14:paraId="15C6D58D" w14:textId="77777777" w:rsidR="000206E9" w:rsidRPr="009E7127" w:rsidRDefault="000206E9" w:rsidP="000206E9">
      <w:pPr>
        <w:spacing w:line="240" w:lineRule="auto"/>
        <w:ind w:firstLine="708"/>
        <w:rPr>
          <w:rFonts w:ascii="Times New Roman" w:hAnsi="Times New Roman"/>
          <w:color w:val="auto"/>
          <w:sz w:val="24"/>
        </w:rPr>
      </w:pPr>
      <w:r w:rsidRPr="009E7127">
        <w:rPr>
          <w:rFonts w:ascii="Times New Roman" w:hAnsi="Times New Roman"/>
          <w:color w:val="auto"/>
          <w:sz w:val="24"/>
        </w:rPr>
        <w:t>Látk</w:t>
      </w:r>
      <w:r>
        <w:rPr>
          <w:rFonts w:ascii="Times New Roman" w:hAnsi="Times New Roman"/>
          <w:color w:val="auto"/>
          <w:sz w:val="24"/>
        </w:rPr>
        <w:t>a</w:t>
      </w:r>
      <w:r w:rsidRPr="009E7127">
        <w:rPr>
          <w:rFonts w:ascii="Times New Roman" w:hAnsi="Times New Roman"/>
          <w:color w:val="auto"/>
          <w:sz w:val="24"/>
        </w:rPr>
        <w:t xml:space="preserve"> </w:t>
      </w:r>
      <w:r w:rsidRPr="00D62891">
        <w:rPr>
          <w:rFonts w:ascii="Times New Roman" w:hAnsi="Times New Roman"/>
          <w:b/>
          <w:bCs/>
          <w:color w:val="auto"/>
          <w:sz w:val="24"/>
        </w:rPr>
        <w:t>ADB-BUTINACA</w:t>
      </w:r>
      <w:r w:rsidRPr="00B73387">
        <w:rPr>
          <w:rFonts w:ascii="Times New Roman" w:hAnsi="Times New Roman"/>
          <w:color w:val="auto"/>
          <w:sz w:val="24"/>
        </w:rPr>
        <w:t xml:space="preserve"> </w:t>
      </w:r>
      <w:r w:rsidRPr="009E7127">
        <w:rPr>
          <w:rFonts w:ascii="Times New Roman" w:hAnsi="Times New Roman"/>
          <w:color w:val="auto"/>
          <w:sz w:val="24"/>
        </w:rPr>
        <w:t>se zařazuj</w:t>
      </w:r>
      <w:r>
        <w:rPr>
          <w:rFonts w:ascii="Times New Roman" w:hAnsi="Times New Roman"/>
          <w:color w:val="auto"/>
          <w:sz w:val="24"/>
        </w:rPr>
        <w:t>e</w:t>
      </w:r>
      <w:r w:rsidRPr="009E7127">
        <w:rPr>
          <w:rFonts w:ascii="Times New Roman" w:hAnsi="Times New Roman"/>
          <w:color w:val="auto"/>
          <w:sz w:val="24"/>
        </w:rPr>
        <w:t xml:space="preserve"> do přílohy č. </w:t>
      </w:r>
      <w:r>
        <w:rPr>
          <w:rFonts w:ascii="Times New Roman" w:hAnsi="Times New Roman"/>
          <w:color w:val="auto"/>
          <w:sz w:val="24"/>
        </w:rPr>
        <w:t>4</w:t>
      </w:r>
      <w:r w:rsidRPr="009E7127">
        <w:rPr>
          <w:rFonts w:ascii="Times New Roman" w:hAnsi="Times New Roman"/>
          <w:color w:val="auto"/>
          <w:sz w:val="24"/>
        </w:rPr>
        <w:t xml:space="preserve"> k nařízení vlády v abecedním pořádku na základě návrhu </w:t>
      </w:r>
      <w:r w:rsidRPr="00B73387">
        <w:rPr>
          <w:rFonts w:ascii="Times New Roman" w:hAnsi="Times New Roman"/>
          <w:color w:val="auto"/>
          <w:sz w:val="24"/>
        </w:rPr>
        <w:t>Evropsk</w:t>
      </w:r>
      <w:r>
        <w:rPr>
          <w:rFonts w:ascii="Times New Roman" w:hAnsi="Times New Roman"/>
          <w:color w:val="auto"/>
          <w:sz w:val="24"/>
        </w:rPr>
        <w:t>é</w:t>
      </w:r>
      <w:r w:rsidRPr="00B73387">
        <w:rPr>
          <w:rFonts w:ascii="Times New Roman" w:hAnsi="Times New Roman"/>
          <w:color w:val="auto"/>
          <w:sz w:val="24"/>
        </w:rPr>
        <w:t xml:space="preserve"> komise </w:t>
      </w:r>
      <w:r>
        <w:rPr>
          <w:rFonts w:ascii="Times New Roman" w:hAnsi="Times New Roman"/>
          <w:color w:val="auto"/>
          <w:sz w:val="24"/>
        </w:rPr>
        <w:t xml:space="preserve">k </w:t>
      </w:r>
      <w:r w:rsidRPr="00B73387">
        <w:rPr>
          <w:rFonts w:ascii="Times New Roman" w:hAnsi="Times New Roman"/>
          <w:color w:val="auto"/>
          <w:sz w:val="24"/>
        </w:rPr>
        <w:t>jednotné pozic</w:t>
      </w:r>
      <w:r>
        <w:rPr>
          <w:rFonts w:ascii="Times New Roman" w:hAnsi="Times New Roman"/>
          <w:color w:val="auto"/>
          <w:sz w:val="24"/>
        </w:rPr>
        <w:t>i</w:t>
      </w:r>
      <w:r w:rsidRPr="00B73387">
        <w:rPr>
          <w:rFonts w:ascii="Times New Roman" w:hAnsi="Times New Roman"/>
          <w:color w:val="auto"/>
          <w:sz w:val="24"/>
        </w:rPr>
        <w:t xml:space="preserve"> EU k novým psychoaktivním látkám, které by měly být zařazeny pod mezinárodní kontrolu v rámci Úmluv OSN</w:t>
      </w:r>
      <w:r>
        <w:rPr>
          <w:rFonts w:ascii="Times New Roman" w:hAnsi="Times New Roman"/>
          <w:color w:val="auto"/>
          <w:sz w:val="24"/>
        </w:rPr>
        <w:t>.</w:t>
      </w:r>
      <w:r w:rsidRPr="009E7127">
        <w:rPr>
          <w:rFonts w:ascii="Times New Roman" w:hAnsi="Times New Roman"/>
          <w:color w:val="auto"/>
          <w:sz w:val="24"/>
        </w:rPr>
        <w:t xml:space="preserve"> </w:t>
      </w:r>
    </w:p>
    <w:p w14:paraId="4F49CEE6" w14:textId="77777777" w:rsidR="000206E9" w:rsidRPr="009E7127" w:rsidRDefault="000206E9" w:rsidP="00F45276">
      <w:pPr>
        <w:spacing w:line="240" w:lineRule="auto"/>
        <w:ind w:firstLine="708"/>
        <w:rPr>
          <w:rFonts w:ascii="Times New Roman" w:hAnsi="Times New Roman"/>
          <w:color w:val="auto"/>
          <w:sz w:val="24"/>
        </w:rPr>
      </w:pPr>
    </w:p>
    <w:p w14:paraId="19CA02F1" w14:textId="4CC01F05" w:rsidR="0028509A" w:rsidRPr="009E7127" w:rsidRDefault="0028509A" w:rsidP="0028509A">
      <w:pPr>
        <w:spacing w:line="240" w:lineRule="auto"/>
        <w:jc w:val="left"/>
        <w:rPr>
          <w:rFonts w:ascii="Times New Roman" w:hAnsi="Times New Roman"/>
          <w:b/>
          <w:color w:val="auto"/>
          <w:sz w:val="24"/>
        </w:rPr>
      </w:pPr>
      <w:r w:rsidRPr="009E7127">
        <w:rPr>
          <w:rFonts w:ascii="Times New Roman" w:hAnsi="Times New Roman"/>
          <w:b/>
          <w:color w:val="auto"/>
          <w:sz w:val="24"/>
        </w:rPr>
        <w:t xml:space="preserve">k bodu </w:t>
      </w:r>
      <w:r w:rsidR="00431C22">
        <w:rPr>
          <w:rFonts w:ascii="Times New Roman" w:hAnsi="Times New Roman"/>
          <w:b/>
          <w:color w:val="auto"/>
          <w:sz w:val="24"/>
        </w:rPr>
        <w:t>7</w:t>
      </w:r>
    </w:p>
    <w:p w14:paraId="75DFA9E5" w14:textId="526223EE" w:rsidR="0028509A" w:rsidRDefault="0028509A" w:rsidP="0028509A">
      <w:pPr>
        <w:spacing w:line="240" w:lineRule="auto"/>
        <w:ind w:firstLine="708"/>
        <w:rPr>
          <w:rFonts w:ascii="Times New Roman" w:hAnsi="Times New Roman"/>
          <w:color w:val="auto"/>
          <w:sz w:val="24"/>
        </w:rPr>
      </w:pPr>
      <w:r w:rsidRPr="00046DB2">
        <w:rPr>
          <w:rFonts w:ascii="Times New Roman" w:hAnsi="Times New Roman"/>
          <w:color w:val="auto"/>
          <w:sz w:val="24"/>
        </w:rPr>
        <w:t xml:space="preserve">Látka </w:t>
      </w:r>
      <w:proofErr w:type="spellStart"/>
      <w:r w:rsidRPr="00046DB2">
        <w:rPr>
          <w:rFonts w:ascii="Times New Roman" w:hAnsi="Times New Roman"/>
          <w:b/>
          <w:bCs/>
          <w:color w:val="auto"/>
          <w:sz w:val="24"/>
        </w:rPr>
        <w:t>Hexahydrokanabinol</w:t>
      </w:r>
      <w:proofErr w:type="spellEnd"/>
      <w:r w:rsidRPr="00046DB2">
        <w:rPr>
          <w:rFonts w:ascii="Times New Roman" w:hAnsi="Times New Roman"/>
          <w:b/>
          <w:bCs/>
          <w:color w:val="auto"/>
          <w:sz w:val="24"/>
        </w:rPr>
        <w:t xml:space="preserve"> (HHC)</w:t>
      </w:r>
      <w:r w:rsidRPr="00046DB2">
        <w:rPr>
          <w:rFonts w:ascii="Times New Roman" w:hAnsi="Times New Roman"/>
          <w:color w:val="auto"/>
          <w:sz w:val="24"/>
        </w:rPr>
        <w:t xml:space="preserve"> se zařazuje do přílohy č. 4 k nařízení vlády </w:t>
      </w:r>
      <w:r>
        <w:rPr>
          <w:rFonts w:ascii="Times New Roman" w:hAnsi="Times New Roman"/>
          <w:color w:val="auto"/>
          <w:sz w:val="24"/>
        </w:rPr>
        <w:br/>
      </w:r>
      <w:r w:rsidRPr="00046DB2">
        <w:rPr>
          <w:rFonts w:ascii="Times New Roman" w:hAnsi="Times New Roman"/>
          <w:color w:val="auto"/>
          <w:sz w:val="24"/>
        </w:rPr>
        <w:t xml:space="preserve">v abecedním pořádku na základě návrhu NPC Policie České republiky, </w:t>
      </w:r>
      <w:r>
        <w:rPr>
          <w:rFonts w:ascii="Times New Roman" w:hAnsi="Times New Roman"/>
          <w:color w:val="auto"/>
          <w:sz w:val="24"/>
        </w:rPr>
        <w:t>Ministerstva obrany</w:t>
      </w:r>
      <w:r w:rsidRPr="00046DB2">
        <w:rPr>
          <w:rFonts w:ascii="Times New Roman" w:hAnsi="Times New Roman"/>
          <w:color w:val="auto"/>
          <w:sz w:val="24"/>
        </w:rPr>
        <w:t xml:space="preserve"> </w:t>
      </w:r>
      <w:r>
        <w:rPr>
          <w:rFonts w:ascii="Times New Roman" w:hAnsi="Times New Roman"/>
          <w:color w:val="auto"/>
          <w:sz w:val="24"/>
        </w:rPr>
        <w:br/>
      </w:r>
      <w:r w:rsidRPr="00046DB2">
        <w:rPr>
          <w:rFonts w:ascii="Times New Roman" w:hAnsi="Times New Roman"/>
          <w:color w:val="auto"/>
          <w:sz w:val="24"/>
        </w:rPr>
        <w:t xml:space="preserve">a Ministerstva zdravotnictví a </w:t>
      </w:r>
      <w:proofErr w:type="gramStart"/>
      <w:r w:rsidRPr="00046DB2">
        <w:rPr>
          <w:rFonts w:ascii="Times New Roman" w:hAnsi="Times New Roman"/>
          <w:color w:val="auto"/>
          <w:sz w:val="24"/>
        </w:rPr>
        <w:t>patří</w:t>
      </w:r>
      <w:proofErr w:type="gramEnd"/>
      <w:r w:rsidRPr="00046DB2">
        <w:rPr>
          <w:rFonts w:ascii="Times New Roman" w:hAnsi="Times New Roman"/>
          <w:color w:val="auto"/>
          <w:sz w:val="24"/>
        </w:rPr>
        <w:t xml:space="preserve"> do skupiny </w:t>
      </w:r>
      <w:proofErr w:type="spellStart"/>
      <w:r w:rsidRPr="00046DB2">
        <w:rPr>
          <w:rFonts w:ascii="Times New Roman" w:hAnsi="Times New Roman"/>
          <w:color w:val="auto"/>
          <w:sz w:val="24"/>
        </w:rPr>
        <w:t>kanabinoidů</w:t>
      </w:r>
      <w:proofErr w:type="spellEnd"/>
      <w:r w:rsidRPr="00046DB2">
        <w:rPr>
          <w:rFonts w:ascii="Times New Roman" w:hAnsi="Times New Roman"/>
          <w:color w:val="auto"/>
          <w:sz w:val="24"/>
        </w:rPr>
        <w:t xml:space="preserve">. </w:t>
      </w:r>
      <w:r>
        <w:rPr>
          <w:rFonts w:ascii="Times New Roman" w:hAnsi="Times New Roman"/>
          <w:color w:val="auto"/>
          <w:sz w:val="24"/>
        </w:rPr>
        <w:t xml:space="preserve">Existují </w:t>
      </w:r>
      <w:r w:rsidRPr="00CF43DA">
        <w:rPr>
          <w:rFonts w:ascii="Times New Roman" w:hAnsi="Times New Roman"/>
          <w:color w:val="auto"/>
          <w:sz w:val="24"/>
        </w:rPr>
        <w:t>laboratorní studi</w:t>
      </w:r>
      <w:r>
        <w:rPr>
          <w:rFonts w:ascii="Times New Roman" w:hAnsi="Times New Roman"/>
          <w:color w:val="auto"/>
          <w:sz w:val="24"/>
        </w:rPr>
        <w:t xml:space="preserve">e, které uvádějí, že </w:t>
      </w:r>
      <w:r w:rsidRPr="00CF43DA">
        <w:rPr>
          <w:rFonts w:ascii="Times New Roman" w:hAnsi="Times New Roman"/>
          <w:color w:val="auto"/>
          <w:sz w:val="24"/>
        </w:rPr>
        <w:t>HHC má obecně podobné účinky jako THC, hlavní psychoaktivní látka v konopí. Farmakologické a behaviorální účinky HHC u lidí nebyly studovány, ačkoli nedávné neoficiální zprávy od spotřebitelů naznačují, že jeho účinky mohou být podobné účinkům konopí.</w:t>
      </w:r>
      <w:r>
        <w:rPr>
          <w:rFonts w:ascii="Times New Roman" w:hAnsi="Times New Roman"/>
          <w:color w:val="auto"/>
          <w:sz w:val="24"/>
        </w:rPr>
        <w:t xml:space="preserve"> </w:t>
      </w:r>
      <w:r w:rsidRPr="00046DB2">
        <w:rPr>
          <w:rFonts w:ascii="Times New Roman" w:hAnsi="Times New Roman"/>
          <w:color w:val="auto"/>
          <w:sz w:val="24"/>
        </w:rPr>
        <w:t xml:space="preserve">Výskyt látky byl dosud hlášen v Itálii a Dánsku. Na základě informací od SZPI byla látka HHC v ČR zaznamenána v potravinách, a to zejména </w:t>
      </w:r>
      <w:r w:rsidR="00C03803">
        <w:rPr>
          <w:rFonts w:ascii="Times New Roman" w:hAnsi="Times New Roman"/>
          <w:color w:val="auto"/>
          <w:sz w:val="24"/>
        </w:rPr>
        <w:t xml:space="preserve">v </w:t>
      </w:r>
      <w:r w:rsidRPr="00046DB2">
        <w:rPr>
          <w:rFonts w:ascii="Times New Roman" w:hAnsi="Times New Roman"/>
          <w:color w:val="auto"/>
          <w:sz w:val="24"/>
        </w:rPr>
        <w:t>cukrovin</w:t>
      </w:r>
      <w:r w:rsidR="00C03803">
        <w:rPr>
          <w:rFonts w:ascii="Times New Roman" w:hAnsi="Times New Roman"/>
          <w:color w:val="auto"/>
          <w:sz w:val="24"/>
        </w:rPr>
        <w:t>kách</w:t>
      </w:r>
      <w:r w:rsidRPr="00046DB2">
        <w:rPr>
          <w:rFonts w:ascii="Times New Roman" w:hAnsi="Times New Roman"/>
          <w:color w:val="auto"/>
          <w:sz w:val="24"/>
        </w:rPr>
        <w:t xml:space="preserve"> prostřednictvím tzv. HHC matů, internetových i kamenných obchodů.</w:t>
      </w:r>
      <w:r w:rsidR="00F91B5F">
        <w:rPr>
          <w:rFonts w:ascii="Times New Roman" w:hAnsi="Times New Roman"/>
          <w:color w:val="auto"/>
          <w:sz w:val="24"/>
        </w:rPr>
        <w:t xml:space="preserve"> Na trhu se nabízejí produkty i s obsahem HHC vyšším než </w:t>
      </w:r>
      <w:proofErr w:type="gramStart"/>
      <w:r w:rsidR="00F91B5F">
        <w:rPr>
          <w:rFonts w:ascii="Times New Roman" w:hAnsi="Times New Roman"/>
          <w:color w:val="auto"/>
          <w:sz w:val="24"/>
        </w:rPr>
        <w:t>50%</w:t>
      </w:r>
      <w:proofErr w:type="gramEnd"/>
      <w:r w:rsidR="00F91B5F">
        <w:rPr>
          <w:rFonts w:ascii="Times New Roman" w:hAnsi="Times New Roman"/>
          <w:color w:val="auto"/>
          <w:sz w:val="24"/>
        </w:rPr>
        <w:t>.</w:t>
      </w:r>
      <w:r w:rsidR="006A77F8">
        <w:rPr>
          <w:rFonts w:ascii="Times New Roman" w:hAnsi="Times New Roman"/>
          <w:color w:val="auto"/>
          <w:sz w:val="24"/>
        </w:rPr>
        <w:t xml:space="preserve"> </w:t>
      </w:r>
      <w:r w:rsidR="006A77F8" w:rsidRPr="006A77F8">
        <w:rPr>
          <w:rFonts w:ascii="Times New Roman" w:hAnsi="Times New Roman"/>
          <w:color w:val="auto"/>
          <w:sz w:val="24"/>
        </w:rPr>
        <w:t xml:space="preserve">Údaje Toxikologického informačního střediska </w:t>
      </w:r>
      <w:proofErr w:type="gramStart"/>
      <w:r w:rsidR="006A77F8" w:rsidRPr="006A77F8">
        <w:rPr>
          <w:rFonts w:ascii="Times New Roman" w:hAnsi="Times New Roman"/>
          <w:color w:val="auto"/>
          <w:sz w:val="24"/>
        </w:rPr>
        <w:t>svědčí</w:t>
      </w:r>
      <w:proofErr w:type="gramEnd"/>
      <w:r w:rsidR="006A77F8" w:rsidRPr="006A77F8">
        <w:rPr>
          <w:rFonts w:ascii="Times New Roman" w:hAnsi="Times New Roman"/>
          <w:color w:val="auto"/>
          <w:sz w:val="24"/>
        </w:rPr>
        <w:t xml:space="preserve"> o nutnosti regulace obchodu s těmito přípravky, zejména striktního zákazu konzumace dětmi a</w:t>
      </w:r>
      <w:r w:rsidR="0022460C">
        <w:rPr>
          <w:rFonts w:ascii="Times New Roman" w:hAnsi="Times New Roman"/>
          <w:color w:val="auto"/>
          <w:sz w:val="24"/>
        </w:rPr>
        <w:t> </w:t>
      </w:r>
      <w:r w:rsidR="006A77F8" w:rsidRPr="006A77F8">
        <w:rPr>
          <w:rFonts w:ascii="Times New Roman" w:hAnsi="Times New Roman"/>
          <w:color w:val="auto"/>
          <w:sz w:val="24"/>
        </w:rPr>
        <w:t>dospívajícími.</w:t>
      </w:r>
    </w:p>
    <w:p w14:paraId="101E5B9B" w14:textId="13030ED4" w:rsidR="00A6669D" w:rsidRDefault="00A6669D" w:rsidP="0028509A">
      <w:pPr>
        <w:spacing w:line="240" w:lineRule="auto"/>
        <w:ind w:firstLine="708"/>
        <w:rPr>
          <w:rFonts w:ascii="Times New Roman" w:hAnsi="Times New Roman"/>
          <w:color w:val="auto"/>
          <w:sz w:val="24"/>
        </w:rPr>
      </w:pPr>
    </w:p>
    <w:p w14:paraId="775CA81D" w14:textId="51D96EA4" w:rsidR="00A6669D" w:rsidRDefault="00A6669D" w:rsidP="00F45276">
      <w:pPr>
        <w:spacing w:line="240" w:lineRule="auto"/>
        <w:rPr>
          <w:rFonts w:ascii="Times New Roman" w:hAnsi="Times New Roman"/>
          <w:color w:val="auto"/>
          <w:sz w:val="24"/>
        </w:rPr>
      </w:pPr>
      <w:r w:rsidRPr="009E7127">
        <w:rPr>
          <w:rFonts w:ascii="Times New Roman" w:hAnsi="Times New Roman"/>
          <w:b/>
          <w:color w:val="auto"/>
          <w:sz w:val="24"/>
        </w:rPr>
        <w:lastRenderedPageBreak/>
        <w:t>k</w:t>
      </w:r>
      <w:r w:rsidR="000206E9">
        <w:rPr>
          <w:rFonts w:ascii="Times New Roman" w:hAnsi="Times New Roman"/>
          <w:b/>
          <w:color w:val="auto"/>
          <w:sz w:val="24"/>
        </w:rPr>
        <w:t> </w:t>
      </w:r>
      <w:r w:rsidRPr="009E7127">
        <w:rPr>
          <w:rFonts w:ascii="Times New Roman" w:hAnsi="Times New Roman"/>
          <w:b/>
          <w:color w:val="auto"/>
          <w:sz w:val="24"/>
        </w:rPr>
        <w:t>bod</w:t>
      </w:r>
      <w:r w:rsidR="000206E9">
        <w:rPr>
          <w:rFonts w:ascii="Times New Roman" w:hAnsi="Times New Roman"/>
          <w:b/>
          <w:color w:val="auto"/>
          <w:sz w:val="24"/>
        </w:rPr>
        <w:t xml:space="preserve">u </w:t>
      </w:r>
      <w:r w:rsidR="00431C22">
        <w:rPr>
          <w:rFonts w:ascii="Times New Roman" w:hAnsi="Times New Roman"/>
          <w:b/>
          <w:color w:val="auto"/>
          <w:sz w:val="24"/>
        </w:rPr>
        <w:t>5</w:t>
      </w:r>
      <w:r w:rsidR="0039129E">
        <w:rPr>
          <w:rFonts w:ascii="Times New Roman" w:hAnsi="Times New Roman"/>
          <w:b/>
          <w:color w:val="auto"/>
          <w:sz w:val="24"/>
        </w:rPr>
        <w:t xml:space="preserve"> </w:t>
      </w:r>
      <w:r w:rsidR="000206E9">
        <w:rPr>
          <w:rFonts w:ascii="Times New Roman" w:hAnsi="Times New Roman"/>
          <w:b/>
          <w:color w:val="auto"/>
          <w:sz w:val="24"/>
        </w:rPr>
        <w:t xml:space="preserve">a </w:t>
      </w:r>
      <w:r w:rsidR="00431C22">
        <w:rPr>
          <w:rFonts w:ascii="Times New Roman" w:hAnsi="Times New Roman"/>
          <w:b/>
          <w:color w:val="auto"/>
          <w:sz w:val="24"/>
        </w:rPr>
        <w:t>8</w:t>
      </w:r>
    </w:p>
    <w:p w14:paraId="4DA1E2BD" w14:textId="00F49D2E" w:rsidR="00A6669D" w:rsidRDefault="00A6669D" w:rsidP="0028509A">
      <w:pPr>
        <w:spacing w:line="240" w:lineRule="auto"/>
        <w:ind w:firstLine="708"/>
        <w:rPr>
          <w:rFonts w:ascii="Times New Roman" w:hAnsi="Times New Roman"/>
          <w:color w:val="auto"/>
          <w:sz w:val="24"/>
        </w:rPr>
      </w:pPr>
      <w:r>
        <w:rPr>
          <w:rFonts w:ascii="Times New Roman" w:hAnsi="Times New Roman"/>
          <w:color w:val="auto"/>
          <w:sz w:val="24"/>
        </w:rPr>
        <w:t>Látk</w:t>
      </w:r>
      <w:r w:rsidR="000206E9">
        <w:rPr>
          <w:rFonts w:ascii="Times New Roman" w:hAnsi="Times New Roman"/>
          <w:color w:val="auto"/>
          <w:sz w:val="24"/>
        </w:rPr>
        <w:t>y</w:t>
      </w:r>
      <w:r>
        <w:rPr>
          <w:rFonts w:ascii="Times New Roman" w:hAnsi="Times New Roman"/>
          <w:color w:val="auto"/>
          <w:sz w:val="24"/>
        </w:rPr>
        <w:t xml:space="preserve"> </w:t>
      </w:r>
      <w:r w:rsidRPr="00F45276">
        <w:rPr>
          <w:rFonts w:ascii="Times New Roman" w:hAnsi="Times New Roman"/>
          <w:b/>
          <w:bCs/>
          <w:color w:val="auto"/>
          <w:sz w:val="24"/>
        </w:rPr>
        <w:t>7-hydroxymitragynin</w:t>
      </w:r>
      <w:r w:rsidR="000206E9">
        <w:rPr>
          <w:rFonts w:ascii="Times New Roman" w:hAnsi="Times New Roman"/>
          <w:b/>
          <w:bCs/>
          <w:color w:val="auto"/>
          <w:sz w:val="24"/>
        </w:rPr>
        <w:t xml:space="preserve"> a </w:t>
      </w:r>
      <w:proofErr w:type="spellStart"/>
      <w:r w:rsidR="000206E9" w:rsidRPr="00F45276">
        <w:rPr>
          <w:rFonts w:ascii="Times New Roman" w:hAnsi="Times New Roman"/>
          <w:b/>
          <w:bCs/>
          <w:color w:val="auto"/>
          <w:sz w:val="24"/>
        </w:rPr>
        <w:t>mitragynin</w:t>
      </w:r>
      <w:proofErr w:type="spellEnd"/>
      <w:r>
        <w:rPr>
          <w:rFonts w:ascii="Times New Roman" w:hAnsi="Times New Roman"/>
          <w:color w:val="auto"/>
          <w:sz w:val="24"/>
        </w:rPr>
        <w:t xml:space="preserve"> se zařazuj</w:t>
      </w:r>
      <w:r w:rsidR="000206E9">
        <w:rPr>
          <w:rFonts w:ascii="Times New Roman" w:hAnsi="Times New Roman"/>
          <w:color w:val="auto"/>
          <w:sz w:val="24"/>
        </w:rPr>
        <w:t>í</w:t>
      </w:r>
      <w:r>
        <w:rPr>
          <w:rFonts w:ascii="Times New Roman" w:hAnsi="Times New Roman"/>
          <w:color w:val="auto"/>
          <w:sz w:val="24"/>
        </w:rPr>
        <w:t xml:space="preserve"> n</w:t>
      </w:r>
      <w:r w:rsidRPr="00A6669D">
        <w:rPr>
          <w:rFonts w:ascii="Times New Roman" w:hAnsi="Times New Roman"/>
          <w:color w:val="auto"/>
          <w:sz w:val="24"/>
        </w:rPr>
        <w:t xml:space="preserve">a základě požadavku Státního zdravotního ústavu a Generálního ředitelství cel </w:t>
      </w:r>
      <w:r>
        <w:rPr>
          <w:rFonts w:ascii="Times New Roman" w:hAnsi="Times New Roman"/>
          <w:color w:val="auto"/>
          <w:sz w:val="24"/>
        </w:rPr>
        <w:t>jako účinn</w:t>
      </w:r>
      <w:r w:rsidR="000206E9">
        <w:rPr>
          <w:rFonts w:ascii="Times New Roman" w:hAnsi="Times New Roman"/>
          <w:color w:val="auto"/>
          <w:sz w:val="24"/>
        </w:rPr>
        <w:t>é</w:t>
      </w:r>
      <w:r>
        <w:rPr>
          <w:rFonts w:ascii="Times New Roman" w:hAnsi="Times New Roman"/>
          <w:color w:val="auto"/>
          <w:sz w:val="24"/>
        </w:rPr>
        <w:t xml:space="preserve"> látk</w:t>
      </w:r>
      <w:r w:rsidR="000206E9">
        <w:rPr>
          <w:rFonts w:ascii="Times New Roman" w:hAnsi="Times New Roman"/>
          <w:color w:val="auto"/>
          <w:sz w:val="24"/>
        </w:rPr>
        <w:t>y</w:t>
      </w:r>
      <w:r>
        <w:rPr>
          <w:rFonts w:ascii="Times New Roman" w:hAnsi="Times New Roman"/>
          <w:color w:val="auto"/>
          <w:sz w:val="24"/>
        </w:rPr>
        <w:t xml:space="preserve"> </w:t>
      </w:r>
      <w:proofErr w:type="spellStart"/>
      <w:r w:rsidR="00A43FA2">
        <w:rPr>
          <w:rFonts w:ascii="Times New Roman" w:hAnsi="Times New Roman"/>
          <w:color w:val="auto"/>
          <w:sz w:val="24"/>
        </w:rPr>
        <w:t>kratomu</w:t>
      </w:r>
      <w:proofErr w:type="spellEnd"/>
      <w:r w:rsidR="00A43FA2">
        <w:rPr>
          <w:rFonts w:ascii="Times New Roman" w:hAnsi="Times New Roman"/>
          <w:color w:val="auto"/>
          <w:sz w:val="24"/>
        </w:rPr>
        <w:t xml:space="preserve"> (</w:t>
      </w:r>
      <w:r w:rsidR="00A43FA2" w:rsidRPr="00A43FA2">
        <w:rPr>
          <w:rFonts w:ascii="Times New Roman" w:hAnsi="Times New Roman"/>
          <w:color w:val="auto"/>
          <w:sz w:val="24"/>
        </w:rPr>
        <w:t xml:space="preserve">nadrcené sušené listy rostliny </w:t>
      </w:r>
      <w:proofErr w:type="spellStart"/>
      <w:r w:rsidR="00A43FA2" w:rsidRPr="00A43FA2">
        <w:rPr>
          <w:rFonts w:ascii="Times New Roman" w:hAnsi="Times New Roman"/>
          <w:color w:val="auto"/>
          <w:sz w:val="24"/>
        </w:rPr>
        <w:t>Mitragyna</w:t>
      </w:r>
      <w:proofErr w:type="spellEnd"/>
      <w:r w:rsidR="00A43FA2" w:rsidRPr="00A43FA2">
        <w:rPr>
          <w:rFonts w:ascii="Times New Roman" w:hAnsi="Times New Roman"/>
          <w:color w:val="auto"/>
          <w:sz w:val="24"/>
        </w:rPr>
        <w:t xml:space="preserve"> </w:t>
      </w:r>
      <w:proofErr w:type="spellStart"/>
      <w:r w:rsidR="00A43FA2" w:rsidRPr="00A43FA2">
        <w:rPr>
          <w:rFonts w:ascii="Times New Roman" w:hAnsi="Times New Roman"/>
          <w:color w:val="auto"/>
          <w:sz w:val="24"/>
        </w:rPr>
        <w:t>speciosa</w:t>
      </w:r>
      <w:proofErr w:type="spellEnd"/>
      <w:r w:rsidR="00A43FA2">
        <w:rPr>
          <w:rFonts w:ascii="Times New Roman" w:hAnsi="Times New Roman"/>
          <w:color w:val="auto"/>
          <w:sz w:val="24"/>
        </w:rPr>
        <w:t>)</w:t>
      </w:r>
      <w:r w:rsidR="00A43FA2" w:rsidRPr="00A43FA2">
        <w:rPr>
          <w:rFonts w:ascii="Times New Roman" w:hAnsi="Times New Roman"/>
          <w:color w:val="auto"/>
          <w:sz w:val="24"/>
        </w:rPr>
        <w:t xml:space="preserve"> </w:t>
      </w:r>
      <w:r w:rsidRPr="00A6669D">
        <w:rPr>
          <w:rFonts w:ascii="Times New Roman" w:hAnsi="Times New Roman"/>
          <w:color w:val="auto"/>
          <w:sz w:val="24"/>
        </w:rPr>
        <w:t xml:space="preserve">a vzhledem k rychlému rozšíření látky </w:t>
      </w:r>
      <w:proofErr w:type="spellStart"/>
      <w:r w:rsidRPr="00A6669D">
        <w:rPr>
          <w:rFonts w:ascii="Times New Roman" w:hAnsi="Times New Roman"/>
          <w:color w:val="auto"/>
          <w:sz w:val="24"/>
        </w:rPr>
        <w:t>kratom</w:t>
      </w:r>
      <w:proofErr w:type="spellEnd"/>
      <w:r w:rsidRPr="00A6669D">
        <w:rPr>
          <w:rFonts w:ascii="Times New Roman" w:hAnsi="Times New Roman"/>
          <w:color w:val="auto"/>
          <w:sz w:val="24"/>
        </w:rPr>
        <w:t xml:space="preserve"> do volného prodeje v ČR, zejména pak kvůli jejímu výskytu </w:t>
      </w:r>
      <w:r w:rsidR="00A43FA2">
        <w:rPr>
          <w:rFonts w:ascii="Times New Roman" w:hAnsi="Times New Roman"/>
          <w:color w:val="auto"/>
          <w:sz w:val="24"/>
        </w:rPr>
        <w:t>v</w:t>
      </w:r>
      <w:r w:rsidRPr="00A6669D">
        <w:rPr>
          <w:rFonts w:ascii="Times New Roman" w:hAnsi="Times New Roman"/>
          <w:color w:val="auto"/>
          <w:sz w:val="24"/>
        </w:rPr>
        <w:t xml:space="preserve"> nedospěl</w:t>
      </w:r>
      <w:r w:rsidR="00A43FA2">
        <w:rPr>
          <w:rFonts w:ascii="Times New Roman" w:hAnsi="Times New Roman"/>
          <w:color w:val="auto"/>
          <w:sz w:val="24"/>
        </w:rPr>
        <w:t>é</w:t>
      </w:r>
      <w:r w:rsidRPr="00A6669D">
        <w:rPr>
          <w:rFonts w:ascii="Times New Roman" w:hAnsi="Times New Roman"/>
          <w:color w:val="auto"/>
          <w:sz w:val="24"/>
        </w:rPr>
        <w:t xml:space="preserve"> populac</w:t>
      </w:r>
      <w:r w:rsidR="00A43FA2">
        <w:rPr>
          <w:rFonts w:ascii="Times New Roman" w:hAnsi="Times New Roman"/>
          <w:color w:val="auto"/>
          <w:sz w:val="24"/>
        </w:rPr>
        <w:t xml:space="preserve">i. Jako součást </w:t>
      </w:r>
      <w:proofErr w:type="spellStart"/>
      <w:r w:rsidR="00A43FA2">
        <w:rPr>
          <w:rFonts w:ascii="Times New Roman" w:hAnsi="Times New Roman"/>
          <w:color w:val="auto"/>
          <w:sz w:val="24"/>
        </w:rPr>
        <w:t>kratomu</w:t>
      </w:r>
      <w:proofErr w:type="spellEnd"/>
      <w:r w:rsidR="00A43FA2">
        <w:rPr>
          <w:rFonts w:ascii="Times New Roman" w:hAnsi="Times New Roman"/>
          <w:color w:val="auto"/>
          <w:sz w:val="24"/>
        </w:rPr>
        <w:t xml:space="preserve"> se vyskytuj</w:t>
      </w:r>
      <w:r w:rsidR="000206E9">
        <w:rPr>
          <w:rFonts w:ascii="Times New Roman" w:hAnsi="Times New Roman"/>
          <w:color w:val="auto"/>
          <w:sz w:val="24"/>
        </w:rPr>
        <w:t>í</w:t>
      </w:r>
      <w:r w:rsidR="00A43FA2">
        <w:rPr>
          <w:rFonts w:ascii="Times New Roman" w:hAnsi="Times New Roman"/>
          <w:color w:val="auto"/>
          <w:sz w:val="24"/>
        </w:rPr>
        <w:t xml:space="preserve"> ve většině zemí EU a v ČR dosahuje dovoz </w:t>
      </w:r>
      <w:proofErr w:type="spellStart"/>
      <w:r w:rsidR="00A43FA2">
        <w:rPr>
          <w:rFonts w:ascii="Times New Roman" w:hAnsi="Times New Roman"/>
          <w:color w:val="auto"/>
          <w:sz w:val="24"/>
        </w:rPr>
        <w:t>kratomu</w:t>
      </w:r>
      <w:proofErr w:type="spellEnd"/>
      <w:r w:rsidR="00A43FA2">
        <w:rPr>
          <w:rFonts w:ascii="Times New Roman" w:hAnsi="Times New Roman"/>
          <w:color w:val="auto"/>
          <w:sz w:val="24"/>
        </w:rPr>
        <w:t xml:space="preserve"> množství tun za měsíc. </w:t>
      </w:r>
      <w:r w:rsidR="00A43FA2" w:rsidRPr="006A77F8">
        <w:rPr>
          <w:rFonts w:ascii="Times New Roman" w:hAnsi="Times New Roman"/>
          <w:color w:val="auto"/>
          <w:sz w:val="24"/>
        </w:rPr>
        <w:t xml:space="preserve">Zdravotnická zařízení hlásí narůstající množství intoxikací v souvislosti s užíváním </w:t>
      </w:r>
      <w:proofErr w:type="spellStart"/>
      <w:r w:rsidR="00A43FA2" w:rsidRPr="006A77F8">
        <w:rPr>
          <w:rFonts w:ascii="Times New Roman" w:hAnsi="Times New Roman"/>
          <w:color w:val="auto"/>
          <w:sz w:val="24"/>
        </w:rPr>
        <w:t>kratomu</w:t>
      </w:r>
      <w:proofErr w:type="spellEnd"/>
      <w:r w:rsidR="00A43FA2" w:rsidRPr="006A77F8">
        <w:rPr>
          <w:rFonts w:ascii="Times New Roman" w:hAnsi="Times New Roman"/>
          <w:color w:val="auto"/>
          <w:sz w:val="24"/>
        </w:rPr>
        <w:t>.</w:t>
      </w:r>
      <w:r w:rsidRPr="006A77F8">
        <w:rPr>
          <w:rFonts w:ascii="Times New Roman" w:hAnsi="Times New Roman"/>
          <w:color w:val="auto"/>
          <w:sz w:val="24"/>
        </w:rPr>
        <w:t xml:space="preserve"> </w:t>
      </w:r>
    </w:p>
    <w:p w14:paraId="25747AA5" w14:textId="75DF69E7" w:rsidR="00A6669D" w:rsidRDefault="00A6669D" w:rsidP="0028509A">
      <w:pPr>
        <w:spacing w:line="240" w:lineRule="auto"/>
        <w:ind w:firstLine="708"/>
        <w:rPr>
          <w:rFonts w:ascii="Times New Roman" w:hAnsi="Times New Roman"/>
          <w:color w:val="auto"/>
          <w:sz w:val="24"/>
        </w:rPr>
      </w:pPr>
    </w:p>
    <w:p w14:paraId="197F99AD" w14:textId="77777777" w:rsidR="00F45276" w:rsidRDefault="00F45276" w:rsidP="00F45276">
      <w:pPr>
        <w:spacing w:line="240" w:lineRule="auto"/>
        <w:rPr>
          <w:rFonts w:ascii="Times New Roman" w:hAnsi="Times New Roman"/>
          <w:color w:val="auto"/>
          <w:sz w:val="24"/>
        </w:rPr>
      </w:pPr>
    </w:p>
    <w:p w14:paraId="15159638" w14:textId="61D97127" w:rsidR="00A6669D" w:rsidRDefault="00A6669D" w:rsidP="00F45276">
      <w:pPr>
        <w:spacing w:line="240" w:lineRule="auto"/>
        <w:rPr>
          <w:rFonts w:ascii="Times New Roman" w:hAnsi="Times New Roman"/>
          <w:color w:val="auto"/>
          <w:sz w:val="24"/>
        </w:rPr>
      </w:pPr>
      <w:r w:rsidRPr="009E7127">
        <w:rPr>
          <w:rFonts w:ascii="Times New Roman" w:hAnsi="Times New Roman"/>
          <w:b/>
          <w:color w:val="auto"/>
          <w:sz w:val="24"/>
        </w:rPr>
        <w:t xml:space="preserve">k bodu </w:t>
      </w:r>
      <w:r w:rsidR="00431C22">
        <w:rPr>
          <w:rFonts w:ascii="Times New Roman" w:hAnsi="Times New Roman"/>
          <w:b/>
          <w:color w:val="auto"/>
          <w:sz w:val="24"/>
        </w:rPr>
        <w:t>9</w:t>
      </w:r>
    </w:p>
    <w:p w14:paraId="74B1FC39" w14:textId="20D17561" w:rsidR="00A6669D" w:rsidRDefault="00A6669D" w:rsidP="0028509A">
      <w:pPr>
        <w:spacing w:line="240" w:lineRule="auto"/>
        <w:ind w:firstLine="708"/>
        <w:rPr>
          <w:rFonts w:ascii="Times New Roman" w:hAnsi="Times New Roman"/>
          <w:color w:val="auto"/>
          <w:sz w:val="24"/>
        </w:rPr>
      </w:pPr>
      <w:r>
        <w:rPr>
          <w:rFonts w:ascii="Times New Roman" w:hAnsi="Times New Roman"/>
          <w:color w:val="auto"/>
          <w:sz w:val="24"/>
        </w:rPr>
        <w:t xml:space="preserve">Látka </w:t>
      </w:r>
      <w:proofErr w:type="spellStart"/>
      <w:r w:rsidR="00A43FA2">
        <w:rPr>
          <w:rFonts w:ascii="Times New Roman" w:hAnsi="Times New Roman"/>
          <w:color w:val="auto"/>
          <w:sz w:val="24"/>
        </w:rPr>
        <w:t>kratom</w:t>
      </w:r>
      <w:proofErr w:type="spellEnd"/>
      <w:r w:rsidR="00A43FA2">
        <w:rPr>
          <w:rFonts w:ascii="Times New Roman" w:hAnsi="Times New Roman"/>
          <w:color w:val="auto"/>
          <w:sz w:val="24"/>
        </w:rPr>
        <w:t xml:space="preserve"> </w:t>
      </w:r>
      <w:r w:rsidR="00A43FA2" w:rsidRPr="00A43FA2">
        <w:rPr>
          <w:rFonts w:ascii="Times New Roman" w:hAnsi="Times New Roman"/>
          <w:color w:val="auto"/>
          <w:sz w:val="24"/>
        </w:rPr>
        <w:t xml:space="preserve">(nadrcené sušené listy rostliny </w:t>
      </w:r>
      <w:proofErr w:type="spellStart"/>
      <w:r w:rsidR="00A43FA2" w:rsidRPr="00A43FA2">
        <w:rPr>
          <w:rFonts w:ascii="Times New Roman" w:hAnsi="Times New Roman"/>
          <w:color w:val="auto"/>
          <w:sz w:val="24"/>
        </w:rPr>
        <w:t>Mitragyna</w:t>
      </w:r>
      <w:proofErr w:type="spellEnd"/>
      <w:r w:rsidR="00A43FA2" w:rsidRPr="00A43FA2">
        <w:rPr>
          <w:rFonts w:ascii="Times New Roman" w:hAnsi="Times New Roman"/>
          <w:color w:val="auto"/>
          <w:sz w:val="24"/>
        </w:rPr>
        <w:t xml:space="preserve"> </w:t>
      </w:r>
      <w:proofErr w:type="spellStart"/>
      <w:r w:rsidR="00A43FA2" w:rsidRPr="00A43FA2">
        <w:rPr>
          <w:rFonts w:ascii="Times New Roman" w:hAnsi="Times New Roman"/>
          <w:color w:val="auto"/>
          <w:sz w:val="24"/>
        </w:rPr>
        <w:t>speciosa</w:t>
      </w:r>
      <w:proofErr w:type="spellEnd"/>
      <w:r w:rsidR="00A43FA2" w:rsidRPr="00A43FA2">
        <w:rPr>
          <w:rFonts w:ascii="Times New Roman" w:hAnsi="Times New Roman"/>
          <w:color w:val="auto"/>
          <w:sz w:val="24"/>
        </w:rPr>
        <w:t>)</w:t>
      </w:r>
      <w:r w:rsidR="00A43FA2">
        <w:rPr>
          <w:rFonts w:ascii="Times New Roman" w:hAnsi="Times New Roman"/>
          <w:color w:val="auto"/>
          <w:sz w:val="24"/>
        </w:rPr>
        <w:t xml:space="preserve"> </w:t>
      </w:r>
      <w:r w:rsidR="00A43FA2" w:rsidRPr="00A43FA2">
        <w:rPr>
          <w:rFonts w:ascii="Times New Roman" w:hAnsi="Times New Roman"/>
          <w:color w:val="auto"/>
          <w:sz w:val="24"/>
        </w:rPr>
        <w:t xml:space="preserve">se zařazuje na základě požadavku Státního zdravotního ústavu a Generálního ředitelství cel vzhledem </w:t>
      </w:r>
      <w:r w:rsidR="00A43FA2">
        <w:rPr>
          <w:rFonts w:ascii="Times New Roman" w:hAnsi="Times New Roman"/>
          <w:color w:val="auto"/>
          <w:sz w:val="24"/>
        </w:rPr>
        <w:t xml:space="preserve">jejímu </w:t>
      </w:r>
      <w:r w:rsidR="00A43FA2" w:rsidRPr="00A43FA2">
        <w:rPr>
          <w:rFonts w:ascii="Times New Roman" w:hAnsi="Times New Roman"/>
          <w:color w:val="auto"/>
          <w:sz w:val="24"/>
        </w:rPr>
        <w:t>rychlému rozšíření do volného prodeje v</w:t>
      </w:r>
      <w:r w:rsidR="00F91B5F">
        <w:rPr>
          <w:rFonts w:ascii="Times New Roman" w:hAnsi="Times New Roman"/>
          <w:color w:val="auto"/>
          <w:sz w:val="24"/>
        </w:rPr>
        <w:t> </w:t>
      </w:r>
      <w:r w:rsidR="00A43FA2" w:rsidRPr="00A43FA2">
        <w:rPr>
          <w:rFonts w:ascii="Times New Roman" w:hAnsi="Times New Roman"/>
          <w:color w:val="auto"/>
          <w:sz w:val="24"/>
        </w:rPr>
        <w:t>ČR</w:t>
      </w:r>
      <w:r w:rsidR="00F91B5F">
        <w:rPr>
          <w:rFonts w:ascii="Times New Roman" w:hAnsi="Times New Roman"/>
          <w:color w:val="auto"/>
          <w:sz w:val="24"/>
        </w:rPr>
        <w:t xml:space="preserve"> a snadné dostupnosti pro nedospělou populaci.</w:t>
      </w:r>
      <w:r w:rsidR="00A43FA2" w:rsidRPr="00A43FA2">
        <w:rPr>
          <w:rFonts w:ascii="Times New Roman" w:hAnsi="Times New Roman"/>
          <w:color w:val="auto"/>
          <w:sz w:val="24"/>
        </w:rPr>
        <w:t xml:space="preserve"> </w:t>
      </w:r>
      <w:r w:rsidR="00F91B5F">
        <w:rPr>
          <w:rFonts w:ascii="Times New Roman" w:hAnsi="Times New Roman"/>
          <w:color w:val="auto"/>
          <w:sz w:val="24"/>
        </w:rPr>
        <w:t>V</w:t>
      </w:r>
      <w:r w:rsidR="00A43FA2" w:rsidRPr="00A43FA2">
        <w:rPr>
          <w:rFonts w:ascii="Times New Roman" w:hAnsi="Times New Roman"/>
          <w:color w:val="auto"/>
          <w:sz w:val="24"/>
        </w:rPr>
        <w:t>yskytuje</w:t>
      </w:r>
      <w:r w:rsidR="00F91B5F">
        <w:rPr>
          <w:rFonts w:ascii="Times New Roman" w:hAnsi="Times New Roman"/>
          <w:color w:val="auto"/>
          <w:sz w:val="24"/>
        </w:rPr>
        <w:t xml:space="preserve"> se</w:t>
      </w:r>
      <w:r w:rsidR="00A43FA2" w:rsidRPr="00A43FA2">
        <w:rPr>
          <w:rFonts w:ascii="Times New Roman" w:hAnsi="Times New Roman"/>
          <w:color w:val="auto"/>
          <w:sz w:val="24"/>
        </w:rPr>
        <w:t xml:space="preserve"> ve většině zemí EU a v </w:t>
      </w:r>
      <w:r w:rsidR="00A43FA2" w:rsidRPr="006655AB">
        <w:rPr>
          <w:rFonts w:ascii="Times New Roman" w:hAnsi="Times New Roman"/>
          <w:color w:val="auto"/>
          <w:sz w:val="24"/>
        </w:rPr>
        <w:t xml:space="preserve">ČR dosahuje dovoz </w:t>
      </w:r>
      <w:proofErr w:type="spellStart"/>
      <w:r w:rsidR="00A43FA2" w:rsidRPr="006655AB">
        <w:rPr>
          <w:rFonts w:ascii="Times New Roman" w:hAnsi="Times New Roman"/>
          <w:color w:val="auto"/>
          <w:sz w:val="24"/>
        </w:rPr>
        <w:t>kratomu</w:t>
      </w:r>
      <w:proofErr w:type="spellEnd"/>
      <w:r w:rsidR="00A43FA2" w:rsidRPr="006655AB">
        <w:rPr>
          <w:rFonts w:ascii="Times New Roman" w:hAnsi="Times New Roman"/>
          <w:color w:val="auto"/>
          <w:sz w:val="24"/>
        </w:rPr>
        <w:t xml:space="preserve"> množství tun za měsíc. Zdravotnická zařízení hlásí narůstající množství intoxikací v souvislosti s užíváním </w:t>
      </w:r>
      <w:proofErr w:type="spellStart"/>
      <w:r w:rsidR="00A43FA2" w:rsidRPr="006655AB">
        <w:rPr>
          <w:rFonts w:ascii="Times New Roman" w:hAnsi="Times New Roman"/>
          <w:color w:val="auto"/>
          <w:sz w:val="24"/>
        </w:rPr>
        <w:t>kratomu</w:t>
      </w:r>
      <w:proofErr w:type="spellEnd"/>
      <w:r w:rsidR="00A43FA2" w:rsidRPr="006655AB">
        <w:rPr>
          <w:rFonts w:ascii="Times New Roman" w:hAnsi="Times New Roman"/>
          <w:color w:val="auto"/>
          <w:sz w:val="24"/>
        </w:rPr>
        <w:t>.</w:t>
      </w:r>
      <w:r w:rsidR="006655AB" w:rsidRPr="006655AB">
        <w:rPr>
          <w:rFonts w:ascii="Times New Roman" w:hAnsi="Times New Roman"/>
          <w:color w:val="auto"/>
          <w:sz w:val="24"/>
        </w:rPr>
        <w:t xml:space="preserve"> </w:t>
      </w:r>
      <w:r w:rsidR="006655AB" w:rsidRPr="00985477">
        <w:rPr>
          <w:rFonts w:ascii="Times New Roman" w:hAnsi="Times New Roman"/>
          <w:color w:val="auto"/>
          <w:sz w:val="24"/>
        </w:rPr>
        <w:t xml:space="preserve">Údaje Toxikologického informačního střediska </w:t>
      </w:r>
      <w:proofErr w:type="gramStart"/>
      <w:r w:rsidR="006655AB" w:rsidRPr="00985477">
        <w:rPr>
          <w:rFonts w:ascii="Times New Roman" w:hAnsi="Times New Roman"/>
          <w:color w:val="auto"/>
          <w:sz w:val="24"/>
        </w:rPr>
        <w:t>svědčí</w:t>
      </w:r>
      <w:proofErr w:type="gramEnd"/>
      <w:r w:rsidR="006655AB" w:rsidRPr="00985477">
        <w:rPr>
          <w:rFonts w:ascii="Times New Roman" w:hAnsi="Times New Roman"/>
          <w:color w:val="auto"/>
          <w:sz w:val="24"/>
        </w:rPr>
        <w:t xml:space="preserve"> o nutnosti regulace </w:t>
      </w:r>
      <w:proofErr w:type="spellStart"/>
      <w:r w:rsidR="006655AB">
        <w:rPr>
          <w:rFonts w:ascii="Times New Roman" w:hAnsi="Times New Roman"/>
          <w:color w:val="auto"/>
          <w:sz w:val="24"/>
        </w:rPr>
        <w:t>kratomu</w:t>
      </w:r>
      <w:proofErr w:type="spellEnd"/>
      <w:r w:rsidR="006655AB" w:rsidRPr="00985477">
        <w:rPr>
          <w:rFonts w:ascii="Times New Roman" w:hAnsi="Times New Roman"/>
          <w:color w:val="auto"/>
          <w:sz w:val="24"/>
        </w:rPr>
        <w:t>, zejména striktního zákazu konzumace dětmi a dospívajícími.</w:t>
      </w:r>
      <w:r w:rsidR="006655AB">
        <w:rPr>
          <w:rFonts w:ascii="Times New Roman" w:hAnsi="Times New Roman"/>
          <w:color w:val="auto"/>
          <w:sz w:val="24"/>
        </w:rPr>
        <w:t xml:space="preserve"> </w:t>
      </w:r>
      <w:r w:rsidR="00F91B5F">
        <w:rPr>
          <w:rFonts w:ascii="Times New Roman" w:hAnsi="Times New Roman"/>
          <w:color w:val="auto"/>
          <w:sz w:val="24"/>
        </w:rPr>
        <w:t xml:space="preserve">Zařazení látky </w:t>
      </w:r>
      <w:proofErr w:type="spellStart"/>
      <w:r w:rsidR="00F91B5F">
        <w:rPr>
          <w:rFonts w:ascii="Times New Roman" w:hAnsi="Times New Roman"/>
          <w:color w:val="auto"/>
          <w:sz w:val="24"/>
        </w:rPr>
        <w:t>kratom</w:t>
      </w:r>
      <w:proofErr w:type="spellEnd"/>
      <w:r w:rsidR="00F91B5F">
        <w:rPr>
          <w:rFonts w:ascii="Times New Roman" w:hAnsi="Times New Roman"/>
          <w:color w:val="auto"/>
          <w:sz w:val="24"/>
        </w:rPr>
        <w:t xml:space="preserve"> a jeho účinných složek </w:t>
      </w:r>
      <w:r w:rsidRPr="00A6669D">
        <w:rPr>
          <w:rFonts w:ascii="Times New Roman" w:hAnsi="Times New Roman"/>
          <w:color w:val="auto"/>
          <w:sz w:val="24"/>
        </w:rPr>
        <w:t xml:space="preserve">na seznam psychotropních látek </w:t>
      </w:r>
      <w:r w:rsidR="00F91B5F">
        <w:rPr>
          <w:rFonts w:ascii="Times New Roman" w:hAnsi="Times New Roman"/>
          <w:color w:val="auto"/>
          <w:sz w:val="24"/>
        </w:rPr>
        <w:t xml:space="preserve">je nutné </w:t>
      </w:r>
      <w:r w:rsidRPr="00A6669D">
        <w:rPr>
          <w:rFonts w:ascii="Times New Roman" w:hAnsi="Times New Roman"/>
          <w:color w:val="auto"/>
          <w:sz w:val="24"/>
        </w:rPr>
        <w:t xml:space="preserve">přinejmenším do chvíle, než bude legislativně vyřešena regulace </w:t>
      </w:r>
      <w:proofErr w:type="spellStart"/>
      <w:r w:rsidRPr="00A6669D">
        <w:rPr>
          <w:rFonts w:ascii="Times New Roman" w:hAnsi="Times New Roman"/>
          <w:color w:val="auto"/>
          <w:sz w:val="24"/>
        </w:rPr>
        <w:t>kratomu</w:t>
      </w:r>
      <w:proofErr w:type="spellEnd"/>
      <w:r w:rsidRPr="00A6669D">
        <w:rPr>
          <w:rFonts w:ascii="Times New Roman" w:hAnsi="Times New Roman"/>
          <w:color w:val="auto"/>
          <w:sz w:val="24"/>
        </w:rPr>
        <w:t xml:space="preserve"> takovým způsobem, aby tato látka nebyla dostupná </w:t>
      </w:r>
      <w:r w:rsidR="00F91B5F">
        <w:rPr>
          <w:rFonts w:ascii="Times New Roman" w:hAnsi="Times New Roman"/>
          <w:color w:val="auto"/>
          <w:sz w:val="24"/>
        </w:rPr>
        <w:t xml:space="preserve">pro </w:t>
      </w:r>
      <w:r w:rsidRPr="00A6669D">
        <w:rPr>
          <w:rFonts w:ascii="Times New Roman" w:hAnsi="Times New Roman"/>
          <w:color w:val="auto"/>
          <w:sz w:val="24"/>
        </w:rPr>
        <w:t>nedospěl</w:t>
      </w:r>
      <w:r w:rsidR="00F91B5F">
        <w:rPr>
          <w:rFonts w:ascii="Times New Roman" w:hAnsi="Times New Roman"/>
          <w:color w:val="auto"/>
          <w:sz w:val="24"/>
        </w:rPr>
        <w:t>ou</w:t>
      </w:r>
      <w:r w:rsidRPr="00A6669D">
        <w:rPr>
          <w:rFonts w:ascii="Times New Roman" w:hAnsi="Times New Roman"/>
          <w:color w:val="auto"/>
          <w:sz w:val="24"/>
        </w:rPr>
        <w:t xml:space="preserve"> populaci.</w:t>
      </w:r>
    </w:p>
    <w:p w14:paraId="2452765D" w14:textId="17901E25" w:rsidR="00A6669D" w:rsidRDefault="00A6669D" w:rsidP="00F45276">
      <w:pPr>
        <w:spacing w:line="240" w:lineRule="auto"/>
        <w:rPr>
          <w:rFonts w:ascii="Times New Roman" w:hAnsi="Times New Roman"/>
          <w:color w:val="auto"/>
          <w:sz w:val="24"/>
        </w:rPr>
      </w:pPr>
    </w:p>
    <w:p w14:paraId="42884B79" w14:textId="0EBE0C3D" w:rsidR="0028509A" w:rsidRPr="009E7127" w:rsidRDefault="0028509A" w:rsidP="0028509A">
      <w:pPr>
        <w:spacing w:line="240" w:lineRule="auto"/>
        <w:jc w:val="left"/>
        <w:rPr>
          <w:rFonts w:ascii="Times New Roman" w:hAnsi="Times New Roman"/>
          <w:b/>
          <w:color w:val="auto"/>
          <w:sz w:val="24"/>
        </w:rPr>
      </w:pPr>
      <w:r w:rsidRPr="009E7127">
        <w:rPr>
          <w:rFonts w:ascii="Times New Roman" w:hAnsi="Times New Roman"/>
          <w:b/>
          <w:color w:val="auto"/>
          <w:sz w:val="24"/>
        </w:rPr>
        <w:t xml:space="preserve">k bodu </w:t>
      </w:r>
      <w:r w:rsidR="00431C22">
        <w:rPr>
          <w:rFonts w:ascii="Times New Roman" w:hAnsi="Times New Roman"/>
          <w:b/>
          <w:color w:val="auto"/>
          <w:sz w:val="24"/>
        </w:rPr>
        <w:t>10</w:t>
      </w:r>
    </w:p>
    <w:p w14:paraId="01C43E06" w14:textId="77777777" w:rsidR="0028509A" w:rsidRPr="009E7127" w:rsidRDefault="0028509A" w:rsidP="0028509A">
      <w:pPr>
        <w:spacing w:line="240" w:lineRule="auto"/>
        <w:ind w:firstLine="708"/>
        <w:rPr>
          <w:rFonts w:ascii="Times New Roman" w:hAnsi="Times New Roman"/>
          <w:color w:val="auto"/>
          <w:sz w:val="24"/>
        </w:rPr>
      </w:pPr>
      <w:r w:rsidRPr="009E7127">
        <w:rPr>
          <w:rFonts w:ascii="Times New Roman" w:hAnsi="Times New Roman"/>
          <w:color w:val="auto"/>
          <w:sz w:val="24"/>
        </w:rPr>
        <w:t xml:space="preserve">Látka </w:t>
      </w:r>
      <w:proofErr w:type="spellStart"/>
      <w:r w:rsidRPr="009E7127">
        <w:rPr>
          <w:rFonts w:ascii="Times New Roman" w:hAnsi="Times New Roman"/>
          <w:b/>
          <w:color w:val="auto"/>
          <w:sz w:val="24"/>
        </w:rPr>
        <w:t>Tetrahydrokanabiforol</w:t>
      </w:r>
      <w:proofErr w:type="spellEnd"/>
      <w:r w:rsidRPr="009E7127">
        <w:rPr>
          <w:rFonts w:ascii="Times New Roman" w:hAnsi="Times New Roman"/>
          <w:b/>
          <w:color w:val="auto"/>
          <w:sz w:val="24"/>
        </w:rPr>
        <w:t xml:space="preserve"> (THCP) </w:t>
      </w:r>
      <w:r w:rsidRPr="009E7127">
        <w:rPr>
          <w:rFonts w:ascii="Times New Roman" w:hAnsi="Times New Roman"/>
          <w:color w:val="auto"/>
          <w:sz w:val="24"/>
        </w:rPr>
        <w:t xml:space="preserve">se zařazuje do přílohy č. 4 k nařízení vlády </w:t>
      </w:r>
      <w:r>
        <w:rPr>
          <w:rFonts w:ascii="Times New Roman" w:hAnsi="Times New Roman"/>
          <w:color w:val="auto"/>
          <w:sz w:val="24"/>
        </w:rPr>
        <w:br/>
      </w:r>
      <w:r w:rsidRPr="009E7127">
        <w:rPr>
          <w:rFonts w:ascii="Times New Roman" w:hAnsi="Times New Roman"/>
          <w:color w:val="auto"/>
          <w:sz w:val="24"/>
        </w:rPr>
        <w:t>v abecedním pořádku na základě návrhu NPC Policie České republiky</w:t>
      </w:r>
      <w:r>
        <w:rPr>
          <w:rFonts w:ascii="Times New Roman" w:hAnsi="Times New Roman"/>
          <w:color w:val="auto"/>
          <w:sz w:val="24"/>
        </w:rPr>
        <w:t>, Ministerstva obrany</w:t>
      </w:r>
      <w:r w:rsidRPr="009E7127">
        <w:rPr>
          <w:rFonts w:ascii="Times New Roman" w:hAnsi="Times New Roman"/>
          <w:color w:val="auto"/>
          <w:sz w:val="24"/>
        </w:rPr>
        <w:t xml:space="preserve"> </w:t>
      </w:r>
      <w:r>
        <w:rPr>
          <w:rFonts w:ascii="Times New Roman" w:hAnsi="Times New Roman"/>
          <w:color w:val="auto"/>
          <w:sz w:val="24"/>
        </w:rPr>
        <w:br/>
      </w:r>
      <w:r w:rsidRPr="009E7127">
        <w:rPr>
          <w:rFonts w:ascii="Times New Roman" w:hAnsi="Times New Roman"/>
          <w:color w:val="auto"/>
          <w:sz w:val="24"/>
        </w:rPr>
        <w:t xml:space="preserve">a Ministerstva zdravotnictví a </w:t>
      </w:r>
      <w:proofErr w:type="gramStart"/>
      <w:r w:rsidRPr="009E7127">
        <w:rPr>
          <w:rFonts w:ascii="Times New Roman" w:hAnsi="Times New Roman"/>
          <w:color w:val="auto"/>
          <w:sz w:val="24"/>
        </w:rPr>
        <w:t>patří</w:t>
      </w:r>
      <w:proofErr w:type="gramEnd"/>
      <w:r w:rsidRPr="009E7127">
        <w:rPr>
          <w:rFonts w:ascii="Times New Roman" w:hAnsi="Times New Roman"/>
          <w:color w:val="auto"/>
          <w:sz w:val="24"/>
        </w:rPr>
        <w:t xml:space="preserve"> do skupiny </w:t>
      </w:r>
      <w:proofErr w:type="spellStart"/>
      <w:r w:rsidRPr="009E7127">
        <w:rPr>
          <w:rFonts w:ascii="Times New Roman" w:hAnsi="Times New Roman"/>
          <w:color w:val="auto"/>
          <w:sz w:val="24"/>
        </w:rPr>
        <w:t>kanabinoidů</w:t>
      </w:r>
      <w:proofErr w:type="spellEnd"/>
      <w:r w:rsidRPr="009E7127">
        <w:rPr>
          <w:rFonts w:ascii="Times New Roman" w:hAnsi="Times New Roman"/>
          <w:color w:val="auto"/>
          <w:sz w:val="24"/>
        </w:rPr>
        <w:t>. Jedná se o poměrně novou psychoaktivní látku, která se sice vyskytuje v rostlině konopí, ale ve velmi malém množství.  S nástupem extrakčních metod pro koncentrování účinn</w:t>
      </w:r>
      <w:r>
        <w:rPr>
          <w:rFonts w:ascii="Times New Roman" w:hAnsi="Times New Roman"/>
          <w:color w:val="auto"/>
          <w:sz w:val="24"/>
        </w:rPr>
        <w:t>ý</w:t>
      </w:r>
      <w:r w:rsidRPr="009E7127">
        <w:rPr>
          <w:rFonts w:ascii="Times New Roman" w:hAnsi="Times New Roman"/>
          <w:color w:val="auto"/>
          <w:sz w:val="24"/>
        </w:rPr>
        <w:t xml:space="preserve">ch látek byla tato látka nově zachycena na trhu. Svým účinkem je podobná THC, ale má mnohem vyšší účinnost a při rozšíření by mohla být nebezpečnější než THC. V souvislosti s touto látkou nebyly v ČR zaznamenány případy fatálních intoxikací. </w:t>
      </w:r>
    </w:p>
    <w:p w14:paraId="40E7514F" w14:textId="77777777" w:rsidR="0028509A" w:rsidRDefault="0028509A" w:rsidP="0028509A">
      <w:pPr>
        <w:spacing w:line="240" w:lineRule="auto"/>
        <w:jc w:val="left"/>
        <w:rPr>
          <w:rFonts w:ascii="Times New Roman" w:hAnsi="Times New Roman"/>
          <w:b/>
          <w:color w:val="auto"/>
          <w:sz w:val="24"/>
        </w:rPr>
      </w:pPr>
    </w:p>
    <w:p w14:paraId="05270890" w14:textId="77777777" w:rsidR="0028509A" w:rsidRPr="009E7127" w:rsidRDefault="0028509A" w:rsidP="0028509A">
      <w:pPr>
        <w:spacing w:line="240" w:lineRule="auto"/>
        <w:jc w:val="left"/>
        <w:rPr>
          <w:rFonts w:ascii="Times New Roman" w:hAnsi="Times New Roman"/>
          <w:b/>
          <w:color w:val="auto"/>
          <w:sz w:val="24"/>
        </w:rPr>
      </w:pPr>
      <w:r w:rsidRPr="009E7127">
        <w:rPr>
          <w:rFonts w:ascii="Times New Roman" w:hAnsi="Times New Roman"/>
          <w:b/>
          <w:color w:val="auto"/>
          <w:sz w:val="24"/>
        </w:rPr>
        <w:t>K Čl. II</w:t>
      </w:r>
    </w:p>
    <w:p w14:paraId="45802D04" w14:textId="77777777" w:rsidR="0028509A" w:rsidRPr="009E7127" w:rsidRDefault="0028509A" w:rsidP="0028509A">
      <w:pPr>
        <w:spacing w:line="240" w:lineRule="auto"/>
        <w:ind w:firstLine="708"/>
        <w:rPr>
          <w:rFonts w:ascii="Times New Roman" w:hAnsi="Times New Roman"/>
          <w:color w:val="auto"/>
          <w:sz w:val="24"/>
        </w:rPr>
      </w:pPr>
      <w:r w:rsidRPr="009E7127">
        <w:rPr>
          <w:rFonts w:ascii="Times New Roman" w:hAnsi="Times New Roman"/>
          <w:color w:val="auto"/>
          <w:sz w:val="24"/>
        </w:rPr>
        <w:t xml:space="preserve">Vzhledem k tomu, že se jedná o technický předpis, je třeba jej v souladu se </w:t>
      </w:r>
      <w:r w:rsidRPr="009E7127">
        <w:rPr>
          <w:rFonts w:ascii="Times New Roman" w:hAnsi="Times New Roman"/>
          <w:color w:val="auto"/>
          <w:sz w:val="24"/>
          <w:szCs w:val="20"/>
        </w:rPr>
        <w:t>směrnicí Evropského parlamentu a Rady (EU) 2015/1535 ze dne 9. září 2015 o postupu při poskytování informací v oblasti technických předpisů a předpisů pro služby informační společnosti</w:t>
      </w:r>
      <w:r w:rsidRPr="009E7127">
        <w:rPr>
          <w:rFonts w:ascii="Times New Roman" w:hAnsi="Times New Roman"/>
          <w:color w:val="auto"/>
          <w:sz w:val="24"/>
        </w:rPr>
        <w:t xml:space="preserve"> zaslat </w:t>
      </w:r>
      <w:r>
        <w:rPr>
          <w:rFonts w:ascii="Times New Roman" w:hAnsi="Times New Roman"/>
          <w:color w:val="auto"/>
          <w:sz w:val="24"/>
        </w:rPr>
        <w:br/>
      </w:r>
      <w:r w:rsidRPr="009E7127">
        <w:rPr>
          <w:rFonts w:ascii="Times New Roman" w:hAnsi="Times New Roman"/>
          <w:color w:val="auto"/>
          <w:sz w:val="24"/>
        </w:rPr>
        <w:t>k notifikaci.</w:t>
      </w:r>
    </w:p>
    <w:p w14:paraId="344AE686" w14:textId="77777777" w:rsidR="0028509A" w:rsidRPr="009E7127" w:rsidRDefault="0028509A" w:rsidP="0028509A">
      <w:pPr>
        <w:spacing w:line="240" w:lineRule="auto"/>
        <w:jc w:val="left"/>
        <w:rPr>
          <w:rFonts w:ascii="Times New Roman" w:hAnsi="Times New Roman"/>
          <w:color w:val="auto"/>
          <w:sz w:val="24"/>
        </w:rPr>
      </w:pPr>
    </w:p>
    <w:p w14:paraId="21AE462B" w14:textId="3D5BB940" w:rsidR="00F91B5F" w:rsidRDefault="00F91B5F" w:rsidP="00A42A84">
      <w:pPr>
        <w:spacing w:line="240" w:lineRule="auto"/>
        <w:ind w:firstLine="708"/>
        <w:rPr>
          <w:rFonts w:ascii="Times New Roman" w:hAnsi="Times New Roman"/>
          <w:color w:val="FF0000"/>
          <w:sz w:val="24"/>
        </w:rPr>
      </w:pPr>
    </w:p>
    <w:sectPr w:rsidR="00F91B5F" w:rsidSect="0080126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C16B" w14:textId="77777777" w:rsidR="0080126D" w:rsidRDefault="0080126D" w:rsidP="0080126D">
      <w:pPr>
        <w:spacing w:line="240" w:lineRule="auto"/>
      </w:pPr>
      <w:r>
        <w:separator/>
      </w:r>
    </w:p>
  </w:endnote>
  <w:endnote w:type="continuationSeparator" w:id="0">
    <w:p w14:paraId="3F6A51DC" w14:textId="77777777" w:rsidR="0080126D" w:rsidRDefault="0080126D" w:rsidP="0080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5C76" w14:textId="77777777" w:rsidR="0080126D" w:rsidRDefault="0080126D" w:rsidP="0080126D">
      <w:pPr>
        <w:spacing w:line="240" w:lineRule="auto"/>
      </w:pPr>
      <w:r>
        <w:separator/>
      </w:r>
    </w:p>
  </w:footnote>
  <w:footnote w:type="continuationSeparator" w:id="0">
    <w:p w14:paraId="4CDB1F15" w14:textId="77777777" w:rsidR="0080126D" w:rsidRDefault="0080126D" w:rsidP="008012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26623"/>
    <w:multiLevelType w:val="hybridMultilevel"/>
    <w:tmpl w:val="DF7C3B1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8257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9A"/>
    <w:rsid w:val="000206E9"/>
    <w:rsid w:val="00076C4A"/>
    <w:rsid w:val="000F155C"/>
    <w:rsid w:val="0013346B"/>
    <w:rsid w:val="00163F0B"/>
    <w:rsid w:val="001A2F0A"/>
    <w:rsid w:val="001A7FB6"/>
    <w:rsid w:val="001B43F2"/>
    <w:rsid w:val="0021292E"/>
    <w:rsid w:val="0022460C"/>
    <w:rsid w:val="0028509A"/>
    <w:rsid w:val="0028799D"/>
    <w:rsid w:val="002F6C23"/>
    <w:rsid w:val="003549B4"/>
    <w:rsid w:val="0039129E"/>
    <w:rsid w:val="003E6B13"/>
    <w:rsid w:val="00431C22"/>
    <w:rsid w:val="004513FF"/>
    <w:rsid w:val="0045428A"/>
    <w:rsid w:val="005729D4"/>
    <w:rsid w:val="005D64F3"/>
    <w:rsid w:val="006256F4"/>
    <w:rsid w:val="00633E1E"/>
    <w:rsid w:val="006655AB"/>
    <w:rsid w:val="00685CAD"/>
    <w:rsid w:val="00697BA3"/>
    <w:rsid w:val="006A77F8"/>
    <w:rsid w:val="006E636D"/>
    <w:rsid w:val="00780715"/>
    <w:rsid w:val="0080126D"/>
    <w:rsid w:val="0081607C"/>
    <w:rsid w:val="008E6CA1"/>
    <w:rsid w:val="008E7069"/>
    <w:rsid w:val="00901CE5"/>
    <w:rsid w:val="00996EB1"/>
    <w:rsid w:val="009C7C60"/>
    <w:rsid w:val="00A42A84"/>
    <w:rsid w:val="00A43FA2"/>
    <w:rsid w:val="00A6669D"/>
    <w:rsid w:val="00BB2192"/>
    <w:rsid w:val="00C03803"/>
    <w:rsid w:val="00C04FB8"/>
    <w:rsid w:val="00C700A7"/>
    <w:rsid w:val="00CB571E"/>
    <w:rsid w:val="00E57111"/>
    <w:rsid w:val="00EB05AA"/>
    <w:rsid w:val="00F45276"/>
    <w:rsid w:val="00F91B5F"/>
    <w:rsid w:val="00FD77A5"/>
    <w:rsid w:val="00FE399A"/>
    <w:rsid w:val="00FF6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0E0A"/>
  <w15:chartTrackingRefBased/>
  <w15:docId w15:val="{F46F86AA-A7FD-42A7-B182-F0A1DE7B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28509A"/>
    <w:pPr>
      <w:spacing w:after="0" w:line="300" w:lineRule="exact"/>
      <w:jc w:val="both"/>
    </w:pPr>
    <w:rPr>
      <w:rFonts w:ascii="Arial" w:eastAsia="Times New Roman" w:hAnsi="Arial" w:cs="Times New Roman"/>
      <w:color w:val="00000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126D"/>
    <w:pPr>
      <w:tabs>
        <w:tab w:val="center" w:pos="4536"/>
        <w:tab w:val="right" w:pos="9072"/>
      </w:tabs>
      <w:spacing w:line="240" w:lineRule="auto"/>
    </w:pPr>
  </w:style>
  <w:style w:type="character" w:customStyle="1" w:styleId="ZhlavChar">
    <w:name w:val="Záhlaví Char"/>
    <w:basedOn w:val="Standardnpsmoodstavce"/>
    <w:link w:val="Zhlav"/>
    <w:uiPriority w:val="99"/>
    <w:rsid w:val="0080126D"/>
    <w:rPr>
      <w:rFonts w:ascii="Arial" w:eastAsia="Times New Roman" w:hAnsi="Arial" w:cs="Times New Roman"/>
      <w:color w:val="000000"/>
      <w:szCs w:val="24"/>
      <w:lang w:eastAsia="cs-CZ"/>
    </w:rPr>
  </w:style>
  <w:style w:type="paragraph" w:styleId="Zpat">
    <w:name w:val="footer"/>
    <w:basedOn w:val="Normln"/>
    <w:link w:val="ZpatChar"/>
    <w:uiPriority w:val="99"/>
    <w:unhideWhenUsed/>
    <w:rsid w:val="0080126D"/>
    <w:pPr>
      <w:tabs>
        <w:tab w:val="center" w:pos="4536"/>
        <w:tab w:val="right" w:pos="9072"/>
      </w:tabs>
      <w:spacing w:line="240" w:lineRule="auto"/>
    </w:pPr>
  </w:style>
  <w:style w:type="character" w:customStyle="1" w:styleId="ZpatChar">
    <w:name w:val="Zápatí Char"/>
    <w:basedOn w:val="Standardnpsmoodstavce"/>
    <w:link w:val="Zpat"/>
    <w:uiPriority w:val="99"/>
    <w:rsid w:val="0080126D"/>
    <w:rPr>
      <w:rFonts w:ascii="Arial" w:eastAsia="Times New Roman" w:hAnsi="Arial" w:cs="Times New Roman"/>
      <w:color w:val="000000"/>
      <w:szCs w:val="24"/>
      <w:lang w:eastAsia="cs-CZ"/>
    </w:rPr>
  </w:style>
  <w:style w:type="paragraph" w:styleId="Revize">
    <w:name w:val="Revision"/>
    <w:hidden/>
    <w:uiPriority w:val="99"/>
    <w:semiHidden/>
    <w:rsid w:val="001A2F0A"/>
    <w:pPr>
      <w:spacing w:after="0" w:line="240" w:lineRule="auto"/>
    </w:pPr>
    <w:rPr>
      <w:rFonts w:ascii="Arial" w:eastAsia="Times New Roman" w:hAnsi="Arial" w:cs="Times New Roman"/>
      <w:color w:val="000000"/>
      <w:szCs w:val="24"/>
      <w:lang w:eastAsia="cs-CZ"/>
    </w:rPr>
  </w:style>
  <w:style w:type="paragraph" w:styleId="Odstavecseseznamem">
    <w:name w:val="List Paragraph"/>
    <w:basedOn w:val="Normln"/>
    <w:uiPriority w:val="34"/>
    <w:qFormat/>
    <w:rsid w:val="003E6B13"/>
    <w:pPr>
      <w:ind w:left="720"/>
      <w:contextualSpacing/>
    </w:pPr>
  </w:style>
  <w:style w:type="character" w:styleId="Odkaznakoment">
    <w:name w:val="annotation reference"/>
    <w:basedOn w:val="Standardnpsmoodstavce"/>
    <w:uiPriority w:val="99"/>
    <w:semiHidden/>
    <w:unhideWhenUsed/>
    <w:rsid w:val="000F155C"/>
    <w:rPr>
      <w:sz w:val="16"/>
      <w:szCs w:val="16"/>
    </w:rPr>
  </w:style>
  <w:style w:type="paragraph" w:styleId="Textkomente">
    <w:name w:val="annotation text"/>
    <w:basedOn w:val="Normln"/>
    <w:link w:val="TextkomenteChar"/>
    <w:uiPriority w:val="99"/>
    <w:semiHidden/>
    <w:unhideWhenUsed/>
    <w:rsid w:val="000F155C"/>
    <w:pPr>
      <w:spacing w:line="240" w:lineRule="auto"/>
    </w:pPr>
    <w:rPr>
      <w:sz w:val="20"/>
      <w:szCs w:val="20"/>
    </w:rPr>
  </w:style>
  <w:style w:type="character" w:customStyle="1" w:styleId="TextkomenteChar">
    <w:name w:val="Text komentáře Char"/>
    <w:basedOn w:val="Standardnpsmoodstavce"/>
    <w:link w:val="Textkomente"/>
    <w:uiPriority w:val="99"/>
    <w:semiHidden/>
    <w:rsid w:val="000F155C"/>
    <w:rPr>
      <w:rFonts w:ascii="Arial" w:eastAsia="Times New Roman" w:hAnsi="Arial"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0F155C"/>
    <w:rPr>
      <w:b/>
      <w:bCs/>
    </w:rPr>
  </w:style>
  <w:style w:type="character" w:customStyle="1" w:styleId="PedmtkomenteChar">
    <w:name w:val="Předmět komentáře Char"/>
    <w:basedOn w:val="TextkomenteChar"/>
    <w:link w:val="Pedmtkomente"/>
    <w:uiPriority w:val="99"/>
    <w:semiHidden/>
    <w:rsid w:val="000F155C"/>
    <w:rPr>
      <w:rFonts w:ascii="Arial" w:eastAsia="Times New Roman" w:hAnsi="Arial" w:cs="Times New Roman"/>
      <w:b/>
      <w:bC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8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AUTO/?uri=CELEX:32015D1875&amp;qid=1473860847870&amp;rid=6" TargetMode="External"/><Relationship Id="rId3" Type="http://schemas.openxmlformats.org/officeDocument/2006/relationships/settings" Target="settings.xml"/><Relationship Id="rId7" Type="http://schemas.openxmlformats.org/officeDocument/2006/relationships/hyperlink" Target="http://eur-lex.europa.eu/legal-content/AUTO/?uri=CELEX:32015D1874&amp;qid=1473860847870&amp;rid=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lex.europa.eu/legal-content/AUTO/?uri=CELEX:32015D1876&amp;qid=1473860847870&amp;rid=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3095</Words>
  <Characters>18264</Characters>
  <Application>Microsoft Office Word</Application>
  <DocSecurity>4</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Seidelmannová Magda, Mgr.</dc:creator>
  <cp:keywords/>
  <dc:description/>
  <cp:lastModifiedBy>Vyznalová Hana, Mgr.</cp:lastModifiedBy>
  <cp:revision>2</cp:revision>
  <cp:lastPrinted>2023-05-02T06:30:00Z</cp:lastPrinted>
  <dcterms:created xsi:type="dcterms:W3CDTF">2023-05-09T12:46:00Z</dcterms:created>
  <dcterms:modified xsi:type="dcterms:W3CDTF">2023-05-09T12:46:00Z</dcterms:modified>
</cp:coreProperties>
</file>