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KAPITEL 4:</w:t>
      </w:r>
      <w:r>
        <w:rPr>
          <w:sz w:val="22"/>
        </w:rPr>
        <w:t xml:space="preserve"> </w:t>
      </w:r>
      <w:r>
        <w:rPr>
          <w:sz w:val="22"/>
        </w:rPr>
        <w:t xml:space="preserve">Tillgänglighet till transportmedel</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När en taxitjänst erbjuds via telefonbokning måste denna tjänst utöka beställningssätten med användning av ny teknik, applikationer, internet, textmeddelanden, fax eller dylikt så att alla användare, även personer med hörselnedsättning, kan beställa tjänsten på egen hand.</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Om beställningstaxitjänsten har en webbplats måste den vara tillgänglig, åtminstone på AA-nivå enligt WCAG 2.1-riktlinjerna.</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Hyrning av en taxi som är tillgänglig för personer med nedsatt rörlighet via telefon, internet eller mobilapplikation får inte omfattas av något förhandstillägg för beställningstaxi.</w:t>
      </w:r>
      <w:r>
        <w:rPr>
          <w:sz w:val="22"/>
        </w:rPr>
        <w:t xml:space="preserve"> </w:t>
      </w:r>
      <w:r>
        <w:rPr>
          <w:sz w:val="22"/>
        </w:rPr>
        <w:t xml:space="preserve">Intyget om funktionsnedsättning fungerar som bevis om det efterfrågas.</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KAPITEL 5:</w:t>
      </w:r>
      <w:r>
        <w:rPr>
          <w:sz w:val="22"/>
        </w:rPr>
        <w:t xml:space="preserve"> </w:t>
      </w:r>
      <w:r>
        <w:rPr>
          <w:sz w:val="22"/>
        </w:rPr>
        <w:t xml:space="preserve">Tillgänglighet av produkter</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Artikel 116.</w:t>
      </w:r>
      <w:r>
        <w:rPr>
          <w:sz w:val="22"/>
        </w:rPr>
        <w:tab/>
      </w:r>
      <w:r>
        <w:rPr>
          <w:sz w:val="22"/>
        </w:rPr>
        <w:t xml:space="preserve">Konsumentprodukter</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En produkt anses vara tillgänglig om den uppfyller följande villkor:</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Den har en etikett om tillgänglighet som är anpassad till dess egenskaper, vilken gör det möjligt att identifiera den, inklusive produktens namn och den mest relevanta informationen.</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Dess utformning följer universella formgivningskriterier, med lämpliga användnings- och säkerhetsvillkor för alla användare.</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Ytterligare information, instruktioner eller broschyrer kan erhållas genom internet, produktapplikationer och användning av ny teknik, med tillgängligt innehåll som uppfyller villkoren i punkterna 25 och 26 i bilaga 5a.</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Företag som saluför en produkt ansvarar för att de tillgänglighetsvillkor som gäller för produkten uppfylls.</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Läkemedel och farliga produkter måste innehålla dataelement och system så att blinda eller dövblinda personer har tillgång till följande information:</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Identifiering av produktens namn på förpackningen med användning av brailleskrift och ikonografi.</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Utgångsdatumet på förpackningen med användning av brailleskrift och ikonografi eller andra, alternativa resurser som har samma funktioner.</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Produktens huvudsakliga egenskaper, såsom dess sammansättning och konservering, bland annat genom ljudsökning via internet eller på något annat sätt med användning av ny teknik med samma effektivitet, på begäran av föreningar för personer med synnedsättning.</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Snabbköpskedjor och livsmedelsanläggningar eller blandade anläggningar, på alla platser där de innehar en lokal på mer än 250 m² användbar yta för allmänt bruk, ska på begäran av en blind person eller dennes anhöriga garantera följande villkor:</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Minst en av anläggningarna på orten ska sköta märkningen av namn och utgångsdatum i brailleskrift på färskvaror eller produkter som kan skapa förvirring, med användning av skrivare eller system för sådan märkning i brailleskrift, vid själva anläggningen.</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Att produkter som säljs på nätet med hemleverans ska också vara märkta med brailleskrift såsom anges i punkten ovan.</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Den kommersiella spridning som sker på nätet eller med andra medel ger information i ett tillgängligt format om vilka lokaler som erbjuder märkning av produkter i brailleskrift.</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I kommuner med mer än 50 000 invånare anses varje bostadsområde utgöra ett annat territoriellt område och likställs med en ort vid tillämpningen av föregående punkt.</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Regionförvaltningen måste gradvis utarbeta tekniska instruktioner som innefattar nya tekniska framsteg samt fastställa specifikationer, tidsfrister, egenskaper och kriterier för tillgänglig märkning, och de universella formgivningsriktlinjer som gäller för produkter inom de olika kommersiella sektorerna.</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Konsumenter med synnedsättning och dövblindhet har rätt att få tillgång till samma produktinformation på märkningen som alla andra konsumenter och användare, på ett självständigt, normalt och enkelt sätt samt omedelbart och på lika villkor.</w:t>
      </w:r>
      <w:r>
        <w:rPr>
          <w:sz w:val="22"/>
        </w:rPr>
        <w:t xml:space="preserve"> </w:t>
      </w:r>
      <w:r>
        <w:rPr>
          <w:sz w:val="22"/>
        </w:rPr>
        <w:t xml:space="preserve">För detta ändamål ska tillgänglighetsmärkningen uppfylla följande villkor:</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Den måste tillhandahålla så mycket information som möjligt och erbjuda konsumenter med funktionsnedsättning likvärdiga förutsättningar som andra konsumenter.</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Den ska göra det möjligt att erhålla information på ett självständigt, snabbt, smidigt, direkt och standardiserat sätt, utan att konsumenten behöver besitta någon djupare teknisk kunskap eller använda tekniska hjälpmedel.</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Den får inte innebära en extra kostnad för konsumenter med funktionsnedsättning.</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Den får inte generera orimliga kostnader för företagen.</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De förpliktade företag som erbjuder elektroniska försäljningstjänster måste på respektive webbplats göra det möjligt för produkter som köps på detta sätt att levereras med tillgänglig märkning.</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Systemet för konsumenttvister och dess förfaranden och processer måste vara tillgängliga för personer med funktionsnedsättning.</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Offentliga och privata kundtjänstkontor måste vidta åtgärder för att underlätta tillgången till kommunikation, för döva som kommunicerar på teckenspråk och muntligen, med tillräckligt stöd.</w:t>
      </w:r>
      <w:r>
        <w:rPr>
          <w:sz w:val="22"/>
        </w:rPr>
        <w:t xml:space="preserve"> </w:t>
      </w:r>
      <w:r>
        <w:rPr>
          <w:sz w:val="22"/>
        </w:rPr>
        <w:t xml:space="preserve">De måste dessutom ha installerat en teleslinga vid 20 % av kundtjänstdiskarna, och deras personal måste vara beredd att tillhandahålla information till personer med funktionsnedsättning, inom en period på högst tre år från ikraftträdandet av denna lag.</w:t>
      </w:r>
    </w:p>
    <w:p w14:paraId="178D066A" w14:textId="77777777" w:rsidR="00CC0ADF" w:rsidRDefault="00CC0ADF">
      <w:pPr>
        <w:rPr>
          <w:lang w:val="es-ES"/>
        </w:rPr>
      </w:pPr>
    </w:p>
    <w:p w14:paraId="3EF53236" w14:textId="476D7F11" w:rsidR="00E526B5" w:rsidRDefault="00B670F2">
      <w:r>
        <w:rPr>
          <w:sz w:val="22"/>
        </w:rPr>
        <w:t xml:space="preserve">KAPITEL 6:</w:t>
      </w:r>
      <w:r>
        <w:rPr>
          <w:sz w:val="22"/>
        </w:rPr>
        <w:t xml:space="preserve"> </w:t>
      </w:r>
      <w:r>
        <w:rPr>
          <w:sz w:val="22"/>
        </w:rPr>
        <w:t xml:space="preserve">Tillgänglighet till tjänster</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Offentliga tjänster med webbplatser som är öppna för allmänheten måste tillhandahålla information om tillgängligheten till dessa tjänster och om deras lokaler, anläggningar och förfaranden.</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De webbplatser, mobilapplikationer och andra informations- och kommunikationstekniska produkter och tjänster som erbjuds av offentliga tjänster måste uppfylla de villkor som anges i bilaga 5a till denna lag samt standarden UNE-EN 301549:2022 eller den standard som ersätter denna i enlighet med Europaparlamentets och rådets direktiv (EU) 2016/2102 och införlivandet genom kungligt dekret 112/2018 av den 7 september 2018 om tillgänglighet avseende webbplatser och mobilapplikationer inom den offentliga sektorn, utan att det påverkar tillämpningen av den förordning som antagits av det behöriga organet i denna fråga i Katalonien.</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Webbplatser och mobilapplikationer för snabbköpskedjor och livsmedelsanläggningar eller blandade anläggningar med en användbar yta för allmänt bruk på över 500 m² som erbjuder möjligheten att köpa produkter på nätet med hemleverans ska vara tillgängliga, i enlighet med villkoren i punkterna 25 och 26 i bilaga 5a, och åtminstone uppnå AA-nivån för tillgänglighet i enlighet med WCAG 2.1-riktlinjerna, i följande situationer:</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När det gäller nyskapade webbplatser eller applikationer.</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När de befintliga webbplatserna eller applikationerna ändras.</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Om de tidsfrister som anges i punkt 4 i bilaga 6b för att anpassa de befintliga webbplatserna och applikationerna följs.</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Webbplatser och mobilapplikationer som möjliggör bank- eller kontraktsverksamhet eller någon annan typ av förvaltning eller konsultation avseende produkter som kontrakteras vid ett fysiskt kontor ska vara tillgängliga i enlighet med villkoren i punkterna 25 och 26 i bilaga 5a och åtminstone uppnå AA-nivån för tillgänglighet i enlighet med WCAG 2.1-riktlinjerna, i följande situationer:</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När det gäller nyskapade webbplatser eller applikationer.</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När de befintliga webbplatserna eller applikationerna ändras.</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Om de tidsfrister som anges i punkt 5 i bilaga 6b för att anpassa de befintliga webbplatserna och applikationerna följs.</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Webbplatser och mobilapplikationer för hotellkedjor och inrättningar med en kapacitet på mer än 100 platser som möjliggör avtal om logi och onlinetjänster ska vara tillgängliga i enlighet med villkoren i punkterna 25 och 26 i bilaga 5a och åtminstone uppnå AA-nivån för tillgänglighet i enlighet med WCAG 2.1-riktlinjerna, i följande situationer:</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När det gäller nyskapade webbplatser eller applikationer.</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När de befintliga webbplatserna eller applikationerna ändras.</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Om de tidsfrister som anges i punkt 7 i bilaga 6b för att anpassa befintliga webbplatser och applikationer följs.</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Webbplatser och mobilapplikationer för anläggningar eller sammanslutningar av anläggningar ska vara tillgängliga i enlighet med villkoren i punkterna 25 och 26 i bilaga 5a,</w:t>
      </w:r>
      <w:r>
        <w:rPr>
          <w:sz w:val="22"/>
        </w:rPr>
        <w:t xml:space="preserve"> </w:t>
      </w:r>
      <w:r>
        <w:rPr>
          <w:sz w:val="22"/>
        </w:rPr>
        <w:t xml:space="preserve">åtminstone uppnå AA-nivån för tillgänglighet i enlighet med WCAG 2.1-riktlinjerna och tillhandahålla den information som anges i föregående punkter i följande situationer:</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När det gäller nyskapade webbplatser eller applikationer.</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När de befintliga webbplatserna eller applikationerna ändras.</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Om de tidsfrister som anges i punkt 3 i bilaga 6b för att anpassa befintliga webbplatser och applikationer följs.</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Webbplatser och mobilapplikationer för idrottsanläggningar och idrottsföreningar som erbjuder biljettförsäljning för evenemang vid deras anläggningar ska vara tillgängliga samt tillhandahålla nödvändig information på samma villkor som anges i artikel 133 för tjänster som rör scenkonst.</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Webbplatser och mobilapplikationer för lärosäten som tillhandahåller formell utbildning ska vara tillgängliga i enlighet med villkoren i punkterna 25 och 26 i bilaga 5a och åtminstone uppnå AA-nivån för tillgänglighet i enlighet med WCAG 2.1-riktlinjerna, i följande situationer:</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När det gäller nyskapade webbplatser eller applikationer.</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När de befintliga webbplatserna eller applikationerna ändras.</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Om de tidsfrister som anges i punkt 8 i bilaga 6b för att anpassa de befintliga webbplatserna och applikationerna följs.</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Artikel 138.</w:t>
      </w:r>
      <w:r>
        <w:rPr>
          <w:sz w:val="22"/>
        </w:rPr>
        <w:tab/>
      </w:r>
      <w:r>
        <w:rPr>
          <w:sz w:val="22"/>
        </w:rPr>
        <w:t xml:space="preserve">Samhällsviktiga tjänster, tjänster av allmänt intresse eller offentligt finansierade tjänster</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Webbplatserna för den katalanska offentliga sektorn och offentligrättsliga institutioner, liksom alla webbplatser som lanseras med finansiering från den offentliga förvaltningen och webbplatser för enheter eller företag som tillhandahåller offentliga tjänster genom koncession eller via avtal med den offentliga förvaltningen, ska uppfylla kraven i punkt 25 i bilaga 5a och uppnå AA-nivån för tillgänglighet i enlighet med WCAG 2.1-riktlinjerna, utan att det påverkar tillämpningen av den förordning som antagits av det behöriga organet i denna fråga i Katalonien i enlighet med kungligt dekret 1112/2018 av den 7 september 2018 om tillgänglighet avseende webbplatser och mobilapplikationer inom den offentliga sektorn.</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Webbplatser för privata enheter som tillhandahåller samhällsviktiga tjänster eller tjänster av allmänt intresse, inbegripet el, vatten eller gas och telekommunikation, samt hälso- och sjukvård, post- och banktjänster, ska också uppfylla kraven i punkt 25 i bilaga 5a och uppnå AA-nivån för tillgänglighet i enlighet med WCAG 2.1-riktlinjerna.</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Mobilapplikationer inom den offentliga sektorn och de enheter som nämns i punkterna 138.1 och 138.2 ovan ska uppfylla tillgänglighetskraven i punkt 26 i bilaga 5a, utan att det påverkar tillämpningen av den förordning som antagits av det behöriga organet i denna fråga i Katalonien.</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De tillgänglighetskrav för webbplatser och mobilapplikationer som fastställs i denna artikel ska tillämpas under förutsättning att de inte lägger en oproportionerlig börda på den enhet som måste tillämpa dem, i enlighet med följande omständigheter:</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Den specifika enhetens storlek, resurser och beskaffenhet.</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Företagets lönsamhet och de uppskattade fördelarna för användarna, med beaktande av hur ofta och hur länge webbplatsen eller applikationen används.</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De diskriminerande effekterna på personer med funktionsnedsättning om webbplatsen eller applikationen inte är tillgänglig i händelse av att det finns webbplatser eller alternativa applikationer med samma funktioner och villkor på marknaden.</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Den offentliga sektorn eller ett offentligt organ som utnyttjar undantaget i punkt 138.4 måste förklara vilka tillgänglighetskrav som inte kunde uppfyllas i tillgänglighetsdeklarationen för webbplatsen eller applikationen och måste erbjuda tillgängliga alternativ inom ramen för vad som är möjligt.</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Webbplatser och mobilapplikationer ska uppfylla de tillgänglighetsvillkor som anges i föregående punkter inom de slutliga tidsfrister som fastställs i punkt 2 i bilaga 6b.</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Tjänsteleverantörer och tillverkare som tillhandahåller it-utrustning och programvara till den katalanska offentliga sektorn och de enheter som avses i punkt 138.1 ska inkludera de ytterligare komponenter och funktioner avseende tillgänglighet som krävs för att ge personer med funktionsnedsättning tillgång till digitalt innehåll.</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Offentliga och privata tv-nät i Katalonien måste utveckla planer avseende tillgängligheten till deras innehåll för att gradvis göra sitt programutbud tillgängligt för personer med sensorisk och intellektuell funktionsnedsättning.</w:t>
      </w:r>
      <w:r>
        <w:rPr>
          <w:sz w:val="22"/>
        </w:rPr>
        <w:t xml:space="preserve"> </w:t>
      </w:r>
      <w:r>
        <w:rPr>
          <w:sz w:val="22"/>
        </w:rPr>
        <w:t xml:space="preserve">Dessa planer ska göra det möjligt att uppnå följande mål inom en period på högst tre år från ikraftträdandet av denna lag:</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Offentliga tv-nät:</w:t>
      </w:r>
      <w:r>
        <w:rPr>
          <w:sz w:val="22"/>
        </w:rPr>
        <w:t xml:space="preserve"> </w:t>
      </w:r>
      <w:r>
        <w:rPr>
          <w:sz w:val="22"/>
        </w:rPr>
        <w:t xml:space="preserve">100 % av programutbudet ska vara textat, innehåll motsvarande minst 15 timmar per vecka ska vara syntolkat och innehåll motsvarande 10 timmar per vecka ska finnas på katalanskt teckenspråk.</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Privata tv-nät:</w:t>
      </w:r>
      <w:r>
        <w:rPr>
          <w:sz w:val="22"/>
        </w:rPr>
        <w:t xml:space="preserve"> </w:t>
      </w:r>
      <w:r>
        <w:rPr>
          <w:sz w:val="22"/>
        </w:rPr>
        <w:t xml:space="preserve">75 % av programutbudet ska vara textat, innehåll motsvarande minst 10 timmar per vecka ska vara syntolkat och innehåll motsvarande 7 timmar per vecka ska finnas på katalanskt teckenspråk.</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Programutbudet på katalanskt teckenspråk måste innefatta nyhetsprogram och barnprogram som finns tillgängliga i erbjudandet om förinspelad sändning när denna tjänst är tillgänglig.</w:t>
      </w:r>
      <w:r>
        <w:rPr>
          <w:sz w:val="22"/>
        </w:rPr>
        <w:t xml:space="preserve"> </w:t>
      </w:r>
      <w:r>
        <w:rPr>
          <w:sz w:val="22"/>
        </w:rPr>
        <w:t xml:space="preserve">Dessa program måste sändas veckans alla dagar.</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Företag som distribuerar filmverk och audiovisuella verk måste inkludera textning, syntolkning och ljudnavigeringssystem, helst för utländska och inhemska filmer som har lockat många biobesökare eller som har tilldelats nationella eller internationella utmärkelser, för att göra dem tillgängliga via DVD-stöd eller liknande system med dessa funktioner.</w:t>
      </w:r>
    </w:p>
    <w:p w14:paraId="0F3986EB" w14:textId="77777777" w:rsidR="003920DF" w:rsidRDefault="003920DF">
      <w:pPr>
        <w:rPr>
          <w:lang w:val="es-ES"/>
        </w:rPr>
      </w:pPr>
    </w:p>
    <w:p w14:paraId="44244122" w14:textId="3BAB5CCF" w:rsidR="00E526B5" w:rsidRDefault="00B670F2">
      <w:r>
        <w:rPr>
          <w:sz w:val="22"/>
        </w:rPr>
        <w:t xml:space="preserve">KAPITEL 11:</w:t>
      </w:r>
      <w:r>
        <w:rPr>
          <w:sz w:val="22"/>
        </w:rPr>
        <w:t xml:space="preserve"> </w:t>
      </w:r>
      <w:r>
        <w:rPr>
          <w:sz w:val="22"/>
        </w:rPr>
        <w:t xml:space="preserve">Tillgänglighet – kvalitetsmärkning</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Det måste vara möjligt att genomföra offentliga samråd med anläggningar, byggnader och offentliga organ som innehar kvalitetsmärkningen, åtminstone via internet, utan att det påverkar andra medel som kan anses lämpliga.</w:t>
      </w:r>
    </w:p>
    <w:p w14:paraId="6CBE5DDA" w14:textId="77777777" w:rsidR="00E526B5" w:rsidRDefault="00E526B5">
      <w:pPr>
        <w:rPr>
          <w:lang w:val="es-ES"/>
        </w:rPr>
      </w:pPr>
    </w:p>
    <w:p w14:paraId="3BFAD248" w14:textId="66A7955A" w:rsidR="00E526B5" w:rsidRDefault="00CF1E0D">
      <w:r>
        <w:rPr>
          <w:sz w:val="22"/>
        </w:rPr>
        <w:t xml:space="preserve">Bilaga 5a:</w:t>
      </w:r>
      <w:r>
        <w:rPr>
          <w:sz w:val="22"/>
        </w:rPr>
        <w:t xml:space="preserve"> </w:t>
      </w:r>
      <w:r>
        <w:rPr>
          <w:sz w:val="22"/>
        </w:rPr>
        <w:t xml:space="preserve">Standarder för produkters tillgänglighet</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Tillgängliga webbplatser</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De riktlinjer som ska följas vid utformningen och skapandet av en webbplats samt villkoren för att den ska vara tillgänglig är följande:</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Innehållet ska konfigureras så att det kan anpassas till olika program, enheter och stödprodukter utan att information eller struktur går förlorad.</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Alternativ text eller beskrivande identifiering av annat innehåll än text (bilder, grafik, multimediainnehåll) ska tillhandahållas.</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Undertexter och syntolkning för multimediainnehåll ska inkluderas när det krävs för en korrekt förståelse av budskapet.</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Mekanismer som gör det möjligt att stänga av och reglera ljudvolymen ska tillhandahållas.</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Användning av färg får inte vara det enda sättet att förmedla information, ange en åtgärd eller särskilja ett element.</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Text och bilder måste ha tillräcklig kontrast mot bakgrunden och en storlek som gör att de kan läsas utan problem.</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Storleken på texten ska kunna justeras från själva webbplatsen utan hjälp av stödprodukter och utan att innehåll eller funktioner går förlorade.</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Det ska gå att komma åt alla funktioner på webbplatsen via tangentbord, med en lösning som är kompatibel med skärmläsare och förstoringsglas.</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Användarna ska kunna kontrollera den information eller de objekt som flyttas eller uppdateras automatiskt så att de kan stoppa dem, dölja dem eller kontrollera frekvensen.</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Navigeringen ska underlättas genom att innehållet struktureras i en sammanhängande ordning, med tydliga navigeringsmekanismer.</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Det ska finnas vägledande information som hjälper användarna att förstå komplexa element samt mekanismer för att upptäcka och förhindra fel i användarnas datainmatning.</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Det språk som används i varje stycke eller dokument på webbplatsen ska identifieras så att skärmläsare och talsyntesprogram automatiskt kan upptäcka och ändra språket.</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Språket ska vara tydligt och begripligt så att innehållet blir lättförståeligt, med definition av ovanliga ord och förklaring av akronymer och andra förkortningar.</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Kompatibiliteten med applikationer, programvara och enheter som användare kan tänkas ha, inklusive stödprodukter, ska maximeras.</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Dokument som publiceras på nätet ska också vara tillgängliga och kunna läsas av skärmläsare.</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Det ska tillhandahållas andra tillgängliga kommunikationskanaler än telefon, såsom e-post, sms eller formulär, med en handläggningstid som inte är diskriminerande i förhållande till ett telefonsamtal.</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Kriterierna enligt WCAG 2.1-riktlinjerna ska uppfyllas på en av dess nivåer, med de villkor som fastställs i standarden UNE 139803:2012 eller den standard som ersätter denna, med undantag för de situationer där en högre nivå krävs enligt denna lag.</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Tillgängliga appar</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Mobilapplikationer ska uppfylla de villkor som anges i standarden UNE 139803:2012, eller den standard som ersätter denna, samt följande allmänna kriterier:</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Alla meddelanden, hjälpsystem och texter ska vara skrivna på ett tydligt och enkelt språk.</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Texten måste vara begriplig, med en storlek och ett teckensnitt som underlättar läsning.</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Färgkontrasten mellan de olika beståndsdelarna och bakgrunden ska vara tillräcklig.</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Reglage, objekt, ikoner och bilder ska vara identifierbara, lätta att använda och ha tillhörande alternativ text som anger deras funktion eller betydelse.</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Varningssignaler ska finnas som visuella alternativ eller vibrationer.</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Processen för att få tillgång till tjänsten ska vara snabb och smidig.</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Applikationen ska vara kompatibel med stödprodukter som skärmläsare, förstoringsglas och röstkommandon.</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Applikationen ska vara kompatibel med operativsystemets tillgänglighetsverktyg.</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Bilaga 6b:</w:t>
      </w:r>
      <w:r>
        <w:rPr>
          <w:sz w:val="22"/>
        </w:rPr>
        <w:t xml:space="preserve"> </w:t>
      </w:r>
      <w:r>
        <w:rPr>
          <w:sz w:val="22"/>
        </w:rPr>
        <w:t xml:space="preserve">Tidsfrister för att anpassa befintliga tjänster till de fastställda villkoren</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Förenlighet med andra nödvändiga villkor</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Villkoren i denna bilaga 6b påverkar inte skyldigheten att uppfylla kraven före de angivna tidsfristerna för de nödvändiga tillgänglighetsvillkoren vid ändring av befintliga element eller resurser.</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Den katalanska offentliga sektorn, offentligrättsliga institutioner och offentliga tjänsteleverantörer</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Följande slutliga tidsfrister fastställs för att webbplatserna och mobilapplikationerna för den katalanska offentliga sektorn, offentligrättsliga institutioner samt enheter eller företag som tillhandahåller offentliga tjänster genom koncession eller via avtal med den offentliga förvaltningen ska vara tillgängliga och uppfylla de villkor som anges i artikel 138:</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Ett år efter ikraftträdandet av denna lag:</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Webbplatserna för den katalanska offentliga sektorn och offentligrättsliga institutioner.</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Två år efter ikraftträdandet av denna lag:</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Mobilapplikationer för den katalanska offentliga sektorn och offentligrättsliga institutioner.</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Tre år efter ikraftträdandet av denna lag:</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Webbplatser och mobilapplikationer för enheter eller företag som tillhandahåller offentliga tjänster genom koncession eller via avtal med den offentliga förvaltningen.</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De angivna tidsfristerna ska inte påverka efterlevnaden av eventuella kortare tidsfrister som krävs utifrån tjänstens egenskaper i enlighet med övriga punkter i denna bilaga eller andra bestämmelser som reglerar den.</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Tjänster som rör scenkonst, biografer och idrottsevenemang</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Följande slutliga tidsfrister fastställs för att se till att anläggningens webbplatser och elektroniska biljettförsäljningskanaler är tillgängliga och uppfyller de villkor som anges i artikel 133:</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Två år efter ikraftträdandet av denna lag:</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Webbplatser och mobilapplikationer för anläggningar som har en kapacitet på minst 2 000 sittplatser på hela området.</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Webbplatser och mobilapplikationer för biljettförsäljningsplattformar på nätet som hanterar mer än en anläggning med en sammanlagd kapacitet på minst 2 000 sittplatser.</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Tre år efter ikraftträdandet av denna lag:</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Webbplatser och mobilapplikationer för biljettförsäljningsplattformar på nätet som hanterar mer än en anläggning med en sammanlagd kapacitet på färre än 2 000 sittplatser.</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Fyra år efter ikraftträdandet av denna lag:</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Webbplatser och mobilapplikationer för anläggningar med en kapacitet på färre än 2 000 sittplatser på hela området.</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Kommersiella tjänster</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Följande slutliga tidsfrister fastställs för att se till att webbplatser och mobilapplikationer som erbjuder näthandel, samt för snabbköpskedjor och företag med livsmedelsanläggningar eller blandade anläggningar, är tillgängliga och uppfyller de villkor som anges i artikel 126:</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Två år efter ikraftträdandet av denna lag:</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Webbplatser och mobilapplikationer för snabbköpskedjor som har 10 eller fler anläggningar och lokaler på över 500 m² användbar yta för allmänt bruk.</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Tre år efter ikraftträdandet av denna lag:</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Webbplatser och mobilapplikationer för snabbköpskedjor som har 5–9 anläggningar och lokaler på över 500 m² användbar yta för allmänt bruk.</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Fyra år efter ikraftträdandet av denna lag:</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Webbplatser och mobilapplikationer för snabbköpskedjor och livsmedelsanläggningar eller blandade anläggningar som har lokaler på över 500 m² användbar yta för allmänt bruk.</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Finans- och försäkringstjänster</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Följande slutliga tidsfrister fastställs för att se till att webbplatser och mobilapplikationer som möjliggör bank- eller kontraktsverksamhet, läkarrådgivning eller någon annan typ av förvaltning eller konsultation avseende produkter som kontrakteras via enheten är tillgängliga och uppfyller de villkor som anges i artikel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Ett år efter ikraftträdandet av denna lag:</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Webbplatser</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Två år efter ikraftträdandet av denna lag:</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Mobilapplikationer.</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Tjänster med anknytning till privata transporter</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Följande slutliga tidsfrister fastställs för företag som erbjuder uthyrning av självkörande bilar, med ett bestånd på mer än 100 fordon, samt företag som erbjuder uthyrning av bilar med chaufför, med ett bestånd på mer än 50 fordon, att uppfylla villkoren i artikel 128:</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Ett år efter ikraftträdandet av denna lag:</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De måste tillhandahålla fordon som kan transportera personer i rullstol motsvarande minst 1 % av det förvaltade beståndet.</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De måste tillhandahålla anpassade fordon för förare med nedsatt rörlighet motsvarande minst 0,5 % av det förvaltade beståndet.</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Det bestånd som anges i föregående punkter kan antingen bestå av egna fordon eller tillhandahållas genom avtal med andra aktörer som garanterar tillräcklig tillgänglighet.</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Tre år efter ikraftträdandet av denna lag:</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Minst 0,5 % av fordonen i det egna beståndet ska kunna transportera personer i rullstol.</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Sex år efter ikraftträdandet av denna lag:</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Minst 2 % av fordonen i det egna beståndet ska kunna transportera personer i rullstol.</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Minst 0,5 % av fordonen i det egna beståndet ska vara anpassade till förare med nedsatt rörlighet.</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Tjänster med anknytning till turistlogi</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Följande slutliga tidsfrister fastställs för att se till att webbplatser och mobilapplikationer för hotellkedjor och inrättningar med en kapacitet på mer än 100 rum, som erbjuder bokning av logi och onlinetjänster, är tillgängliga och uppfyller de villkor som anges i artikel 130:</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Två år efter ikraftträdandet av denna lag:</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Webbplatser och mobilapplikationer för hotellkedjor som har 5 eller fler inrättningar som sammantaget tillhandahåller mer än 500 rum.</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Tre år efter ikraftträdandet av denna lag:</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Webbplatser och mobilapplikationer för hotellkedjor som har upp till 4 inrättningar som sammantaget tillhandahåller mer än 500 rum.</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Webbplatser och mobilapplikationer för inrättningar med minst 500 rum.</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Fyra år efter ikraftträdandet av denna lag:</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Webbplatser och mobilapplikationer för hotellkedjor som sammantaget tillhandahåller mellan 100 och 500 rum.</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Webbplatser och mobilapplikationer för inrättningar som tillhandahåller mellan 50 och 500 rum.</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Utbildningstjänster</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Följande slutliga tidsfrister fastställs för att se till att webbplatser och mobilapplikationer för lärosäten som tillhandahåller formell utbildning är tillgängliga och uppfyller de villkor som anges i artikel 135:</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Två år efter ikraftträdandet av denna lag:</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Webbplatser och mobilapplikationer för sökning avseende studieresultat, fakturahantering eller andra onlineprocesser.</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Tre år efter ikraftträdandet av denna lag:</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Webbplatser och mobilapplikationer för information om skolan, lokalerna och kursutbudet.</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Hälso- och sjukvård</w:t>
      </w:r>
    </w:p>
    <w:p w14:paraId="62E28D59" w14:textId="77777777" w:rsidR="00E526B5" w:rsidRPr="000F0A63" w:rsidRDefault="00E526B5" w:rsidP="00E526B5">
      <w:pPr>
        <w:tabs>
          <w:tab w:val="left" w:pos="284"/>
        </w:tabs>
        <w:jc w:val="both"/>
        <w:rPr>
          <w:bCs/>
          <w:sz w:val="22"/>
          <w:szCs w:val="22"/>
          <w:rFonts w:cs="Arial"/>
        </w:rPr>
      </w:pPr>
      <w:r>
        <w:rPr>
          <w:sz w:val="22"/>
        </w:rPr>
        <w:t xml:space="preserve">Vårdinrättningar med minst 50 sängplatser ska uppfylla följande tidsfrister och villkor:</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Tre år efter ikraftträdandet av denna lag:</w:t>
      </w:r>
    </w:p>
    <w:p w14:paraId="727C4E74" w14:textId="77777777" w:rsidR="00E526B5" w:rsidRPr="000F0A63" w:rsidRDefault="00E526B5" w:rsidP="00E526B5">
      <w:pPr>
        <w:tabs>
          <w:tab w:val="left" w:pos="284"/>
        </w:tabs>
        <w:jc w:val="both"/>
        <w:rPr>
          <w:sz w:val="22"/>
          <w:szCs w:val="22"/>
          <w:rFonts w:cs="Arial"/>
        </w:rPr>
      </w:pPr>
      <w:r>
        <w:rPr>
          <w:sz w:val="22"/>
        </w:rPr>
        <w:t xml:space="preserve">Ha infrastruktur, mobila enheter och protokoll för att vårda döva på katalanskt teckenspråk via teknik för tolkning på distans, med en kapacitet motsvarande minst 2 % av sängplatserna.</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