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20" w:type="dxa"/>
        <w:jc w:val="center"/>
        <w:tblLayout w:type="fixed"/>
        <w:tblCellMar>
          <w:left w:w="70" w:type="dxa"/>
          <w:right w:w="70" w:type="dxa"/>
        </w:tblCellMar>
        <w:tblLook w:val="0000" w:firstRow="0" w:lastRow="0" w:firstColumn="0" w:lastColumn="0" w:noHBand="0" w:noVBand="0"/>
      </w:tblPr>
      <w:tblGrid>
        <w:gridCol w:w="10820"/>
      </w:tblGrid>
      <w:tr w:rsidR="00C93CCC" w14:paraId="38FF51DE" w14:textId="77777777" w:rsidTr="00546D77">
        <w:trPr>
          <w:trHeight w:hRule="exact" w:val="1884"/>
          <w:jc w:val="center"/>
        </w:trPr>
        <w:tc>
          <w:tcPr>
            <w:tcW w:w="10820" w:type="dxa"/>
            <w:vAlign w:val="center"/>
          </w:tcPr>
          <w:p w14:paraId="4EB9625C" w14:textId="77777777" w:rsidR="00C93CCC" w:rsidRDefault="00C93CCC">
            <w:pPr>
              <w:pStyle w:val="Header"/>
              <w:tabs>
                <w:tab w:val="clear" w:pos="4252"/>
                <w:tab w:val="clear" w:pos="8504"/>
              </w:tabs>
              <w:ind w:left="360" w:right="172"/>
              <w:jc w:val="center"/>
              <w:rPr>
                <w:rFonts w:ascii="Arial" w:hAnsi="Arial"/>
                <w:sz w:val="20"/>
              </w:rPr>
            </w:pPr>
            <w:r>
              <w:rPr>
                <w:rFonts w:ascii="Arial" w:hAnsi="Arial"/>
                <w:sz w:val="20"/>
              </w:rPr>
              <w:t>Navrhuje se Radě ministrů schválit tento návrh právního předpisu:</w:t>
            </w:r>
          </w:p>
        </w:tc>
      </w:tr>
    </w:tbl>
    <w:p w14:paraId="35F48173" w14:textId="77777777" w:rsidR="00C93CCC" w:rsidRDefault="00C93CCC">
      <w:pPr>
        <w:pStyle w:val="Header"/>
        <w:tabs>
          <w:tab w:val="clear" w:pos="4252"/>
          <w:tab w:val="clear" w:pos="8504"/>
        </w:tabs>
        <w:ind w:left="360" w:right="172"/>
        <w:rPr>
          <w:rFonts w:ascii="Arial" w:hAnsi="Arial"/>
          <w:spacing w:val="4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773"/>
      </w:tblGrid>
      <w:tr w:rsidR="00C93CCC" w14:paraId="0FABBEB3" w14:textId="77777777" w:rsidTr="00546D77">
        <w:trPr>
          <w:trHeight w:hRule="exact" w:val="2220"/>
          <w:jc w:val="center"/>
        </w:trPr>
        <w:tc>
          <w:tcPr>
            <w:tcW w:w="10773" w:type="dxa"/>
            <w:tcBorders>
              <w:bottom w:val="single" w:sz="4" w:space="0" w:color="auto"/>
            </w:tcBorders>
          </w:tcPr>
          <w:p w14:paraId="0016DD6A" w14:textId="77777777" w:rsidR="00C93CCC" w:rsidRPr="00546D77" w:rsidRDefault="00C93CCC">
            <w:pPr>
              <w:pStyle w:val="Header"/>
              <w:tabs>
                <w:tab w:val="clear" w:pos="4252"/>
                <w:tab w:val="clear" w:pos="8504"/>
              </w:tabs>
              <w:ind w:left="461" w:right="172"/>
              <w:jc w:val="both"/>
              <w:rPr>
                <w:rFonts w:ascii="Arial" w:hAnsi="Arial"/>
              </w:rPr>
            </w:pPr>
          </w:p>
          <w:p w14:paraId="0838EDAC" w14:textId="77777777" w:rsidR="00C93CCC" w:rsidRPr="008577E8" w:rsidRDefault="00C93CCC">
            <w:pPr>
              <w:tabs>
                <w:tab w:val="left" w:pos="1080"/>
              </w:tabs>
              <w:spacing w:line="360" w:lineRule="atLeast"/>
              <w:ind w:left="461" w:right="170"/>
              <w:jc w:val="both"/>
              <w:rPr>
                <w:rFonts w:ascii="Arial" w:hAnsi="Arial"/>
              </w:rPr>
            </w:pPr>
          </w:p>
          <w:p w14:paraId="2F91487E" w14:textId="724261EC" w:rsidR="00FD453F" w:rsidRPr="00FD453F" w:rsidRDefault="00FD453F" w:rsidP="00FD453F">
            <w:pPr>
              <w:ind w:left="247" w:right="183"/>
              <w:jc w:val="both"/>
              <w:rPr>
                <w:rFonts w:cs="Calibri"/>
                <w:b/>
              </w:rPr>
            </w:pPr>
            <w:r>
              <w:rPr>
                <w:b/>
              </w:rPr>
              <w:t>Návrh královského výnosu, kterým se mění technický stavební řád, schválený královským výnosem č. 314/2006 ze dne 17. března 2006.</w:t>
            </w:r>
          </w:p>
          <w:p w14:paraId="0B02A1E0" w14:textId="77777777" w:rsidR="00C93CCC" w:rsidRDefault="00C93CCC">
            <w:pPr>
              <w:tabs>
                <w:tab w:val="left" w:pos="1080"/>
              </w:tabs>
              <w:spacing w:line="360" w:lineRule="atLeast"/>
              <w:ind w:left="461" w:right="170"/>
              <w:jc w:val="both"/>
              <w:rPr>
                <w:rFonts w:ascii="Arial" w:hAnsi="Arial"/>
              </w:rPr>
            </w:pPr>
          </w:p>
          <w:p w14:paraId="7F08CCF5" w14:textId="77777777" w:rsidR="00C93CCC" w:rsidRDefault="00C93CCC">
            <w:pPr>
              <w:tabs>
                <w:tab w:val="left" w:pos="1080"/>
              </w:tabs>
              <w:spacing w:line="360" w:lineRule="atLeast"/>
              <w:ind w:left="357" w:right="170"/>
              <w:jc w:val="both"/>
              <w:rPr>
                <w:rFonts w:ascii="Arial" w:hAnsi="Arial"/>
                <w:b/>
                <w:sz w:val="28"/>
                <w:lang w:val="es-ES_tradnl"/>
              </w:rPr>
            </w:pPr>
          </w:p>
        </w:tc>
      </w:tr>
    </w:tbl>
    <w:p w14:paraId="4ABF8576" w14:textId="77777777" w:rsidR="00C93CCC" w:rsidRDefault="00C93CCC">
      <w:pPr>
        <w:ind w:left="360" w:right="172"/>
        <w:jc w:val="both"/>
      </w:pPr>
    </w:p>
    <w:p w14:paraId="306FCEB1" w14:textId="77777777" w:rsidR="00C93CCC" w:rsidRDefault="00C93CCC">
      <w:pPr>
        <w:spacing w:line="360" w:lineRule="atLeast"/>
        <w:ind w:left="357" w:right="170"/>
        <w:jc w:val="both"/>
      </w:pPr>
    </w:p>
    <w:p w14:paraId="4C593970" w14:textId="77777777" w:rsidR="008577E8" w:rsidRDefault="008577E8" w:rsidP="008577E8">
      <w:pPr>
        <w:pStyle w:val="FootnoteText"/>
        <w:tabs>
          <w:tab w:val="left" w:pos="-3969"/>
        </w:tabs>
        <w:spacing w:after="120"/>
        <w:ind w:left="567" w:right="55" w:firstLine="533"/>
        <w:jc w:val="both"/>
        <w:rPr>
          <w:rFonts w:ascii="Arial" w:hAnsi="Arial" w:cs="Arial"/>
          <w:sz w:val="24"/>
          <w:szCs w:val="24"/>
          <w:lang w:val="es-ES"/>
        </w:rPr>
      </w:pPr>
    </w:p>
    <w:p w14:paraId="59E0450F" w14:textId="63AAAB00" w:rsidR="000760AB" w:rsidRPr="00CE0018" w:rsidRDefault="000760AB" w:rsidP="000760AB">
      <w:pPr>
        <w:spacing w:after="160" w:line="259" w:lineRule="auto"/>
        <w:jc w:val="both"/>
        <w:rPr>
          <w:rFonts w:ascii="Calibri" w:eastAsia="Calibri" w:hAnsi="Calibri" w:cs="Calibri"/>
          <w:sz w:val="22"/>
          <w:szCs w:val="22"/>
        </w:rPr>
      </w:pPr>
      <w:r>
        <w:rPr>
          <w:rFonts w:ascii="Calibri" w:hAnsi="Calibri"/>
          <w:sz w:val="22"/>
        </w:rPr>
        <w:t>Zákon č. 38/1999 ze dne 5. listopadu 1999 o stavebních předpisech definuje technický stavební řád jako regulační rámec, který stanoví základní požadavky na kvalitu budov a jejich zařízení a který umožňuje splnění základních požadavků stanovených v článku 3. Technický stavební řád stanovený v tomto zákoně byl schválen královským výnosem č. 314/2006 ze dne 17. března 2006. Základní dokumenty, které tvoří část II technického stavebního řádu, a případně kvantifikují základní požadavky stanovené v části I stanovením cílových úrovní náročnosti nebo limitů nebo jiných parametrů. Zejména základní dokument DB-HE „Energetické úspory“ specifikuje a kvantifikuje požadavky na energetickou účinnost, které mají nově postavené budovy splňovat, jakož i zásahy do stávajících budov.</w:t>
      </w:r>
    </w:p>
    <w:p w14:paraId="0BC63921"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Dne 30. května 2018 byla přijata směrnice Evropského parlamentu a Rady (EU) 2018/844, kterou se mění směrnice 2010/31/EU o energetické náročnosti budov a směrnice 2012/27/EU o energetické účinnosti.</w:t>
      </w:r>
    </w:p>
    <w:p w14:paraId="4E8A50F3"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Tato směrnice podporuje zavedení cílených požadavků na zavádění infrastruktury pro nabíjení elektrických vozidel v parkovištích budov. Odvětví stavebnictví i mobility proto jsou strategickými oblastmi pro celkovou dekarbonizaci hospodářství s regulačním rámcem, jehož cílem je podpořit inovace, udržitelnost a energetickou účinnost v těchto odvětvích.</w:t>
      </w:r>
    </w:p>
    <w:p w14:paraId="2B504954"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Rozvoj infrastruktury pro inteligentní nabíjení elektrických vozidel přispěje k energetickému řízení a flexibilitě, využívání obnovitelných zdrojů energie a zlepšení kvality ovzduší a její energetická náročnost se bude optimalizovat prostřednictvím rozsáhlejší digitalizace budov a začleňování nových technologií do této oblasti.</w:t>
      </w:r>
    </w:p>
    <w:p w14:paraId="4219E732"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 xml:space="preserve">Integrovaný vnitrostátní plán v oblasti energetiky a klimatu na období 2021–2030 (PNIEC), který Španělsko předložilo Evropské komisi, předpokládá podporu elektrické mobility jako opatření ke snížení spotřeby energie a emisí vozidel prostřednictvím přizpůsobení právních předpisů a začlenění právních předpisů Evropské unie umožňujících zavedení infrastruktury pro nabíjení elektrických vozidel v souladu s rozvojem elektrifikace vozového parku, jakož i prostřednictvím dalších mechanismů povzbuzení a podpory. </w:t>
      </w:r>
    </w:p>
    <w:p w14:paraId="76C72E2C"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 xml:space="preserve">Za účelem dosažení těchto cílů a částečného provedení směrnice v tomto ohledu zavádí tento královský výnos do technického stavebního řádu nový základní požadavek na úsporu energie týkající se minimálních počtů zařízení </w:t>
      </w:r>
      <w:r>
        <w:rPr>
          <w:rFonts w:ascii="Calibri" w:hAnsi="Calibri"/>
          <w:sz w:val="22"/>
        </w:rPr>
        <w:lastRenderedPageBreak/>
        <w:t xml:space="preserve">infrastruktury pro nabíjení elektrických vozidel, který je rozvíjen v nové sekci HE 6 „Minimální počet zařízení infrastruktury pro nabíjení elektrických vozidel“ základního dokumentu DB-HE „Úspory energie“. </w:t>
      </w:r>
    </w:p>
    <w:p w14:paraId="524332FD"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 xml:space="preserve">Na druhou stranu je třeba poznamenat, že zákon 7/2021 ze dne 20. května 2021 o změně klimatu a transformaci energetiky v čl. 15 odst. 10 odkazuje na technický stavební řád, takže tento předpis stanoví minimální počet zařízení infrastruktury pro nabíjení elektrických vozidel pro stávající budovy určené k jinému použití než k soukromému bydlení, které mají parkovací plochu s více než dvaceti místy, ať už uvnitř nebo ve vyhrazeném venkovním prostoru, přičemž ustanovení o minimálním počtu zařízení by měla nabýt účinnosti do 1. ledna 2023. Tento minimální počet zařízení však byl nakonec stanoven královským zákonným výnosem 29/2021 ze dne 21. prosince 2021, kterým se přijímají naléhavá opatření v oblasti energetiky na podporu elektrické mobility, vlastní spotřeby a zavádění energie z obnovitelných zdrojů, který tento požadavek zahrnuje v článku 4. </w:t>
      </w:r>
    </w:p>
    <w:p w14:paraId="7707E80D" w14:textId="77777777" w:rsidR="000760AB" w:rsidRPr="000760AB" w:rsidRDefault="000760AB" w:rsidP="000760AB">
      <w:pPr>
        <w:spacing w:after="160" w:line="259" w:lineRule="auto"/>
        <w:jc w:val="both"/>
        <w:rPr>
          <w:rFonts w:ascii="Calibri" w:eastAsia="Calibri" w:hAnsi="Calibri" w:cs="Calibri"/>
          <w:bCs/>
          <w:sz w:val="22"/>
          <w:szCs w:val="22"/>
        </w:rPr>
      </w:pPr>
      <w:r>
        <w:rPr>
          <w:rFonts w:ascii="Calibri" w:hAnsi="Calibri"/>
          <w:sz w:val="22"/>
        </w:rPr>
        <w:t>Za účelem dokončení regulace infrastruktury pro nabíjení elektrických vozidel byl také pozměněn královský výnos 1053/2014 ze dne 12. prosince 2014, kterým se schvaluje nový dodatečný technický pokyn (ITC) BT 52 „Zařízení pro zvláštní účely. Infrastruktura pro nabíjení elektrických vozidel“ předpisu pro nízkonapěťové elektrotechnické systémy, schváleného královským výnosem 842/2002 ze dne 2. srpna 2002, a mění se i jeho další dodatečné technické pokyny.</w:t>
      </w:r>
    </w:p>
    <w:p w14:paraId="055E3A41"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 xml:space="preserve">Kromě toho plán PNIEC jako opatření na podporu energie z obnovitelných zdrojů, zlepšení konkurenceschopnosti výrobních odvětví a motivování spotřebitelů k tomu, aby se více zapojili v oblasti nakládání s jejich energií, stanoví rozvoj vlastní spotřeby energie z obnovitelných zdrojů a distribuované výroby v obytných a podnikatelských oblastech. </w:t>
      </w:r>
    </w:p>
    <w:p w14:paraId="0AED8916"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 xml:space="preserve">V tomto ohledu schválení královského výnosu č. 244/2019 ze dne 5. dubna 2019, kterým se upravují administrativní, technické a hospodářské podmínky vlastní spotřeby elektřiny, umožnilo mimo jiné kolektivní vlastní spotřebu a zároveň omezilo správní postupy, pokud jde o provádění vlastní spotřeby. Proto se má za to, že stávající právní rámec umožňuje rozšířit oblast působnosti základního požadavku HE 5 týkajícího se minimální výroby elektřiny z obnovitelných zdrojů elektřiny, a to jak tím, že se stane použitelným v budovách pro soukromé bydlení, tak snížením prahu zastavěné plochy v budovách pro všechny způsoby využití, na něž se požadavek vztahuje. </w:t>
      </w:r>
    </w:p>
    <w:p w14:paraId="55B0D0AE"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Kromě toho se považuje za nezbytné změnit některé oddíly základních dokumentů DB-HE „Úspora energie“</w:t>
      </w:r>
      <w:bookmarkStart w:id="0" w:name="_Hlk92819359"/>
      <w:bookmarkEnd w:id="0"/>
      <w:r>
        <w:rPr>
          <w:rFonts w:ascii="Calibri" w:hAnsi="Calibri"/>
          <w:sz w:val="22"/>
        </w:rPr>
        <w:t xml:space="preserve"> a DB-HS „Nezávadnost“ s cílem usnadnit jejich uplatňování a v konkrétních bodech změnit základní dokument DB-SUA „Bezpečnost použití a přístupnost“ tak, aby zahrnoval kritéria přístupnosti pro dobíjecí stanice u přístupných parkovacích míst.  </w:t>
      </w:r>
    </w:p>
    <w:p w14:paraId="7B428C2F" w14:textId="1C0D714C" w:rsidR="000760AB" w:rsidRPr="000760AB" w:rsidRDefault="000760AB" w:rsidP="000760AB">
      <w:pPr>
        <w:spacing w:after="160" w:line="259" w:lineRule="auto"/>
        <w:jc w:val="both"/>
        <w:rPr>
          <w:rFonts w:ascii="Calibri" w:eastAsia="Calibri" w:hAnsi="Calibri" w:cs="Calibri"/>
          <w:bCs/>
          <w:sz w:val="22"/>
          <w:szCs w:val="22"/>
        </w:rPr>
      </w:pPr>
      <w:r>
        <w:rPr>
          <w:rFonts w:ascii="Calibri" w:hAnsi="Calibri"/>
          <w:sz w:val="22"/>
        </w:rPr>
        <w:t xml:space="preserve">Změna technického stavebního rádu týkající se začlenění nové sekce HE 6 „Minimální počet zařízení infrastruktury pro nabíjení elektrických vozidel“ základního dokumentu DB-HE o energetických úsporách, jakož i změna královského výnosu 1053/2014 ze dne 12. prosince 2014, kterým se schvaluje nový dodatečný technický pokyn (ITC) BT 52, který je součástí prvního závěrečného ustanovení, jsou součástí legislativních reforem předpokládaných v plánu na podporu oživení, transformace a odolnosti (PRTR). Konkrétně složka 1 plánu PRTR „Udržitelný, bezpečný a propojený plán pro nárazové situace v oblasti mobility v městském a metropolitním prostředí“ zahrnuje schválení tohoto královského výnosu, kterým se provádějí výše uvedené legislativní reformy v rámci reformy C1.R1 nazvané „Plán pro zavádění dobíjecí infrastruktury a podporu elektrických vozidel“.  Reforma C1.R1 je navržena jako právní, regulační a strategický rámec pro usnadnění zavádění dobíjecí infrastruktury na podporu elektrických vozidel ve Španělsku a má dva milníky. První z nich je tvořen nařízením TMA/178/2020 ze dne 19. února 2020, kterým se mění nařízení ze dne 16. prosince 1997, které upravuje přístup ke státním silnicím, obslužným silnicím a výstavbu zařízení služeb, a královským výnosem č. 23/2020 ze dne 23. června 2020, kterým se schvalují opatření v oblasti energetiky a dalších oblastech pro reaktivaci hospodářství. Druhý milník reformy C1.R1 zahrnuje schválení tohoto královského výnosu, kterým se mění technický stavební řád a královský výnos 1053/2014 ze dne 12. prosince 2014, kterým se schvaluje nový dodatečný technický pokyn (ITC) BT 52.  Časově závazným milníkem pro tuto reformu je nabytí účinnosti královského výnosu, který ji upravuje, před 30. červnem 2022. Reforma C1.R1 je spojena s investicí C1.I2 „Plán pobídek pro instalaci dobíjecích </w:t>
      </w:r>
      <w:r>
        <w:rPr>
          <w:rFonts w:ascii="Calibri" w:hAnsi="Calibri"/>
          <w:sz w:val="22"/>
        </w:rPr>
        <w:lastRenderedPageBreak/>
        <w:t xml:space="preserve">stanic, pořízení elektrických vozidel a vozidel s palivovými články a inovace v oblasti elektromobility, nabíjení a zeleného vodíku“. Tato investice zahrnuje linie podpory pro instalaci dobíjecích stanic uvedených v královském výnosu 266/2021 ze dne 13. dubna 2021, kterým se schvaluje přímé poskytování podpory autonomním společenstvím a územím Ceuta a Melilla na provádění pobídkových programů souvisejících s elektrickou mobilitou (MOVES III) v rámci plánu PRTR. </w:t>
      </w:r>
    </w:p>
    <w:p w14:paraId="4308D345"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Tento královský výnos respektuje zásadu významně nepoškozovat životní prostředí („Do No Significant Harm“, DNSH) a podmínky pro klimatické a digitální označování v souladu s ustanoveními plánu PRTR, nařízením Evropského parlamentu a Rady (EU) 2021/241 ze dne 12. února 2021, kterým se zřizuje Nástroj pro oživení a odolnost, a jeho prováděcími právními předpisy, zejména oznámením Komise Technické pokyny k uplatňování zásady „významně nepoškozovat“ podle nařízení o Nástroji pro oživení a odolnost, jakož i požadavky prováděcího rozhodnutí Rady o schválení posouzení plánu na podporu oživení, transformace a odolnosti Španělska. To zahrnuje soulad se zvláštními podmínkami stanovenými ve složce 1, jakož i v reformě 1, v rámci které je tento královský výnos formulován, a to jak s ohledem na zásadu významně nepoškozovat životní prostředí, tak s ohledem na klimatické a digitální označování, a zejména na podmínky uvedené v oddílech 3, 6 a 8 dokumentu složky plánu PRTR. Investice C1.I2 plánu PRTR, spojené s reformou C1.R1, rovněž respektují zásadu významně nepoškozovat životní prostředí a podmínky v oblasti klimatického a digitálního označování. </w:t>
      </w:r>
    </w:p>
    <w:p w14:paraId="449DE2FF" w14:textId="77777777" w:rsidR="000760AB" w:rsidRPr="000760AB" w:rsidRDefault="000760AB" w:rsidP="000760AB">
      <w:pPr>
        <w:spacing w:after="160" w:line="259" w:lineRule="auto"/>
        <w:ind w:left="13"/>
        <w:jc w:val="both"/>
        <w:rPr>
          <w:rFonts w:ascii="Calibri" w:eastAsia="Calibri" w:hAnsi="Calibri" w:cs="Calibri"/>
          <w:sz w:val="22"/>
          <w:szCs w:val="22"/>
        </w:rPr>
      </w:pPr>
      <w:r>
        <w:rPr>
          <w:rFonts w:ascii="Calibri" w:hAnsi="Calibri"/>
          <w:sz w:val="22"/>
        </w:rPr>
        <w:t>Tento královský výnos je v souladu se zásadami nezbytnosti, účinnosti, proporcionality, právní jistoty, transparentnosti a efektivity stanovenými v článku 129 zákona č. 39/2015 ze dne 1. října 2015 o společném správním řízení před orgány veřejné správy. Pokud jde o zásady nezbytnosti a účinnosti, zákon reaguje na povinnost provést evropské směrnice do vnitrostátního práva a je v souladu s cíli obecného zájmu, jako je přizpůsobení stavební infrastruktury na podporu udržitelné mobility a využívání energie z obnovitelných zdrojů. To povede k blahobytu ve společnosti a ochraně životního prostředí. Tento královský výnos je rovněž v souladu se zásadou proporcionality, neboť poskytuje nezbytné a dostatečné prostředky k provedení právního mandátu stanoveného směrnicí, nevyžaduje však inovaci, která by mohla být nadbytečná nebo překračující zákonné požadavky, ani nevede k omezení práv občanů. Tento předpis splňuje zásadu právní jistoty, neboť byl vypracován v souladu s postupy stanovenými v zákoně č. 50/1997 ze dne 27. listopadu 1997 o vládě a zásadou transparentnosti, neboť jasně vymezuje svůj účel a jeho veřejně přístupná důvodová zpráva v plném rozsahu vysvětluje jeho obsah. A konečně je v souladu se zásadou efektivity, protože neukládá žádnou administrativní zátěž.</w:t>
      </w:r>
    </w:p>
    <w:p w14:paraId="781A1DCF"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Tento obecný předpis byl podroben postupům předchozí veřejné konzultace a veřejného projednání a poskytování informací veřejnosti stanoveným v čl. 26 zákona 50/1997 ze dne 27. listopadu 1997 ze strany vlády, jakož i informačnímu postupu v oblasti technických předpisů a předpisů pro služby informační společnosti, jak je stanoveno ve směrnici Evropského parlamentu a Rady (EU) 2015/1535 ze dne 9. září 2015 a v královském výnosu 1337/1999 ze dne 31. července 1999.</w:t>
      </w:r>
    </w:p>
    <w:p w14:paraId="1CF691DA" w14:textId="0555DF60"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Na základě toho na návrh ministryně dopravy, mobility a městské agendy a ministryně pro ekologickou transformaci a demografickou výzvu po dohodě se Státní radou a po jednáních Rady ministrů na jejím zasedání dne</w:t>
      </w:r>
    </w:p>
    <w:p w14:paraId="3A461137" w14:textId="77777777" w:rsidR="000760AB" w:rsidRPr="000760AB" w:rsidRDefault="000760AB" w:rsidP="000760AB">
      <w:pPr>
        <w:spacing w:after="160" w:line="259" w:lineRule="auto"/>
        <w:jc w:val="both"/>
        <w:rPr>
          <w:rFonts w:ascii="Calibri" w:eastAsia="Calibri" w:hAnsi="Calibri" w:cs="Calibri"/>
          <w:sz w:val="22"/>
          <w:szCs w:val="22"/>
          <w:lang w:eastAsia="en-US"/>
        </w:rPr>
      </w:pPr>
    </w:p>
    <w:p w14:paraId="2D0F4D96" w14:textId="77777777" w:rsidR="000760AB" w:rsidRPr="000760AB" w:rsidRDefault="000760AB" w:rsidP="000760AB">
      <w:pPr>
        <w:spacing w:after="160" w:line="259" w:lineRule="auto"/>
        <w:jc w:val="center"/>
        <w:rPr>
          <w:rFonts w:ascii="Calibri" w:eastAsia="Calibri" w:hAnsi="Calibri" w:cs="Calibri"/>
          <w:sz w:val="22"/>
          <w:szCs w:val="22"/>
        </w:rPr>
      </w:pPr>
      <w:r>
        <w:rPr>
          <w:rFonts w:ascii="Calibri" w:hAnsi="Calibri"/>
          <w:sz w:val="22"/>
        </w:rPr>
        <w:t>SE NAŘIZUJE NÁSLEDUJÍCÍ:</w:t>
      </w:r>
    </w:p>
    <w:p w14:paraId="3F204ED5"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Jediný článek. </w:t>
      </w:r>
      <w:r>
        <w:rPr>
          <w:rFonts w:ascii="Calibri" w:hAnsi="Calibri"/>
          <w:i/>
          <w:sz w:val="22"/>
        </w:rPr>
        <w:t>Změna technického stavebního řádu, schváleného královským výnosem 314/2006 ze dne 17. března 2006.</w:t>
      </w:r>
    </w:p>
    <w:p w14:paraId="557D04F7"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Technický stavební řád, který je schválen královským výnosem 314/2006 ze dne 17. března 2006 se mění takto:</w:t>
      </w:r>
    </w:p>
    <w:p w14:paraId="38344B6D" w14:textId="77777777" w:rsidR="000760AB" w:rsidRPr="000760AB" w:rsidRDefault="000760AB" w:rsidP="000760AB">
      <w:pPr>
        <w:spacing w:after="160" w:line="259" w:lineRule="auto"/>
        <w:ind w:left="567" w:hanging="567"/>
        <w:jc w:val="both"/>
        <w:rPr>
          <w:rFonts w:ascii="Calibri" w:eastAsia="Calibri" w:hAnsi="Calibri" w:cs="Calibri"/>
          <w:sz w:val="22"/>
          <w:szCs w:val="22"/>
        </w:rPr>
      </w:pPr>
      <w:r>
        <w:rPr>
          <w:rFonts w:ascii="Calibri" w:hAnsi="Calibri"/>
          <w:sz w:val="22"/>
        </w:rPr>
        <w:t>Zaprvé. Obsah v části I se mění takto:</w:t>
      </w:r>
    </w:p>
    <w:p w14:paraId="493E6A51"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lastRenderedPageBreak/>
        <w:t>Znění „15.6. Základní požadavek HE5: Minimální výroba elektrické energie“ mění takto:</w:t>
      </w:r>
    </w:p>
    <w:p w14:paraId="7A817778"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„15.6. Základní požadavek HE 5: Minimální výroba elektrické energie z obnovitelných zdrojů“</w:t>
      </w:r>
    </w:p>
    <w:p w14:paraId="53D132D3"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Do odkazu na článek 15 se vkládá nový bod, který zní:</w:t>
      </w:r>
    </w:p>
    <w:p w14:paraId="1B97A8CA"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„15.7. Základní požadavek HE6: Minimální počet zařízení infrastruktury pro nabíjení elektrických vozidel.</w:t>
      </w:r>
    </w:p>
    <w:p w14:paraId="24330295" w14:textId="77777777" w:rsidR="000760AB" w:rsidRPr="000760AB" w:rsidRDefault="000760AB" w:rsidP="000760AB">
      <w:pPr>
        <w:spacing w:after="160" w:line="259" w:lineRule="auto"/>
        <w:ind w:left="567" w:hanging="567"/>
        <w:jc w:val="both"/>
        <w:rPr>
          <w:rFonts w:ascii="Calibri" w:eastAsia="Calibri" w:hAnsi="Calibri" w:cs="Calibri"/>
          <w:sz w:val="22"/>
          <w:szCs w:val="22"/>
        </w:rPr>
      </w:pPr>
      <w:r>
        <w:rPr>
          <w:rFonts w:ascii="Calibri" w:hAnsi="Calibri"/>
          <w:sz w:val="22"/>
        </w:rPr>
        <w:t>Zadruhé. Článek 15 části I se mění takto:</w:t>
      </w:r>
    </w:p>
    <w:p w14:paraId="53F6E69E"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Bod 15.6 se mění takto:</w:t>
      </w:r>
    </w:p>
    <w:p w14:paraId="41FA2918"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„15.6 Základní požadavek HE 5: Minimální výroba elektrické energie z obnovitelných zdrojů.</w:t>
      </w:r>
    </w:p>
    <w:p w14:paraId="35075490"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Budovy musí mít systémy výroby elektřiny z obnovitelných zdrojů pro svou vlastní potřebu nebo pro dodávky do sítě.“</w:t>
      </w:r>
    </w:p>
    <w:p w14:paraId="7543DFCB"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Doplňuje se nový oddíl 15.7, který zní:</w:t>
      </w:r>
    </w:p>
    <w:p w14:paraId="47ED5386"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„15.7 Základní požadavek HE 6: Minimální počet zařízení infrastruktury pro nabíjení elektrických vozidel.</w:t>
      </w:r>
    </w:p>
    <w:p w14:paraId="76AA215B"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Budovy musí mít minimální infrastrukturu umožňující dobíjení elektrických vozidel.“</w:t>
      </w:r>
    </w:p>
    <w:p w14:paraId="77CE8C8D"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Zatřetí. V základním dokumentu DB-HE „Úspora energie“ uvedeném v části II se provádějí tyto změny:</w:t>
      </w:r>
    </w:p>
    <w:p w14:paraId="49F2FE06" w14:textId="77777777" w:rsidR="000760AB" w:rsidRPr="000760AB" w:rsidRDefault="000760AB" w:rsidP="000760AB">
      <w:pPr>
        <w:numPr>
          <w:ilvl w:val="0"/>
          <w:numId w:val="17"/>
        </w:numPr>
        <w:spacing w:after="162" w:line="259" w:lineRule="auto"/>
        <w:ind w:left="284" w:firstLine="0"/>
        <w:jc w:val="both"/>
        <w:rPr>
          <w:rFonts w:ascii="Calibri" w:eastAsia="Calibri" w:hAnsi="Calibri" w:cs="Calibri"/>
          <w:sz w:val="22"/>
          <w:szCs w:val="22"/>
        </w:rPr>
      </w:pPr>
      <w:r>
        <w:rPr>
          <w:rFonts w:ascii="Calibri" w:hAnsi="Calibri"/>
          <w:sz w:val="22"/>
        </w:rPr>
        <w:t>V prvním pododstavci oddílu I „Předmět“ v části „Úvod“ ve větě „Oddíly tohoto DB odpovídají základním požadavkům HE 0a až HE 5“ se slova „HE 5“ nahrazují slovy „HE 6“.</w:t>
      </w:r>
    </w:p>
    <w:p w14:paraId="0A080F50" w14:textId="77777777" w:rsidR="000760AB" w:rsidRPr="000760AB" w:rsidRDefault="000760AB" w:rsidP="000760AB">
      <w:pPr>
        <w:numPr>
          <w:ilvl w:val="0"/>
          <w:numId w:val="17"/>
        </w:numPr>
        <w:spacing w:after="162" w:line="259" w:lineRule="auto"/>
        <w:ind w:left="284" w:firstLine="0"/>
        <w:jc w:val="both"/>
        <w:rPr>
          <w:rFonts w:ascii="Calibri" w:eastAsia="Calibri" w:hAnsi="Calibri" w:cs="Calibri"/>
          <w:sz w:val="22"/>
          <w:szCs w:val="22"/>
        </w:rPr>
      </w:pPr>
      <w:r>
        <w:rPr>
          <w:rFonts w:ascii="Calibri" w:hAnsi="Calibri"/>
          <w:sz w:val="22"/>
        </w:rPr>
        <w:t>V oddílu I „Předmět“ v části „Úvod“ se odkaz na článek 15.6 části I technického stavebního řádu mění takto:</w:t>
      </w:r>
    </w:p>
    <w:p w14:paraId="72402F73"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„15.6 Základní požadavek HE 5: Minimální výroba elektrické energie z obnovitelných zdrojů.</w:t>
      </w:r>
    </w:p>
    <w:p w14:paraId="2369423E" w14:textId="77777777" w:rsidR="000760AB" w:rsidRPr="000760AB" w:rsidRDefault="000760AB" w:rsidP="000760AB">
      <w:pPr>
        <w:spacing w:after="162" w:line="259" w:lineRule="auto"/>
        <w:ind w:left="284"/>
        <w:jc w:val="both"/>
        <w:rPr>
          <w:rFonts w:ascii="Calibri" w:eastAsia="Calibri" w:hAnsi="Calibri" w:cs="Calibri"/>
          <w:sz w:val="22"/>
          <w:szCs w:val="22"/>
        </w:rPr>
      </w:pPr>
      <w:r>
        <w:rPr>
          <w:rFonts w:ascii="Calibri" w:hAnsi="Calibri"/>
          <w:sz w:val="22"/>
        </w:rPr>
        <w:t>Budovy musí mít systémy výroby elektřiny z obnovitelných zdrojů pro svou vlastní potřebu nebo pro dodávky do sítě.“</w:t>
      </w:r>
    </w:p>
    <w:p w14:paraId="181F1AEB" w14:textId="77777777" w:rsidR="000760AB" w:rsidRPr="000760AB" w:rsidRDefault="000760AB" w:rsidP="000760AB">
      <w:pPr>
        <w:numPr>
          <w:ilvl w:val="0"/>
          <w:numId w:val="17"/>
        </w:numPr>
        <w:spacing w:after="162" w:line="259" w:lineRule="auto"/>
        <w:ind w:left="284" w:firstLine="0"/>
        <w:jc w:val="both"/>
        <w:rPr>
          <w:rFonts w:ascii="Calibri" w:eastAsia="Calibri" w:hAnsi="Calibri" w:cs="Calibri"/>
          <w:sz w:val="22"/>
          <w:szCs w:val="22"/>
        </w:rPr>
      </w:pPr>
      <w:r>
        <w:rPr>
          <w:rFonts w:ascii="Calibri" w:hAnsi="Calibri"/>
          <w:sz w:val="22"/>
        </w:rPr>
        <w:t>V oddílu I „Předmět“ v části „Úvod“ se do odkazu na článek 15 části I technického stavebního řádu na konci dokumentu technického stavebního řádu vkládá nový bod, který zní:</w:t>
      </w:r>
    </w:p>
    <w:p w14:paraId="7C586D67"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„15.7. Základní požadavek HE 6: Minimální počet zařízení infrastruktury pro nabíjení elektrických vozidel.</w:t>
      </w:r>
    </w:p>
    <w:p w14:paraId="676A05EC"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Budovy musí mít minimální infrastrukturu umožňující dobíjení </w:t>
      </w:r>
      <w:r>
        <w:rPr>
          <w:rFonts w:ascii="Calibri" w:hAnsi="Calibri"/>
          <w:i/>
          <w:sz w:val="22"/>
        </w:rPr>
        <w:t>elektrických vozidel</w:t>
      </w:r>
      <w:r>
        <w:rPr>
          <w:rFonts w:ascii="Calibri" w:hAnsi="Calibri"/>
          <w:sz w:val="22"/>
        </w:rPr>
        <w:t>.“</w:t>
      </w:r>
    </w:p>
    <w:p w14:paraId="69721229" w14:textId="77777777" w:rsidR="000760AB" w:rsidRPr="000760AB" w:rsidRDefault="000760AB" w:rsidP="000760AB">
      <w:pPr>
        <w:numPr>
          <w:ilvl w:val="0"/>
          <w:numId w:val="17"/>
        </w:numPr>
        <w:spacing w:after="160" w:line="259" w:lineRule="auto"/>
        <w:ind w:left="284" w:firstLine="0"/>
        <w:jc w:val="both"/>
        <w:rPr>
          <w:rFonts w:ascii="Calibri" w:eastAsia="Calibri" w:hAnsi="Calibri" w:cs="Calibri"/>
          <w:sz w:val="22"/>
          <w:szCs w:val="22"/>
        </w:rPr>
      </w:pPr>
      <w:r>
        <w:rPr>
          <w:rFonts w:ascii="Calibri" w:hAnsi="Calibri"/>
          <w:sz w:val="22"/>
        </w:rPr>
        <w:t>V obsahu se název sekce HE 5 mění takto:</w:t>
      </w:r>
    </w:p>
    <w:p w14:paraId="582FB085" w14:textId="6A9EA674" w:rsid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„Sekce HE 5 Minimální výroba elektrické energie z obnovitelných zdrojů.“</w:t>
      </w:r>
    </w:p>
    <w:p w14:paraId="6364AA7F" w14:textId="77777777" w:rsidR="000760AB" w:rsidRPr="000760AB" w:rsidRDefault="000760AB" w:rsidP="000760AB">
      <w:pPr>
        <w:spacing w:after="160" w:line="259" w:lineRule="auto"/>
        <w:ind w:left="284"/>
        <w:contextualSpacing/>
        <w:jc w:val="both"/>
        <w:rPr>
          <w:rFonts w:ascii="Calibri" w:eastAsia="Calibri" w:hAnsi="Calibri" w:cs="Calibri"/>
          <w:sz w:val="22"/>
          <w:szCs w:val="22"/>
          <w:lang w:eastAsia="en-US"/>
        </w:rPr>
      </w:pPr>
    </w:p>
    <w:p w14:paraId="3893C14C" w14:textId="77777777" w:rsidR="000760AB" w:rsidRPr="000760AB" w:rsidRDefault="000760AB" w:rsidP="000760AB">
      <w:pPr>
        <w:numPr>
          <w:ilvl w:val="0"/>
          <w:numId w:val="17"/>
        </w:numPr>
        <w:spacing w:after="160" w:line="259" w:lineRule="auto"/>
        <w:ind w:left="284" w:firstLine="0"/>
        <w:jc w:val="both"/>
        <w:rPr>
          <w:rFonts w:ascii="Calibri" w:eastAsia="Calibri" w:hAnsi="Calibri" w:cs="Calibri"/>
          <w:sz w:val="22"/>
          <w:szCs w:val="22"/>
        </w:rPr>
      </w:pPr>
      <w:r>
        <w:rPr>
          <w:rFonts w:ascii="Calibri" w:hAnsi="Calibri"/>
          <w:sz w:val="22"/>
        </w:rPr>
        <w:t>Do odkazu na článek 15 v obsahu se vkládá nový bod, který zní:</w:t>
      </w:r>
    </w:p>
    <w:p w14:paraId="176B586E" w14:textId="77777777" w:rsidR="000760AB" w:rsidRPr="000760AB" w:rsidRDefault="000760AB" w:rsidP="000760AB">
      <w:pPr>
        <w:tabs>
          <w:tab w:val="left" w:pos="7938"/>
        </w:tabs>
        <w:spacing w:after="160" w:line="259" w:lineRule="auto"/>
        <w:ind w:left="284"/>
        <w:contextualSpacing/>
        <w:jc w:val="both"/>
        <w:rPr>
          <w:rFonts w:ascii="Calibri" w:eastAsia="Calibri" w:hAnsi="Calibri" w:cs="Calibri"/>
          <w:sz w:val="22"/>
          <w:szCs w:val="22"/>
        </w:rPr>
      </w:pPr>
      <w:r>
        <w:rPr>
          <w:rFonts w:ascii="Calibri" w:hAnsi="Calibri"/>
          <w:sz w:val="22"/>
        </w:rPr>
        <w:t>„Sekce HE 6 Minimální počet zařízení infrastruktury pro nabíjení elektrických vozidel</w:t>
      </w:r>
    </w:p>
    <w:p w14:paraId="0C2C22F2" w14:textId="77777777" w:rsidR="000760AB" w:rsidRPr="000760AB" w:rsidRDefault="000760AB" w:rsidP="000760AB">
      <w:pPr>
        <w:numPr>
          <w:ilvl w:val="0"/>
          <w:numId w:val="14"/>
        </w:numPr>
        <w:tabs>
          <w:tab w:val="left" w:pos="567"/>
        </w:tabs>
        <w:spacing w:after="160" w:line="259" w:lineRule="auto"/>
        <w:ind w:left="284" w:firstLine="0"/>
        <w:contextualSpacing/>
        <w:jc w:val="both"/>
        <w:rPr>
          <w:rFonts w:ascii="Calibri" w:eastAsia="Calibri" w:hAnsi="Calibri" w:cs="Calibri"/>
          <w:sz w:val="22"/>
          <w:szCs w:val="22"/>
        </w:rPr>
      </w:pPr>
      <w:r>
        <w:rPr>
          <w:rFonts w:ascii="Calibri" w:hAnsi="Calibri"/>
          <w:sz w:val="22"/>
        </w:rPr>
        <w:t>Oblast působnosti</w:t>
      </w:r>
    </w:p>
    <w:p w14:paraId="14454D1F" w14:textId="77777777" w:rsidR="000760AB" w:rsidRPr="000760AB" w:rsidRDefault="000760AB" w:rsidP="000760AB">
      <w:pPr>
        <w:numPr>
          <w:ilvl w:val="0"/>
          <w:numId w:val="14"/>
        </w:numPr>
        <w:tabs>
          <w:tab w:val="left" w:pos="567"/>
        </w:tabs>
        <w:spacing w:after="160" w:line="259" w:lineRule="auto"/>
        <w:ind w:left="284" w:firstLine="0"/>
        <w:contextualSpacing/>
        <w:jc w:val="both"/>
        <w:rPr>
          <w:rFonts w:ascii="Calibri" w:eastAsia="Calibri" w:hAnsi="Calibri" w:cs="Calibri"/>
          <w:sz w:val="22"/>
          <w:szCs w:val="22"/>
        </w:rPr>
      </w:pPr>
      <w:r>
        <w:rPr>
          <w:rFonts w:ascii="Calibri" w:hAnsi="Calibri"/>
          <w:sz w:val="22"/>
        </w:rPr>
        <w:t>Popis požadavku</w:t>
      </w:r>
    </w:p>
    <w:p w14:paraId="41AC625F" w14:textId="77777777" w:rsidR="000760AB" w:rsidRPr="000760AB" w:rsidRDefault="000760AB" w:rsidP="000760AB">
      <w:pPr>
        <w:numPr>
          <w:ilvl w:val="0"/>
          <w:numId w:val="14"/>
        </w:numPr>
        <w:tabs>
          <w:tab w:val="left" w:pos="567"/>
        </w:tabs>
        <w:spacing w:after="160" w:line="259" w:lineRule="auto"/>
        <w:ind w:left="284" w:firstLine="0"/>
        <w:contextualSpacing/>
        <w:jc w:val="both"/>
        <w:rPr>
          <w:rFonts w:ascii="Calibri" w:eastAsia="Calibri" w:hAnsi="Calibri" w:cs="Calibri"/>
          <w:sz w:val="22"/>
          <w:szCs w:val="22"/>
        </w:rPr>
      </w:pPr>
      <w:r>
        <w:rPr>
          <w:rFonts w:ascii="Calibri" w:hAnsi="Calibri"/>
          <w:sz w:val="22"/>
        </w:rPr>
        <w:t>Kvantifikace požadavku</w:t>
      </w:r>
    </w:p>
    <w:p w14:paraId="0D46B4A0" w14:textId="77777777" w:rsidR="000760AB" w:rsidRPr="000760AB" w:rsidRDefault="000760AB" w:rsidP="000760AB">
      <w:pPr>
        <w:numPr>
          <w:ilvl w:val="0"/>
          <w:numId w:val="14"/>
        </w:numPr>
        <w:tabs>
          <w:tab w:val="left" w:pos="567"/>
        </w:tabs>
        <w:spacing w:after="160" w:line="259" w:lineRule="auto"/>
        <w:ind w:left="284" w:firstLine="0"/>
        <w:contextualSpacing/>
        <w:jc w:val="both"/>
        <w:rPr>
          <w:rFonts w:ascii="Calibri" w:eastAsia="Calibri" w:hAnsi="Calibri" w:cs="Calibri"/>
          <w:sz w:val="22"/>
          <w:szCs w:val="22"/>
        </w:rPr>
      </w:pPr>
      <w:r>
        <w:rPr>
          <w:rFonts w:ascii="Calibri" w:hAnsi="Calibri"/>
          <w:sz w:val="22"/>
        </w:rPr>
        <w:t>Odůvodnění požadavku</w:t>
      </w:r>
    </w:p>
    <w:p w14:paraId="6C8C16FE" w14:textId="77777777" w:rsidR="000760AB" w:rsidRPr="000760AB" w:rsidRDefault="000760AB" w:rsidP="000760AB">
      <w:pPr>
        <w:numPr>
          <w:ilvl w:val="0"/>
          <w:numId w:val="14"/>
        </w:numPr>
        <w:tabs>
          <w:tab w:val="left" w:pos="567"/>
        </w:tabs>
        <w:spacing w:after="160" w:line="259" w:lineRule="auto"/>
        <w:ind w:left="284" w:firstLine="0"/>
        <w:contextualSpacing/>
        <w:jc w:val="both"/>
        <w:rPr>
          <w:rFonts w:ascii="Calibri" w:eastAsia="Calibri" w:hAnsi="Calibri" w:cs="Calibri"/>
          <w:sz w:val="22"/>
          <w:szCs w:val="22"/>
        </w:rPr>
      </w:pPr>
      <w:r>
        <w:rPr>
          <w:rFonts w:ascii="Calibri" w:hAnsi="Calibri"/>
          <w:sz w:val="22"/>
        </w:rPr>
        <w:t>Výstavba, údržba a udržování</w:t>
      </w:r>
    </w:p>
    <w:p w14:paraId="555B094E" w14:textId="77777777" w:rsidR="000760AB" w:rsidRPr="000760AB" w:rsidRDefault="000760AB" w:rsidP="000760AB">
      <w:pPr>
        <w:tabs>
          <w:tab w:val="left" w:pos="993"/>
        </w:tabs>
        <w:spacing w:after="160" w:line="259" w:lineRule="auto"/>
        <w:ind w:left="284"/>
        <w:contextualSpacing/>
        <w:jc w:val="both"/>
        <w:rPr>
          <w:rFonts w:ascii="Calibri" w:eastAsia="Calibri" w:hAnsi="Calibri" w:cs="Calibri"/>
          <w:sz w:val="22"/>
          <w:szCs w:val="22"/>
        </w:rPr>
      </w:pPr>
      <w:r>
        <w:rPr>
          <w:rFonts w:ascii="Calibri" w:hAnsi="Calibri"/>
          <w:sz w:val="22"/>
        </w:rPr>
        <w:t>5.1</w:t>
      </w:r>
      <w:r>
        <w:rPr>
          <w:rFonts w:ascii="Calibri" w:hAnsi="Calibri"/>
          <w:sz w:val="22"/>
        </w:rPr>
        <w:tab/>
        <w:t>Provádění</w:t>
      </w:r>
    </w:p>
    <w:p w14:paraId="2080D911" w14:textId="77777777" w:rsidR="000760AB" w:rsidRPr="000760AB" w:rsidRDefault="000760AB" w:rsidP="000760AB">
      <w:pPr>
        <w:tabs>
          <w:tab w:val="left" w:pos="993"/>
        </w:tabs>
        <w:spacing w:after="160" w:line="259" w:lineRule="auto"/>
        <w:ind w:left="284"/>
        <w:contextualSpacing/>
        <w:jc w:val="both"/>
        <w:rPr>
          <w:rFonts w:ascii="Calibri" w:eastAsia="Calibri" w:hAnsi="Calibri" w:cs="Calibri"/>
          <w:sz w:val="22"/>
          <w:szCs w:val="22"/>
        </w:rPr>
      </w:pPr>
      <w:r>
        <w:rPr>
          <w:rFonts w:ascii="Calibri" w:hAnsi="Calibri"/>
          <w:sz w:val="22"/>
        </w:rPr>
        <w:t>5.2</w:t>
      </w:r>
      <w:r>
        <w:rPr>
          <w:rFonts w:ascii="Calibri" w:hAnsi="Calibri"/>
          <w:sz w:val="22"/>
        </w:rPr>
        <w:tab/>
        <w:t>Sledování provádění prací</w:t>
      </w:r>
    </w:p>
    <w:p w14:paraId="0A1431F4" w14:textId="77777777" w:rsidR="000760AB" w:rsidRPr="000760AB" w:rsidRDefault="000760AB" w:rsidP="000760AB">
      <w:pPr>
        <w:tabs>
          <w:tab w:val="left" w:pos="993"/>
        </w:tabs>
        <w:spacing w:after="160" w:line="259" w:lineRule="auto"/>
        <w:ind w:left="284"/>
        <w:contextualSpacing/>
        <w:jc w:val="both"/>
        <w:rPr>
          <w:rFonts w:ascii="Calibri" w:eastAsia="Calibri" w:hAnsi="Calibri" w:cs="Calibri"/>
          <w:sz w:val="22"/>
          <w:szCs w:val="22"/>
        </w:rPr>
      </w:pPr>
      <w:r>
        <w:rPr>
          <w:rFonts w:ascii="Calibri" w:hAnsi="Calibri"/>
          <w:sz w:val="22"/>
        </w:rPr>
        <w:lastRenderedPageBreak/>
        <w:t>5.3</w:t>
      </w:r>
      <w:r>
        <w:rPr>
          <w:rFonts w:ascii="Calibri" w:hAnsi="Calibri"/>
          <w:sz w:val="22"/>
        </w:rPr>
        <w:tab/>
        <w:t>Kontrola dokončených prací</w:t>
      </w:r>
    </w:p>
    <w:p w14:paraId="43CD09C6" w14:textId="77777777" w:rsidR="000760AB" w:rsidRPr="000760AB" w:rsidRDefault="000760AB" w:rsidP="000760AB">
      <w:pPr>
        <w:tabs>
          <w:tab w:val="left" w:pos="993"/>
        </w:tabs>
        <w:spacing w:after="160" w:line="259" w:lineRule="auto"/>
        <w:ind w:left="284"/>
        <w:contextualSpacing/>
        <w:jc w:val="both"/>
        <w:rPr>
          <w:rFonts w:ascii="Calibri" w:eastAsia="Calibri" w:hAnsi="Calibri" w:cs="Calibri"/>
          <w:sz w:val="22"/>
          <w:szCs w:val="22"/>
        </w:rPr>
      </w:pPr>
      <w:r>
        <w:rPr>
          <w:rFonts w:ascii="Calibri" w:hAnsi="Calibri"/>
          <w:sz w:val="22"/>
        </w:rPr>
        <w:t>5.4</w:t>
      </w:r>
      <w:r>
        <w:rPr>
          <w:rFonts w:ascii="Calibri" w:hAnsi="Calibri"/>
          <w:sz w:val="22"/>
        </w:rPr>
        <w:tab/>
        <w:t>Údržba a udržování budovy“</w:t>
      </w:r>
    </w:p>
    <w:p w14:paraId="2BFCCA3F"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V sekci HE 0 oddílu 1 Oblast působnosti se v pododstavci 1 slova: „...pokud celková rozšířená užitná plocha přesahuje 50 m</w:t>
      </w:r>
      <w:r>
        <w:rPr>
          <w:rFonts w:ascii="Calibri" w:hAnsi="Calibri"/>
          <w:sz w:val="22"/>
          <w:vertAlign w:val="superscript"/>
        </w:rPr>
        <w:t>2</w:t>
      </w:r>
      <w:r>
        <w:rPr>
          <w:rFonts w:ascii="Calibri" w:hAnsi="Calibri"/>
          <w:sz w:val="22"/>
        </w:rPr>
        <w:t>;“, nahrazují slovy „...pokud rozšířená užitná plocha přesahuje 50 m</w:t>
      </w:r>
      <w:r>
        <w:rPr>
          <w:rFonts w:ascii="Calibri" w:hAnsi="Calibri"/>
          <w:sz w:val="22"/>
          <w:vertAlign w:val="superscript"/>
        </w:rPr>
        <w:t>2</w:t>
      </w:r>
      <w:r>
        <w:rPr>
          <w:rFonts w:ascii="Calibri" w:hAnsi="Calibri"/>
          <w:sz w:val="22"/>
        </w:rPr>
        <w:t>;“.</w:t>
      </w:r>
    </w:p>
    <w:p w14:paraId="1BE79A25"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V sekci HE 0 oddílu 3 Kvantifikace požadavku oddílu 3.1 Spotřeba primární energie z neobnovitelných zdrojů</w:t>
      </w:r>
      <w:bookmarkStart w:id="1" w:name="_Hlk96944651"/>
      <w:r>
        <w:rPr>
          <w:rFonts w:ascii="Calibri" w:hAnsi="Calibri"/>
          <w:sz w:val="22"/>
        </w:rPr>
        <w:t>,</w:t>
      </w:r>
      <w:bookmarkEnd w:id="1"/>
      <w:r>
        <w:rPr>
          <w:rFonts w:ascii="Calibri" w:hAnsi="Calibri"/>
          <w:sz w:val="22"/>
        </w:rPr>
        <w:t xml:space="preserve"> odstavec 1, </w:t>
      </w:r>
      <w:bookmarkStart w:id="2" w:name="_Hlk96943118"/>
      <w:r>
        <w:rPr>
          <w:rFonts w:ascii="Calibri" w:hAnsi="Calibri"/>
          <w:sz w:val="22"/>
        </w:rPr>
        <w:t>se slova „Cep, nren“ nahrazují slovy „C</w:t>
      </w:r>
      <w:r>
        <w:rPr>
          <w:rFonts w:ascii="Calibri" w:hAnsi="Calibri"/>
          <w:sz w:val="22"/>
          <w:vertAlign w:val="subscript"/>
        </w:rPr>
        <w:t>ep,nren</w:t>
      </w:r>
      <w:r>
        <w:rPr>
          <w:rFonts w:ascii="Calibri" w:hAnsi="Calibri"/>
          <w:sz w:val="22"/>
        </w:rPr>
        <w:t>“ a slova „Cep,nren,lim“ se nahrazují slovy „C</w:t>
      </w:r>
      <w:r>
        <w:rPr>
          <w:rFonts w:ascii="Calibri" w:hAnsi="Calibri"/>
          <w:sz w:val="22"/>
          <w:vertAlign w:val="subscript"/>
        </w:rPr>
        <w:t>ep,nren,lim</w:t>
      </w:r>
      <w:r>
        <w:rPr>
          <w:rFonts w:ascii="Calibri" w:hAnsi="Calibri"/>
          <w:sz w:val="22"/>
        </w:rPr>
        <w:t>“.</w:t>
      </w:r>
      <w:bookmarkEnd w:id="2"/>
    </w:p>
    <w:p w14:paraId="1F114D51"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V sekci HE 0 oddílu 3 Kvantifikace požadavku oddílu 3.1 Spotřeba primární energie z neobnovitelných zdrojů odstavci 2 se slova „Cep,nren,lim“ nahrazují slovy „Cι</w:t>
      </w:r>
      <w:r>
        <w:rPr>
          <w:rFonts w:ascii="Calibri" w:hAnsi="Calibri"/>
          <w:sz w:val="22"/>
          <w:vertAlign w:val="subscript"/>
        </w:rPr>
        <w:t>ep,nren,lim</w:t>
      </w:r>
      <w:r>
        <w:rPr>
          <w:rFonts w:ascii="Calibri" w:hAnsi="Calibri"/>
          <w:sz w:val="22"/>
        </w:rPr>
        <w:t>“.</w:t>
      </w:r>
    </w:p>
    <w:p w14:paraId="75CFE807" w14:textId="616002F6"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V sekci HE 0 oddílu 3 Kvantifikace požadavku oddílu 3.2. Celková spotřeba primární energie odstavci 1 se slova „Cep,tot“ nahrazují slovy „C</w:t>
      </w:r>
      <w:r>
        <w:rPr>
          <w:rFonts w:ascii="Calibri" w:hAnsi="Calibri"/>
          <w:sz w:val="22"/>
          <w:vertAlign w:val="subscript"/>
        </w:rPr>
        <w:t>ep,tot</w:t>
      </w:r>
      <w:r>
        <w:rPr>
          <w:rFonts w:ascii="Calibri" w:hAnsi="Calibri"/>
          <w:sz w:val="22"/>
        </w:rPr>
        <w:t>.</w:t>
      </w:r>
    </w:p>
    <w:p w14:paraId="440538F2"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V sekci HE 0 oddílu 3 Kvantifikace požadavku oddílu 3.2 Celková spotřeba primární energie odstavci 2 se výraz „Cep,tot,lim“ nahrazuje výrazem „C</w:t>
      </w:r>
      <w:r>
        <w:rPr>
          <w:rFonts w:ascii="Calibri" w:hAnsi="Calibri"/>
          <w:sz w:val="22"/>
          <w:vertAlign w:val="subscript"/>
        </w:rPr>
        <w:t>ep,tot,lim</w:t>
      </w:r>
      <w:r>
        <w:rPr>
          <w:rFonts w:ascii="Calibri" w:hAnsi="Calibri"/>
          <w:sz w:val="22"/>
        </w:rPr>
        <w:t>“.</w:t>
      </w:r>
    </w:p>
    <w:p w14:paraId="1766850B"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V sekci HE 0 oddílu 3 Kvantifikace požadavku se slova „</w:t>
      </w:r>
      <w:r>
        <w:rPr>
          <w:rFonts w:ascii="Calibri" w:hAnsi="Calibri"/>
          <w:i/>
          <w:sz w:val="22"/>
        </w:rPr>
        <w:t>soukromé bydlení“</w:t>
      </w:r>
      <w:r>
        <w:rPr>
          <w:rFonts w:ascii="Calibri" w:hAnsi="Calibri"/>
          <w:sz w:val="22"/>
        </w:rPr>
        <w:t xml:space="preserve"> uvádějí kurzívou.</w:t>
      </w:r>
    </w:p>
    <w:p w14:paraId="530AA467"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V sekci HE 0 oddílu 4.1 „Postup výpočtu“ se v odstavci 9 slova „uznaný dokument“ nahrazují slovy „Uznaný dokument pro energetickou certifikaci budov“.</w:t>
      </w:r>
    </w:p>
    <w:p w14:paraId="5A51E01A" w14:textId="77777777" w:rsidR="000760AB" w:rsidRPr="000760AB" w:rsidRDefault="000760AB" w:rsidP="000760AB">
      <w:pPr>
        <w:numPr>
          <w:ilvl w:val="0"/>
          <w:numId w:val="17"/>
        </w:numPr>
        <w:spacing w:after="160" w:line="259" w:lineRule="auto"/>
        <w:ind w:left="284" w:hanging="11"/>
        <w:jc w:val="both"/>
        <w:rPr>
          <w:rFonts w:ascii="Calibri" w:eastAsia="Calibri" w:hAnsi="Calibri" w:cs="Calibri"/>
          <w:sz w:val="22"/>
          <w:szCs w:val="22"/>
        </w:rPr>
      </w:pPr>
      <w:r>
        <w:rPr>
          <w:rFonts w:ascii="Calibri" w:hAnsi="Calibri"/>
          <w:sz w:val="22"/>
        </w:rPr>
        <w:t>V sekci HE 0 oddílu 4.1 „Postup výpočtu“ se odstavec 9 nově označuje jako odstavec 11 a doplňují se nové odstavce, které znějí:</w:t>
      </w:r>
    </w:p>
    <w:p w14:paraId="120F39BD"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„9</w:t>
      </w:r>
      <w:r>
        <w:rPr>
          <w:rFonts w:ascii="Calibri" w:hAnsi="Calibri"/>
          <w:sz w:val="22"/>
        </w:rPr>
        <w:tab/>
        <w:t xml:space="preserve">Výpočet energetické bilance potřebné pro ověření požadavků tohoto DB se provádí v souladu s normou UNE-EN ISO 52000-1:2019: </w:t>
      </w:r>
      <w:r>
        <w:rPr>
          <w:rFonts w:ascii="Calibri" w:hAnsi="Calibri"/>
          <w:i/>
          <w:sz w:val="22"/>
        </w:rPr>
        <w:t>Celkové posouzení energetické náročnosti budov. Část 1: obecný rámec a postupy</w:t>
      </w:r>
      <w:r>
        <w:rPr>
          <w:rFonts w:ascii="Calibri" w:hAnsi="Calibri"/>
          <w:sz w:val="22"/>
        </w:rPr>
        <w:t xml:space="preserve"> s použitím faktoru pro export K</w:t>
      </w:r>
      <w:r>
        <w:rPr>
          <w:rFonts w:ascii="Calibri" w:hAnsi="Calibri"/>
          <w:sz w:val="22"/>
          <w:vertAlign w:val="subscript"/>
        </w:rPr>
        <w:t>exp</w:t>
      </w:r>
      <w:r>
        <w:rPr>
          <w:rFonts w:ascii="Calibri" w:hAnsi="Calibri"/>
          <w:sz w:val="22"/>
        </w:rPr>
        <w:t xml:space="preserve"> = 0.“</w:t>
      </w:r>
    </w:p>
    <w:p w14:paraId="6D26B789" w14:textId="3B1081FB"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„10</w:t>
      </w:r>
      <w:r>
        <w:rPr>
          <w:rFonts w:ascii="Calibri" w:hAnsi="Calibri"/>
          <w:sz w:val="22"/>
        </w:rPr>
        <w:tab/>
        <w:t>Pro účely rozdělení různých služeb se distribuce elektřiny vyrobené na místě v každém časovém intervalu vypočítá úměrně ke spotřebě elektřiny v rámci příslušné spotřeby (vytápění, chlazení, větrání, užitková teplá voda a dále při terciárním využití, osvětlení).“</w:t>
      </w:r>
    </w:p>
    <w:p w14:paraId="015C0599"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V sekci HE 0 oddílu 4.3 Vnitřní požadavky a provozní podmínky oddílu 2 se slova „</w:t>
      </w:r>
      <w:r>
        <w:rPr>
          <w:rFonts w:ascii="Calibri" w:hAnsi="Calibri"/>
          <w:i/>
          <w:sz w:val="22"/>
        </w:rPr>
        <w:t>soukromé bydlení</w:t>
      </w:r>
      <w:r>
        <w:rPr>
          <w:rFonts w:ascii="Calibri" w:hAnsi="Calibri"/>
          <w:sz w:val="22"/>
        </w:rPr>
        <w:t>“ uvádějí kurzívou.</w:t>
      </w:r>
    </w:p>
    <w:p w14:paraId="424F77C1" w14:textId="77777777" w:rsidR="000760AB" w:rsidRPr="000760AB" w:rsidRDefault="000760AB" w:rsidP="000760AB">
      <w:pPr>
        <w:spacing w:before="200" w:after="100"/>
        <w:ind w:left="284"/>
        <w:jc w:val="both"/>
        <w:rPr>
          <w:rFonts w:ascii="Calibri" w:eastAsia="Arial" w:hAnsi="Calibri" w:cs="Calibri"/>
          <w:kern w:val="2"/>
          <w:sz w:val="22"/>
          <w:szCs w:val="22"/>
        </w:rPr>
      </w:pPr>
      <w:r>
        <w:rPr>
          <w:rFonts w:ascii="Calibri" w:hAnsi="Calibri"/>
          <w:sz w:val="22"/>
        </w:rPr>
        <w:t>ñ) V sekci HE 0 oddílu 4.5 Referenční systémy pro soukromé bydlení se slova „</w:t>
      </w:r>
      <w:r>
        <w:rPr>
          <w:rFonts w:ascii="Calibri" w:hAnsi="Calibri"/>
          <w:i/>
          <w:sz w:val="22"/>
        </w:rPr>
        <w:t>soukromé bydlení</w:t>
      </w:r>
      <w:r>
        <w:rPr>
          <w:rFonts w:ascii="Calibri" w:hAnsi="Calibri"/>
          <w:sz w:val="22"/>
        </w:rPr>
        <w:t>“ jak v názvu, tak v odstavci 1 uvádějí kurzívou.</w:t>
      </w:r>
    </w:p>
    <w:p w14:paraId="7DB1F14A"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 xml:space="preserve">V sekci HE 1 oddílu 3 Kvantifikace požadavku oddílu 3.1.1. Propustnost </w:t>
      </w:r>
      <w:r>
        <w:rPr>
          <w:rFonts w:ascii="Calibri" w:hAnsi="Calibri"/>
          <w:i/>
          <w:sz w:val="22"/>
        </w:rPr>
        <w:t>tepelného pláště</w:t>
      </w:r>
      <w:r>
        <w:rPr>
          <w:rFonts w:ascii="Calibri" w:hAnsi="Calibri"/>
          <w:sz w:val="22"/>
        </w:rPr>
        <w:t>, se slovo „kompaktnost“ v tabulce 3.1.1.b-HE1 a v tabulce 3.1.1.c-HE1 uvádí kurzívou.</w:t>
      </w:r>
    </w:p>
    <w:p w14:paraId="2E82A8CF"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 xml:space="preserve">V sekci HE 1 oddílu 3 Kvantifikace požadavku oddílu 3.1.1. Propustnost </w:t>
      </w:r>
      <w:r>
        <w:rPr>
          <w:rFonts w:ascii="Calibri" w:hAnsi="Calibri"/>
          <w:i/>
          <w:sz w:val="22"/>
        </w:rPr>
        <w:t>tepelného pláště</w:t>
      </w:r>
      <w:r>
        <w:rPr>
          <w:rFonts w:ascii="Calibri" w:hAnsi="Calibri"/>
          <w:sz w:val="22"/>
        </w:rPr>
        <w:t>, se slovo „kompaktnosti“ v poznámkách pod čarou tabulky 3.1.1.b-HE1 a tabulky 3.1.1.c-HE1 a slovo „kompaktnost“ v poznámkách pod čarou tabulky 3.1.1.c-HE1 uvádí kurzívou.</w:t>
      </w:r>
    </w:p>
    <w:p w14:paraId="6592C9AA"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 xml:space="preserve">V sekci HE 1 oddílu 3 Kvantifikace požadavku oddílu 3.1.1. Propustnost </w:t>
      </w:r>
      <w:r>
        <w:rPr>
          <w:rFonts w:ascii="Calibri" w:hAnsi="Calibri"/>
          <w:i/>
          <w:sz w:val="22"/>
        </w:rPr>
        <w:t>tepelného pláště</w:t>
      </w:r>
      <w:r>
        <w:rPr>
          <w:rFonts w:ascii="Calibri" w:hAnsi="Calibri"/>
          <w:sz w:val="22"/>
        </w:rPr>
        <w:t xml:space="preserve"> oddílu 3 se slova „</w:t>
      </w:r>
      <w:r>
        <w:rPr>
          <w:rFonts w:ascii="Calibri" w:hAnsi="Calibri"/>
          <w:i/>
          <w:sz w:val="22"/>
        </w:rPr>
        <w:t>soukromé bydlení</w:t>
      </w:r>
      <w:r>
        <w:rPr>
          <w:rFonts w:ascii="Calibri" w:hAnsi="Calibri"/>
          <w:sz w:val="22"/>
        </w:rPr>
        <w:t>“ uvádějí kurzívou jak v odstavci 3, tak v tabulce 3.1.1.b-HE1.</w:t>
      </w:r>
    </w:p>
    <w:p w14:paraId="4B4F6F00"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lastRenderedPageBreak/>
        <w:t xml:space="preserve">V sekci HE 1 oddílu 3 Kvantifikace požadavku oddílu 3.1.1. Propustnost </w:t>
      </w:r>
      <w:r>
        <w:rPr>
          <w:rFonts w:ascii="Calibri" w:hAnsi="Calibri"/>
          <w:i/>
          <w:sz w:val="22"/>
        </w:rPr>
        <w:t>tepelného pláště</w:t>
      </w:r>
      <w:r>
        <w:rPr>
          <w:rFonts w:ascii="Calibri" w:hAnsi="Calibri"/>
          <w:sz w:val="22"/>
        </w:rPr>
        <w:t>, se slovo „plášť“ v tabulkách 3.1.1.b-HE1 a 3.1.1.c-HE1 uvádí kurzívou.</w:t>
      </w:r>
    </w:p>
    <w:p w14:paraId="41623096" w14:textId="77777777" w:rsidR="000760AB" w:rsidRPr="000760AB" w:rsidRDefault="000760AB" w:rsidP="000760AB">
      <w:pPr>
        <w:numPr>
          <w:ilvl w:val="0"/>
          <w:numId w:val="17"/>
        </w:numPr>
        <w:spacing w:after="160" w:line="259" w:lineRule="auto"/>
        <w:ind w:left="284" w:firstLine="0"/>
        <w:jc w:val="both"/>
        <w:rPr>
          <w:rFonts w:ascii="Calibri" w:eastAsia="Calibri" w:hAnsi="Calibri" w:cs="Calibri"/>
          <w:sz w:val="22"/>
          <w:szCs w:val="22"/>
        </w:rPr>
      </w:pPr>
      <w:r>
        <w:rPr>
          <w:rFonts w:ascii="Calibri" w:hAnsi="Calibri"/>
          <w:sz w:val="22"/>
        </w:rPr>
        <w:t>V sekci HE 1 Kvantifikace požadavku oddílu 3.1.1 „</w:t>
      </w:r>
      <w:r>
        <w:rPr>
          <w:rFonts w:ascii="Calibri" w:hAnsi="Calibri"/>
          <w:i/>
          <w:sz w:val="22"/>
        </w:rPr>
        <w:t>Propustnost tepelného pláště</w:t>
      </w:r>
      <w:r>
        <w:rPr>
          <w:rFonts w:ascii="Calibri" w:hAnsi="Calibri"/>
          <w:sz w:val="22"/>
        </w:rPr>
        <w:t>“ se doplňuje nový odstavec, který zní:</w:t>
      </w:r>
    </w:p>
    <w:p w14:paraId="6EEEBF4F"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„6 Alternativně mohou být budovy nebo, v případě částečných zásahů do stávajících budov, části budov, v nichž se provádějí zásahy, jejichž potřeby za účelem vytápění a chlazení jsou v obou případech nižší než 15 kWh/m</w:t>
      </w:r>
      <w:r>
        <w:rPr>
          <w:rFonts w:ascii="Calibri" w:hAnsi="Calibri"/>
          <w:sz w:val="22"/>
          <w:vertAlign w:val="superscript"/>
        </w:rPr>
        <w:t>2</w:t>
      </w:r>
      <w:r>
        <w:rPr>
          <w:rFonts w:ascii="Calibri" w:hAnsi="Calibri"/>
          <w:sz w:val="22"/>
        </w:rPr>
        <w:t xml:space="preserve">, vyloučeny z dodržení </w:t>
      </w:r>
      <w:r>
        <w:rPr>
          <w:rFonts w:ascii="Calibri" w:hAnsi="Calibri"/>
          <w:i/>
          <w:sz w:val="22"/>
        </w:rPr>
        <w:t>celkového koeficientu prostupu tepla pláštěm</w:t>
      </w:r>
      <w:r>
        <w:rPr>
          <w:rFonts w:ascii="Calibri" w:hAnsi="Calibri"/>
          <w:sz w:val="22"/>
        </w:rPr>
        <w:t xml:space="preserve"> (K).“</w:t>
      </w:r>
    </w:p>
    <w:p w14:paraId="582E2B37"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V sekci HE 1 oddílu 3 Kvantifikace požadavku oddílu 3.1.2 Solární regulace tepelného pláště se slova: „Tabulka 3.1.2-HE1 Mezní hodnota parametru regulace solární energie qsol;jul,lim [kWh/m</w:t>
      </w:r>
      <w:r>
        <w:rPr>
          <w:rFonts w:ascii="Calibri" w:hAnsi="Calibri"/>
          <w:sz w:val="22"/>
          <w:vertAlign w:val="superscript"/>
        </w:rPr>
        <w:t>2</w:t>
      </w:r>
      <w:r>
        <w:rPr>
          <w:rFonts w:ascii="Calibri" w:hAnsi="Calibri"/>
          <w:sz w:val="22"/>
        </w:rPr>
        <w:t>·mes]“ nahrazují tímto: „Tabulka 3.1.2-HE1 Mezní hodnota parametru regulace solární energie q</w:t>
      </w:r>
      <w:r>
        <w:rPr>
          <w:rFonts w:ascii="Calibri" w:hAnsi="Calibri"/>
          <w:sz w:val="22"/>
          <w:vertAlign w:val="subscript"/>
        </w:rPr>
        <w:t>sol;jul,lim</w:t>
      </w:r>
      <w:r>
        <w:rPr>
          <w:rFonts w:ascii="Calibri" w:hAnsi="Calibri"/>
          <w:sz w:val="22"/>
        </w:rPr>
        <w:t xml:space="preserve"> [kWh/m</w:t>
      </w:r>
      <w:r>
        <w:rPr>
          <w:rFonts w:ascii="Calibri" w:hAnsi="Calibri"/>
          <w:sz w:val="22"/>
          <w:vertAlign w:val="superscript"/>
        </w:rPr>
        <w:t>2</w:t>
      </w:r>
      <w:r>
        <w:rPr>
          <w:rFonts w:ascii="Calibri" w:hAnsi="Calibri"/>
          <w:sz w:val="22"/>
        </w:rPr>
        <w:t>·mes]“.</w:t>
      </w:r>
    </w:p>
    <w:p w14:paraId="7E3CBE02"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V sekci HE 1 oddílu 3 Kvantifikace požadavku oddílu 3.1.3 Vzduchová propustnost tepelného pláště se slova „tepelný plášť“ uvádějí kurzívou jak v názvu oddílu, tak v nadpisu tabulky 3.1.3.a-HE1.</w:t>
      </w:r>
    </w:p>
    <w:p w14:paraId="7B525B8B" w14:textId="77777777" w:rsidR="000760AB" w:rsidRPr="000760AB" w:rsidRDefault="000760AB" w:rsidP="000760AB">
      <w:pPr>
        <w:numPr>
          <w:ilvl w:val="0"/>
          <w:numId w:val="17"/>
        </w:numPr>
        <w:spacing w:after="160" w:line="259" w:lineRule="auto"/>
        <w:ind w:left="284" w:firstLine="0"/>
        <w:contextualSpacing/>
        <w:jc w:val="both"/>
        <w:rPr>
          <w:rFonts w:ascii="Calibri" w:eastAsia="Calibri" w:hAnsi="Calibri" w:cs="Calibri"/>
          <w:sz w:val="22"/>
          <w:szCs w:val="22"/>
        </w:rPr>
      </w:pPr>
      <w:r>
        <w:rPr>
          <w:rFonts w:ascii="Calibri" w:hAnsi="Calibri"/>
          <w:sz w:val="22"/>
        </w:rPr>
        <w:t>V sekci HE 1 „Kvantifikace požadavku“ oddílu 3.1.3 „Vzduchová propustnost</w:t>
      </w:r>
      <w:r>
        <w:rPr>
          <w:rFonts w:ascii="Calibri" w:hAnsi="Calibri"/>
          <w:i/>
          <w:sz w:val="22"/>
        </w:rPr>
        <w:t xml:space="preserve"> tepelného pláště</w:t>
      </w:r>
      <w:r>
        <w:rPr>
          <w:rFonts w:ascii="Calibri" w:hAnsi="Calibri"/>
          <w:sz w:val="22"/>
        </w:rPr>
        <w:t>“ se doplňuje nový odstavec 3, který zní:</w:t>
      </w:r>
    </w:p>
    <w:p w14:paraId="218ED76A" w14:textId="77777777" w:rsidR="000760AB" w:rsidRPr="000760AB" w:rsidRDefault="000760AB" w:rsidP="000760AB">
      <w:pPr>
        <w:spacing w:after="160" w:line="259" w:lineRule="auto"/>
        <w:ind w:left="284"/>
        <w:contextualSpacing/>
        <w:jc w:val="both"/>
        <w:rPr>
          <w:rFonts w:ascii="Calibri" w:eastAsia="Calibri" w:hAnsi="Calibri" w:cs="Calibri"/>
          <w:sz w:val="22"/>
          <w:szCs w:val="22"/>
          <w:lang w:eastAsia="en-US"/>
        </w:rPr>
      </w:pPr>
    </w:p>
    <w:p w14:paraId="7FEAB0FB"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 xml:space="preserve">„3. „V případě změn se tabulka 3.1.3.a-HE1 vztahuje pouze na ty prvky </w:t>
      </w:r>
      <w:r>
        <w:rPr>
          <w:rFonts w:ascii="Calibri" w:hAnsi="Calibri"/>
          <w:i/>
          <w:sz w:val="22"/>
        </w:rPr>
        <w:t>tepelného pláště</w:t>
      </w:r>
      <w:r>
        <w:rPr>
          <w:rFonts w:ascii="Calibri" w:hAnsi="Calibri"/>
          <w:sz w:val="22"/>
        </w:rPr>
        <w:t>, které jsou nahrazeny, začleněny nebo podstatně upraveny;“</w:t>
      </w:r>
    </w:p>
    <w:p w14:paraId="69948537" w14:textId="77777777" w:rsidR="000760AB" w:rsidRPr="000760AB" w:rsidRDefault="000760AB" w:rsidP="000760AB">
      <w:pPr>
        <w:spacing w:after="160" w:line="259" w:lineRule="auto"/>
        <w:ind w:left="567"/>
        <w:contextualSpacing/>
        <w:jc w:val="both"/>
        <w:rPr>
          <w:rFonts w:ascii="Calibri" w:eastAsia="Calibri" w:hAnsi="Calibri" w:cs="Calibri"/>
          <w:sz w:val="22"/>
          <w:szCs w:val="22"/>
          <w:lang w:eastAsia="en-US"/>
        </w:rPr>
      </w:pPr>
    </w:p>
    <w:p w14:paraId="01C78EE3"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Stávající odstavce 3 a 4 oddílu 3.1.3 „Vzduchová propustnost </w:t>
      </w:r>
      <w:r>
        <w:rPr>
          <w:rFonts w:ascii="Calibri" w:hAnsi="Calibri"/>
          <w:i/>
          <w:sz w:val="22"/>
        </w:rPr>
        <w:t>tepelného pláště</w:t>
      </w:r>
      <w:r>
        <w:rPr>
          <w:rFonts w:ascii="Calibri" w:hAnsi="Calibri"/>
          <w:sz w:val="22"/>
        </w:rPr>
        <w:t>“ se v uvedeném označují jako odstavec 4 a 5.</w:t>
      </w:r>
    </w:p>
    <w:p w14:paraId="5FC15043"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 xml:space="preserve">V sekci HE 1 oddílu 3 Kvantifikace požadavku oddílu 3.1.3 Vzduchová propustnost </w:t>
      </w:r>
      <w:r>
        <w:rPr>
          <w:rFonts w:ascii="Calibri" w:hAnsi="Calibri"/>
          <w:i/>
          <w:sz w:val="22"/>
        </w:rPr>
        <w:t>tepelného pláště</w:t>
      </w:r>
      <w:r>
        <w:rPr>
          <w:rFonts w:ascii="Calibri" w:hAnsi="Calibri"/>
          <w:sz w:val="22"/>
        </w:rPr>
        <w:t xml:space="preserve"> se slovo „kompaktnost“ v tabulce 3.1.3.b-HE1, slovo „kompaktnost“ v tabulce 3.1.3.b-HE1 a slova „soukromé bydlení“ v odstavci 3 uvádějí kurzívou.</w:t>
      </w:r>
    </w:p>
    <w:p w14:paraId="16310438"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 xml:space="preserve">V sekci HE 1 oddílu 3 Kvantifikace požadavku oddílu 3.1.3 Vzduchová propustnost </w:t>
      </w:r>
      <w:r>
        <w:rPr>
          <w:rFonts w:ascii="Calibri" w:hAnsi="Calibri"/>
          <w:i/>
          <w:sz w:val="22"/>
        </w:rPr>
        <w:t>tepelného pláště</w:t>
      </w:r>
      <w:r>
        <w:rPr>
          <w:rFonts w:ascii="Calibri" w:hAnsi="Calibri"/>
          <w:sz w:val="22"/>
        </w:rPr>
        <w:t xml:space="preserve"> v tabulce 3.1.3.b-HE1, kde je uvedeno „m</w:t>
      </w:r>
      <w:r>
        <w:rPr>
          <w:rFonts w:ascii="Calibri" w:hAnsi="Calibri"/>
          <w:sz w:val="22"/>
          <w:vertAlign w:val="superscript"/>
        </w:rPr>
        <w:t>3</w:t>
      </w:r>
      <w:r>
        <w:rPr>
          <w:rFonts w:ascii="Calibri" w:hAnsi="Calibri"/>
          <w:sz w:val="22"/>
        </w:rPr>
        <w:t>,/m2“, se uvede „m</w:t>
      </w:r>
      <w:r>
        <w:rPr>
          <w:rFonts w:ascii="Calibri" w:hAnsi="Calibri"/>
          <w:sz w:val="22"/>
          <w:vertAlign w:val="superscript"/>
        </w:rPr>
        <w:t>3</w:t>
      </w:r>
      <w:r>
        <w:rPr>
          <w:rFonts w:ascii="Calibri" w:hAnsi="Calibri"/>
          <w:sz w:val="22"/>
        </w:rPr>
        <w:t>/m</w:t>
      </w:r>
      <w:r>
        <w:rPr>
          <w:rFonts w:ascii="Calibri" w:hAnsi="Calibri"/>
          <w:sz w:val="22"/>
          <w:vertAlign w:val="superscript"/>
        </w:rPr>
        <w:t>2</w:t>
      </w:r>
      <w:r>
        <w:rPr>
          <w:rFonts w:ascii="Calibri" w:hAnsi="Calibri"/>
          <w:sz w:val="22"/>
        </w:rPr>
        <w:t xml:space="preserve">“ s číslem 2 v horním indexu. </w:t>
      </w:r>
    </w:p>
    <w:p w14:paraId="717B95B5"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V sekci HE 1 oddílu 4 Odůvodnění požadavku se slovo „kompaktnost“ v oddílu 4.1 písm. b) a slova „soukromé bydlení“ v oddílu 4.1 písm. g) uvádějí kurzívou.</w:t>
      </w:r>
    </w:p>
    <w:p w14:paraId="2D2B37E4" w14:textId="77777777" w:rsidR="000760AB" w:rsidRPr="000760AB" w:rsidRDefault="000760AB" w:rsidP="000760AB">
      <w:pPr>
        <w:numPr>
          <w:ilvl w:val="0"/>
          <w:numId w:val="17"/>
        </w:numPr>
        <w:spacing w:after="160" w:line="257" w:lineRule="auto"/>
        <w:ind w:left="284" w:firstLine="0"/>
        <w:jc w:val="both"/>
        <w:rPr>
          <w:rFonts w:ascii="Calibri" w:eastAsia="Calibri" w:hAnsi="Calibri" w:cs="Calibri"/>
          <w:sz w:val="22"/>
          <w:szCs w:val="22"/>
        </w:rPr>
      </w:pPr>
      <w:r>
        <w:rPr>
          <w:rFonts w:ascii="Calibri" w:hAnsi="Calibri"/>
          <w:sz w:val="22"/>
        </w:rPr>
        <w:t>V sekci HE 3 se v tabulce 3.1-HE3 Mezní hodnota účinnosti zařízení (VEEI</w:t>
      </w:r>
      <w:r>
        <w:rPr>
          <w:rFonts w:ascii="Calibri" w:hAnsi="Calibri"/>
          <w:sz w:val="22"/>
          <w:vertAlign w:val="subscript"/>
        </w:rPr>
        <w:t>lim</w:t>
      </w:r>
      <w:r>
        <w:rPr>
          <w:rFonts w:ascii="Calibri" w:hAnsi="Calibri"/>
          <w:sz w:val="22"/>
        </w:rPr>
        <w:t xml:space="preserve">) slova „Obchodní domy a malé obchody“ nahrazují slovy „Obchodní domy a malé obchody </w:t>
      </w:r>
      <w:r>
        <w:rPr>
          <w:rFonts w:ascii="Calibri" w:hAnsi="Calibri"/>
          <w:sz w:val="22"/>
          <w:vertAlign w:val="superscript"/>
        </w:rPr>
        <w:t>(10)</w:t>
      </w:r>
      <w:r>
        <w:rPr>
          <w:rFonts w:ascii="Calibri" w:hAnsi="Calibri"/>
          <w:sz w:val="22"/>
        </w:rPr>
        <w:t>“ a doplňuje se nová poznámka pod čarou, která zní:</w:t>
      </w:r>
    </w:p>
    <w:p w14:paraId="6E0BF879" w14:textId="77777777" w:rsidR="000760AB" w:rsidRPr="000760AB" w:rsidRDefault="000760AB" w:rsidP="000760AB">
      <w:pPr>
        <w:spacing w:after="160" w:line="257" w:lineRule="auto"/>
        <w:ind w:left="284"/>
        <w:jc w:val="both"/>
        <w:rPr>
          <w:rFonts w:ascii="Calibri" w:eastAsia="Arial" w:hAnsi="Calibri" w:cs="Calibri"/>
          <w:kern w:val="2"/>
          <w:sz w:val="22"/>
        </w:rPr>
      </w:pPr>
      <w:r>
        <w:rPr>
          <w:rFonts w:ascii="Calibri" w:hAnsi="Calibri"/>
          <w:sz w:val="22"/>
        </w:rPr>
        <w:t>„</w:t>
      </w:r>
      <w:r>
        <w:rPr>
          <w:rFonts w:ascii="Calibri" w:hAnsi="Calibri"/>
          <w:sz w:val="22"/>
          <w:vertAlign w:val="superscript"/>
        </w:rPr>
        <w:t>(10)</w:t>
      </w:r>
      <w:r>
        <w:rPr>
          <w:rFonts w:ascii="Calibri" w:hAnsi="Calibri"/>
          <w:sz w:val="22"/>
        </w:rPr>
        <w:t xml:space="preserve"> Pojem obchodní dům se vztahuje jak na malé nezávislé obchody, tak na část pro komerční použití, která se v nákupních centrech běžně nepoužívá.“</w:t>
      </w:r>
    </w:p>
    <w:p w14:paraId="5C482135" w14:textId="77777777" w:rsidR="000760AB" w:rsidRPr="000760AB" w:rsidRDefault="000760AB" w:rsidP="000760AB">
      <w:pPr>
        <w:numPr>
          <w:ilvl w:val="0"/>
          <w:numId w:val="17"/>
        </w:numPr>
        <w:spacing w:after="160" w:line="257" w:lineRule="auto"/>
        <w:ind w:left="284" w:firstLine="0"/>
        <w:contextualSpacing/>
        <w:jc w:val="both"/>
        <w:rPr>
          <w:rFonts w:ascii="Calibri" w:eastAsia="Arial" w:hAnsi="Calibri" w:cs="Calibri"/>
          <w:kern w:val="2"/>
          <w:sz w:val="22"/>
        </w:rPr>
      </w:pPr>
      <w:r>
        <w:rPr>
          <w:rFonts w:ascii="Calibri" w:hAnsi="Calibri"/>
          <w:sz w:val="22"/>
        </w:rPr>
        <w:t xml:space="preserve">V sekci HE 3 oddíle 3.3 Kontrolní a regulační systémy se v odstavci 2 slova „…může být nahrazen jednou z těchto dvou možností: </w:t>
      </w:r>
    </w:p>
    <w:p w14:paraId="562ED3C8" w14:textId="77777777" w:rsidR="000760AB" w:rsidRPr="000760AB" w:rsidRDefault="000760AB" w:rsidP="000760AB">
      <w:pPr>
        <w:spacing w:after="160" w:line="257" w:lineRule="auto"/>
        <w:ind w:left="284"/>
        <w:contextualSpacing/>
        <w:jc w:val="both"/>
        <w:rPr>
          <w:rFonts w:ascii="Calibri" w:eastAsia="Arial" w:hAnsi="Calibri" w:cs="Calibri"/>
          <w:kern w:val="2"/>
          <w:sz w:val="22"/>
        </w:rPr>
      </w:pPr>
      <w:r>
        <w:rPr>
          <w:rFonts w:ascii="Calibri" w:hAnsi="Calibri"/>
          <w:sz w:val="22"/>
        </w:rPr>
        <w:t xml:space="preserve">— řízení aktivace a deaktivace pomocí systému včasné detekce přítomnosti nebo </w:t>
      </w:r>
    </w:p>
    <w:p w14:paraId="5D7F7E37" w14:textId="77777777" w:rsidR="000760AB" w:rsidRPr="000760AB" w:rsidRDefault="000760AB" w:rsidP="000760AB">
      <w:pPr>
        <w:spacing w:line="257" w:lineRule="auto"/>
        <w:ind w:left="284"/>
        <w:contextualSpacing/>
        <w:jc w:val="both"/>
        <w:rPr>
          <w:rFonts w:ascii="Calibri" w:eastAsia="Arial" w:hAnsi="Calibri" w:cs="Calibri"/>
          <w:kern w:val="2"/>
          <w:sz w:val="22"/>
        </w:rPr>
      </w:pPr>
      <w:r>
        <w:rPr>
          <w:rFonts w:ascii="Calibri" w:hAnsi="Calibri"/>
          <w:sz w:val="22"/>
        </w:rPr>
        <w:t>— systém načasování pomocí tlačítek.“</w:t>
      </w:r>
    </w:p>
    <w:p w14:paraId="7F19E6A8" w14:textId="77777777" w:rsidR="000760AB" w:rsidRPr="000760AB" w:rsidRDefault="000760AB" w:rsidP="000760AB">
      <w:pPr>
        <w:spacing w:line="257" w:lineRule="auto"/>
        <w:ind w:left="284"/>
        <w:jc w:val="both"/>
        <w:rPr>
          <w:rFonts w:ascii="Calibri" w:eastAsia="Arial" w:hAnsi="Calibri" w:cs="Calibri"/>
          <w:kern w:val="2"/>
          <w:sz w:val="22"/>
        </w:rPr>
      </w:pPr>
      <w:r>
        <w:rPr>
          <w:rFonts w:ascii="Calibri" w:hAnsi="Calibri"/>
          <w:sz w:val="22"/>
        </w:rPr>
        <w:t xml:space="preserve">nahrazují slovy „…může být nahrazen jednou z těchto dvou možností: </w:t>
      </w:r>
    </w:p>
    <w:p w14:paraId="1FB2C3B4" w14:textId="77777777" w:rsidR="000760AB" w:rsidRPr="000760AB" w:rsidRDefault="000760AB" w:rsidP="000760AB">
      <w:pPr>
        <w:spacing w:line="257" w:lineRule="auto"/>
        <w:ind w:left="284"/>
        <w:jc w:val="both"/>
        <w:rPr>
          <w:rFonts w:ascii="Calibri" w:eastAsia="Arial" w:hAnsi="Calibri" w:cs="Calibri"/>
          <w:kern w:val="2"/>
          <w:sz w:val="22"/>
        </w:rPr>
      </w:pPr>
      <w:r>
        <w:rPr>
          <w:rFonts w:ascii="Calibri" w:hAnsi="Calibri"/>
          <w:sz w:val="22"/>
        </w:rPr>
        <w:t xml:space="preserve">— řízení aktivace a deaktivace pomocí </w:t>
      </w:r>
      <w:r>
        <w:rPr>
          <w:rFonts w:ascii="Calibri" w:hAnsi="Calibri"/>
          <w:i/>
          <w:sz w:val="22"/>
        </w:rPr>
        <w:t>systému včasné detekce přítomnosti</w:t>
      </w:r>
      <w:r>
        <w:rPr>
          <w:rFonts w:ascii="Calibri" w:hAnsi="Calibri"/>
          <w:sz w:val="22"/>
        </w:rPr>
        <w:t xml:space="preserve">, nebo </w:t>
      </w:r>
    </w:p>
    <w:p w14:paraId="280A8FDB" w14:textId="77777777" w:rsidR="000760AB" w:rsidRPr="000760AB" w:rsidRDefault="000760AB" w:rsidP="000760AB">
      <w:pPr>
        <w:spacing w:line="257" w:lineRule="auto"/>
        <w:ind w:left="284"/>
        <w:jc w:val="both"/>
        <w:rPr>
          <w:rFonts w:ascii="Calibri" w:eastAsia="Arial" w:hAnsi="Calibri" w:cs="Calibri"/>
          <w:kern w:val="2"/>
          <w:sz w:val="22"/>
        </w:rPr>
      </w:pPr>
      <w:r>
        <w:rPr>
          <w:rFonts w:ascii="Calibri" w:hAnsi="Calibri"/>
          <w:sz w:val="22"/>
        </w:rPr>
        <w:t xml:space="preserve">— </w:t>
      </w:r>
      <w:r>
        <w:rPr>
          <w:rFonts w:ascii="Calibri" w:hAnsi="Calibri"/>
          <w:i/>
          <w:sz w:val="22"/>
        </w:rPr>
        <w:t>systém odpočítávání času</w:t>
      </w:r>
      <w:r>
        <w:rPr>
          <w:rFonts w:ascii="Calibri" w:hAnsi="Calibri"/>
          <w:sz w:val="22"/>
        </w:rPr>
        <w:t xml:space="preserve"> pomocí tlačítka.“</w:t>
      </w:r>
    </w:p>
    <w:p w14:paraId="383D98A1" w14:textId="77777777" w:rsidR="000760AB" w:rsidRPr="000760AB" w:rsidRDefault="000760AB" w:rsidP="000760AB">
      <w:pPr>
        <w:spacing w:line="257" w:lineRule="auto"/>
        <w:ind w:left="284"/>
        <w:jc w:val="both"/>
        <w:rPr>
          <w:rFonts w:ascii="Calibri" w:eastAsia="Arial" w:hAnsi="Calibri" w:cs="Calibri"/>
          <w:kern w:val="2"/>
          <w:sz w:val="22"/>
          <w:lang w:eastAsia="zh-CN" w:bidi="hi-IN"/>
        </w:rPr>
      </w:pPr>
    </w:p>
    <w:p w14:paraId="2E152AB0" w14:textId="77777777" w:rsidR="000760AB" w:rsidRPr="000760AB" w:rsidRDefault="000760AB" w:rsidP="000760AB">
      <w:pPr>
        <w:numPr>
          <w:ilvl w:val="0"/>
          <w:numId w:val="17"/>
        </w:numPr>
        <w:spacing w:after="160" w:line="257" w:lineRule="auto"/>
        <w:ind w:left="284" w:firstLine="0"/>
        <w:contextualSpacing/>
        <w:jc w:val="both"/>
        <w:rPr>
          <w:rFonts w:ascii="Calibri" w:eastAsia="Arial" w:hAnsi="Calibri" w:cs="Calibri"/>
          <w:kern w:val="2"/>
          <w:sz w:val="22"/>
        </w:rPr>
      </w:pPr>
      <w:r>
        <w:rPr>
          <w:rFonts w:ascii="Calibri" w:hAnsi="Calibri"/>
          <w:sz w:val="22"/>
        </w:rPr>
        <w:t xml:space="preserve">V sekci HE 3 oddílu 4 Odůvodnění požadavku odst. 1 písm. b) se slova „…účinnost použitých </w:t>
      </w:r>
      <w:r>
        <w:rPr>
          <w:rFonts w:ascii="Calibri" w:hAnsi="Calibri"/>
          <w:i/>
          <w:sz w:val="22"/>
        </w:rPr>
        <w:t xml:space="preserve"> světelných zdrojů</w:t>
      </w:r>
      <w:r>
        <w:rPr>
          <w:rFonts w:ascii="Calibri" w:hAnsi="Calibri"/>
          <w:sz w:val="22"/>
        </w:rPr>
        <w:t xml:space="preserve"> (z hlediska lum/W)“ se nahrazují slovy „…účinnost použitých </w:t>
      </w:r>
      <w:r>
        <w:rPr>
          <w:rFonts w:ascii="Calibri" w:hAnsi="Calibri"/>
          <w:i/>
          <w:sz w:val="22"/>
        </w:rPr>
        <w:t>světelných zdrojů</w:t>
      </w:r>
      <w:r>
        <w:rPr>
          <w:rFonts w:ascii="Calibri" w:hAnsi="Calibri"/>
          <w:sz w:val="22"/>
        </w:rPr>
        <w:t xml:space="preserve"> (z hlediska lm/W)“</w:t>
      </w:r>
    </w:p>
    <w:p w14:paraId="7D135F60" w14:textId="77777777" w:rsidR="000760AB" w:rsidRPr="000760AB" w:rsidRDefault="000760AB" w:rsidP="000760AB">
      <w:pPr>
        <w:spacing w:after="160" w:line="257" w:lineRule="auto"/>
        <w:ind w:left="284"/>
        <w:contextualSpacing/>
        <w:jc w:val="both"/>
        <w:rPr>
          <w:rFonts w:ascii="Calibri" w:eastAsia="Arial" w:hAnsi="Calibri" w:cs="Calibri"/>
          <w:kern w:val="2"/>
          <w:sz w:val="22"/>
          <w:lang w:eastAsia="zh-CN" w:bidi="hi-IN"/>
        </w:rPr>
      </w:pPr>
    </w:p>
    <w:p w14:paraId="6B3EE3FA" w14:textId="77777777" w:rsidR="000760AB" w:rsidRPr="000760AB" w:rsidRDefault="000760AB" w:rsidP="000760AB">
      <w:pPr>
        <w:numPr>
          <w:ilvl w:val="0"/>
          <w:numId w:val="17"/>
        </w:numPr>
        <w:spacing w:after="160" w:line="257" w:lineRule="auto"/>
        <w:ind w:left="284" w:firstLine="0"/>
        <w:contextualSpacing/>
        <w:jc w:val="both"/>
        <w:rPr>
          <w:rFonts w:ascii="Calibri" w:eastAsia="Arial" w:hAnsi="Calibri" w:cs="Calibri"/>
          <w:kern w:val="2"/>
          <w:sz w:val="22"/>
        </w:rPr>
      </w:pPr>
      <w:r>
        <w:rPr>
          <w:rFonts w:ascii="Calibri" w:hAnsi="Calibri"/>
          <w:sz w:val="22"/>
        </w:rPr>
        <w:t>V sekci HE 4 oddílu 2 Popis požadavku se odstavec 1 mění takto:</w:t>
      </w:r>
    </w:p>
    <w:p w14:paraId="66BCE2A2" w14:textId="77777777" w:rsidR="000760AB" w:rsidRPr="000760AB" w:rsidRDefault="000760AB" w:rsidP="000760AB">
      <w:pPr>
        <w:spacing w:after="160" w:line="257" w:lineRule="auto"/>
        <w:ind w:left="709"/>
        <w:contextualSpacing/>
        <w:jc w:val="both"/>
        <w:rPr>
          <w:rFonts w:ascii="Calibri" w:eastAsia="Arial" w:hAnsi="Calibri" w:cs="Calibri"/>
          <w:kern w:val="2"/>
          <w:sz w:val="22"/>
          <w:lang w:eastAsia="zh-CN" w:bidi="hi-IN"/>
        </w:rPr>
      </w:pPr>
    </w:p>
    <w:p w14:paraId="774F4195" w14:textId="77777777" w:rsidR="000760AB" w:rsidRPr="000760AB" w:rsidRDefault="000760AB" w:rsidP="000760AB">
      <w:pPr>
        <w:spacing w:after="160" w:line="257" w:lineRule="auto"/>
        <w:ind w:left="284"/>
        <w:jc w:val="both"/>
        <w:rPr>
          <w:rFonts w:ascii="Calibri" w:eastAsia="Arial" w:hAnsi="Calibri" w:cs="Calibri"/>
          <w:kern w:val="2"/>
          <w:sz w:val="22"/>
        </w:rPr>
      </w:pPr>
      <w:r>
        <w:rPr>
          <w:rFonts w:ascii="Calibri" w:hAnsi="Calibri"/>
          <w:sz w:val="22"/>
        </w:rPr>
        <w:t xml:space="preserve">„1 Budovy musí do značné míry splňovat potřeby v oblasti teplé užitkové vody a ohřevu vody pro vyhřívané vnitřní bazény využitím </w:t>
      </w:r>
      <w:r>
        <w:rPr>
          <w:rFonts w:ascii="Calibri" w:hAnsi="Calibri"/>
          <w:i/>
          <w:sz w:val="22"/>
        </w:rPr>
        <w:t>energie z obnovitelných zdrojů</w:t>
      </w:r>
      <w:r>
        <w:rPr>
          <w:rFonts w:ascii="Calibri" w:hAnsi="Calibri"/>
          <w:sz w:val="22"/>
        </w:rPr>
        <w:t xml:space="preserve"> nebo procesů kombinované výroby tepla a elektřiny z obnovitelných zdrojů; generované buď v samotné budově, nebo prostřednictvím připojení k </w:t>
      </w:r>
      <w:r>
        <w:rPr>
          <w:rFonts w:ascii="Calibri" w:hAnsi="Calibri"/>
          <w:i/>
          <w:sz w:val="22"/>
        </w:rPr>
        <w:t>soustavě dálkového vytápění</w:t>
      </w:r>
      <w:r>
        <w:rPr>
          <w:rFonts w:ascii="Calibri" w:hAnsi="Calibri"/>
          <w:sz w:val="22"/>
        </w:rPr>
        <w:t>.“</w:t>
      </w:r>
    </w:p>
    <w:p w14:paraId="3693DE13"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 xml:space="preserve"> V sekci HE 4 oddílu 3 Kvantifikace požadavku oddílu 3.1 Minimální podíl z obnovitelných zdrojů pro teplou užitkovou vodu a/nebo vytápění bazénů odstavci 4 se slova: </w:t>
      </w:r>
      <w:bookmarkStart w:id="3" w:name="_Hlk96945986"/>
      <w:r>
        <w:rPr>
          <w:rFonts w:ascii="Calibri" w:hAnsi="Calibri"/>
          <w:sz w:val="22"/>
        </w:rPr>
        <w:t>„…</w:t>
      </w:r>
      <w:bookmarkEnd w:id="3"/>
      <w:r>
        <w:rPr>
          <w:rFonts w:ascii="Calibri" w:hAnsi="Calibri"/>
          <w:sz w:val="22"/>
        </w:rPr>
        <w:t>více než 2,5, pokud řízení zajišťuje elektřina a větší než 1,15, pokud řízení zajišťuje tepelná energie…“, nahrazují slovy „… rovná se 2,5 nebo více, pokud řízení zajišťuje elektřina, a rovná se 1,15 nebo více, pokud řízení zajišťuje tepelná energie…“.</w:t>
      </w:r>
    </w:p>
    <w:p w14:paraId="61BB5CF0"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 xml:space="preserve">V sekci HE 4 oddílu 3 Kvantifikace požadavku oddílu 3.1 Minimální podíl z obnovitelných zdrojů pro teplou vodu užitkovou a/nebo vytápění bazénů odstavci 5 se slova: „… obytné budovy…“ nahrazují slovy „… budovy pro </w:t>
      </w:r>
      <w:r>
        <w:rPr>
          <w:rFonts w:ascii="Calibri" w:hAnsi="Calibri"/>
          <w:i/>
          <w:sz w:val="22"/>
        </w:rPr>
        <w:t>soukromé bydlení</w:t>
      </w:r>
      <w:r>
        <w:rPr>
          <w:rFonts w:ascii="Calibri" w:hAnsi="Calibri"/>
          <w:sz w:val="22"/>
        </w:rPr>
        <w:t>…“.</w:t>
      </w:r>
    </w:p>
    <w:p w14:paraId="6BE93B73" w14:textId="77777777" w:rsidR="000760AB" w:rsidRPr="000760AB" w:rsidRDefault="000760AB" w:rsidP="000760AB">
      <w:pPr>
        <w:numPr>
          <w:ilvl w:val="0"/>
          <w:numId w:val="17"/>
        </w:numPr>
        <w:spacing w:after="160" w:line="259" w:lineRule="auto"/>
        <w:ind w:left="284" w:firstLine="0"/>
        <w:jc w:val="both"/>
        <w:rPr>
          <w:rFonts w:ascii="Calibri" w:eastAsia="Calibri" w:hAnsi="Calibri" w:cs="Calibri"/>
          <w:sz w:val="22"/>
          <w:szCs w:val="22"/>
        </w:rPr>
      </w:pPr>
      <w:r>
        <w:rPr>
          <w:rFonts w:ascii="Calibri" w:hAnsi="Calibri"/>
          <w:sz w:val="22"/>
        </w:rPr>
        <w:t xml:space="preserve">V sekci HE 4 se před oddíl „5.1. „Provedení“ vkládají slova „5. Výstavba, údržba a udržování" jako název. </w:t>
      </w:r>
    </w:p>
    <w:p w14:paraId="6D9AA9EE" w14:textId="77777777" w:rsidR="000760AB" w:rsidRPr="000760AB" w:rsidRDefault="000760AB" w:rsidP="000760AB">
      <w:pPr>
        <w:numPr>
          <w:ilvl w:val="0"/>
          <w:numId w:val="17"/>
        </w:numPr>
        <w:spacing w:after="160" w:line="259" w:lineRule="auto"/>
        <w:ind w:left="284" w:firstLine="0"/>
        <w:jc w:val="both"/>
        <w:rPr>
          <w:rFonts w:ascii="Calibri" w:eastAsia="Calibri" w:hAnsi="Calibri" w:cs="Calibri"/>
          <w:sz w:val="22"/>
          <w:szCs w:val="22"/>
        </w:rPr>
      </w:pPr>
      <w:r>
        <w:rPr>
          <w:rFonts w:ascii="Calibri" w:hAnsi="Calibri"/>
          <w:sz w:val="22"/>
        </w:rPr>
        <w:t xml:space="preserve">V sekci HE 5 se název „Sekce HE 5 Minimální výroba elektrické energie“ nahrazuje názvem „Sekce HE 5 </w:t>
      </w:r>
      <w:bookmarkStart w:id="4" w:name="_Hlk92123384"/>
      <w:r>
        <w:rPr>
          <w:rFonts w:ascii="Calibri" w:hAnsi="Calibri"/>
          <w:sz w:val="22"/>
        </w:rPr>
        <w:t>Minimální výroba elektrické energie</w:t>
      </w:r>
      <w:bookmarkEnd w:id="4"/>
      <w:r>
        <w:t xml:space="preserve"> </w:t>
      </w:r>
      <w:r>
        <w:rPr>
          <w:rFonts w:ascii="Calibri" w:hAnsi="Calibri"/>
          <w:sz w:val="22"/>
        </w:rPr>
        <w:t>z obnovitelných zdrojů.“</w:t>
      </w:r>
    </w:p>
    <w:p w14:paraId="6175F2BD" w14:textId="77777777" w:rsidR="000760AB" w:rsidRPr="000760AB" w:rsidRDefault="000760AB" w:rsidP="000760AB">
      <w:pPr>
        <w:numPr>
          <w:ilvl w:val="0"/>
          <w:numId w:val="17"/>
        </w:numPr>
        <w:spacing w:after="160" w:line="259" w:lineRule="auto"/>
        <w:ind w:left="284" w:firstLine="0"/>
        <w:jc w:val="both"/>
        <w:rPr>
          <w:rFonts w:ascii="Calibri" w:eastAsia="Calibri" w:hAnsi="Calibri" w:cs="Calibri"/>
          <w:sz w:val="22"/>
          <w:szCs w:val="22"/>
        </w:rPr>
      </w:pPr>
      <w:r>
        <w:rPr>
          <w:rFonts w:ascii="Calibri" w:hAnsi="Calibri"/>
          <w:sz w:val="22"/>
        </w:rPr>
        <w:t xml:space="preserve">V sekci HE 5 se odstavec 1 „Oblast působnosti“ mění takto: </w:t>
      </w:r>
    </w:p>
    <w:p w14:paraId="04EE306E"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„1 Tato sekce se použije v těchto případech: </w:t>
      </w:r>
    </w:p>
    <w:p w14:paraId="40C4916D"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a) nově postavené budovy, pokud přesahují 1 000 m</w:t>
      </w:r>
      <w:r>
        <w:rPr>
          <w:rFonts w:ascii="Calibri" w:hAnsi="Calibri"/>
          <w:sz w:val="22"/>
          <w:vertAlign w:val="superscript"/>
        </w:rPr>
        <w:t>2</w:t>
      </w:r>
      <w:r>
        <w:rPr>
          <w:rFonts w:ascii="Calibri" w:hAnsi="Calibri"/>
          <w:sz w:val="22"/>
        </w:rPr>
        <w:t xml:space="preserve"> zastavěné plochy;</w:t>
      </w:r>
    </w:p>
    <w:p w14:paraId="500BD58B"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b) přístavby stávajících budov, kdy se zastavěná plocha zvětší o více než 1 000 m</w:t>
      </w:r>
      <w:r>
        <w:rPr>
          <w:rFonts w:ascii="Calibri" w:hAnsi="Calibri"/>
          <w:sz w:val="22"/>
          <w:vertAlign w:val="superscript"/>
        </w:rPr>
        <w:t>2</w:t>
      </w:r>
      <w:r>
        <w:rPr>
          <w:rFonts w:ascii="Calibri" w:hAnsi="Calibri"/>
          <w:sz w:val="22"/>
        </w:rPr>
        <w:t>.</w:t>
      </w:r>
    </w:p>
    <w:p w14:paraId="710C1241"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c) stávající budovy, které jsou kompletně zrekonstruovány, nebo u nichž dochází ke změně jejich charakteristického využití, pokud přesahují 1 000 m</w:t>
      </w:r>
      <w:r>
        <w:rPr>
          <w:rFonts w:ascii="Calibri" w:hAnsi="Calibri"/>
          <w:sz w:val="22"/>
          <w:vertAlign w:val="superscript"/>
        </w:rPr>
        <w:t>2</w:t>
      </w:r>
      <w:r>
        <w:rPr>
          <w:rFonts w:ascii="Calibri" w:hAnsi="Calibri"/>
          <w:sz w:val="22"/>
        </w:rPr>
        <w:t xml:space="preserve"> zastavěné plochy.</w:t>
      </w:r>
    </w:p>
    <w:p w14:paraId="772542DE"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Má se za to, že zastavěná plocha zahrnuje plochu parkovacích ploch uvnitř budovy a nezahrnuje společné venkovní prostory.“ </w:t>
      </w:r>
    </w:p>
    <w:p w14:paraId="6B833735" w14:textId="77777777" w:rsidR="000760AB" w:rsidRPr="000760AB" w:rsidRDefault="000760AB" w:rsidP="000760AB">
      <w:pPr>
        <w:numPr>
          <w:ilvl w:val="0"/>
          <w:numId w:val="17"/>
        </w:numPr>
        <w:spacing w:after="160" w:line="259" w:lineRule="auto"/>
        <w:ind w:left="284" w:firstLine="0"/>
        <w:jc w:val="both"/>
        <w:rPr>
          <w:rFonts w:ascii="Calibri" w:eastAsia="Calibri" w:hAnsi="Calibri" w:cs="Calibri"/>
          <w:sz w:val="22"/>
          <w:szCs w:val="22"/>
        </w:rPr>
      </w:pPr>
      <w:r>
        <w:rPr>
          <w:rFonts w:ascii="Calibri" w:hAnsi="Calibri"/>
          <w:sz w:val="22"/>
        </w:rPr>
        <w:t>V sekci HE 5 se první odstavec oddílu 2 „Popis požadavku“ mění takto:</w:t>
      </w:r>
    </w:p>
    <w:p w14:paraId="23E9D023"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„1 Budovy musí mít systémy výroby elektřiny z obnovitelných zdrojů pro svou vlastní potřebu nebo pro dodávky do sítě.“</w:t>
      </w:r>
    </w:p>
    <w:p w14:paraId="5BE28722" w14:textId="77777777" w:rsidR="000760AB" w:rsidRPr="000760AB" w:rsidRDefault="000760AB" w:rsidP="000760AB">
      <w:pPr>
        <w:numPr>
          <w:ilvl w:val="0"/>
          <w:numId w:val="17"/>
        </w:numPr>
        <w:spacing w:after="160" w:line="259" w:lineRule="auto"/>
        <w:ind w:left="284" w:firstLine="0"/>
        <w:contextualSpacing/>
        <w:jc w:val="both"/>
        <w:rPr>
          <w:rFonts w:ascii="Calibri" w:eastAsia="Calibri" w:hAnsi="Calibri" w:cs="Calibri"/>
          <w:sz w:val="22"/>
          <w:szCs w:val="22"/>
        </w:rPr>
      </w:pPr>
      <w:r>
        <w:rPr>
          <w:rFonts w:ascii="Calibri" w:hAnsi="Calibri"/>
          <w:sz w:val="22"/>
        </w:rPr>
        <w:t xml:space="preserve"> V sekci HE 5 se oddíl 3 „Kvantifikace požadavku“ mění takto:</w:t>
      </w:r>
    </w:p>
    <w:p w14:paraId="1C671AF1" w14:textId="77777777" w:rsidR="000760AB" w:rsidRPr="000760AB" w:rsidRDefault="000760AB" w:rsidP="000760AB">
      <w:pPr>
        <w:spacing w:before="60" w:after="160" w:line="259" w:lineRule="auto"/>
        <w:ind w:left="284"/>
        <w:jc w:val="both"/>
        <w:rPr>
          <w:rFonts w:ascii="Calibri" w:eastAsia="Arial" w:hAnsi="Calibri" w:cs="Calibri"/>
          <w:kern w:val="2"/>
          <w:sz w:val="22"/>
        </w:rPr>
      </w:pPr>
      <w:r>
        <w:rPr>
          <w:rFonts w:ascii="Calibri" w:hAnsi="Calibri"/>
          <w:sz w:val="22"/>
        </w:rPr>
        <w:t xml:space="preserve">„1 </w:t>
      </w:r>
      <w:r>
        <w:rPr>
          <w:rFonts w:ascii="Calibri" w:hAnsi="Calibri"/>
          <w:i/>
          <w:sz w:val="22"/>
        </w:rPr>
        <w:t>Minimální výkon k instalaci</w:t>
      </w:r>
      <w:r>
        <w:rPr>
          <w:rFonts w:ascii="Calibri" w:hAnsi="Calibri"/>
          <w:sz w:val="22"/>
        </w:rPr>
        <w:t xml:space="preserve"> P</w:t>
      </w:r>
      <w:r>
        <w:rPr>
          <w:rFonts w:ascii="Calibri" w:hAnsi="Calibri"/>
          <w:sz w:val="22"/>
          <w:vertAlign w:val="subscript"/>
        </w:rPr>
        <w:t>min</w:t>
      </w:r>
      <w:r>
        <w:rPr>
          <w:rFonts w:ascii="Calibri" w:hAnsi="Calibri"/>
          <w:sz w:val="22"/>
        </w:rPr>
        <w:t xml:space="preserve"> je nejnižší z výsledků z těchto dvou rovnic: </w:t>
      </w:r>
    </w:p>
    <w:p w14:paraId="3A813F22" w14:textId="77777777" w:rsidR="000760AB" w:rsidRPr="000760AB" w:rsidRDefault="000760AB" w:rsidP="000760AB">
      <w:pPr>
        <w:spacing w:before="60" w:after="160" w:line="259" w:lineRule="auto"/>
        <w:ind w:left="284"/>
        <w:jc w:val="both"/>
        <w:rPr>
          <w:rFonts w:ascii="Calibri" w:eastAsia="Arial" w:hAnsi="Calibri" w:cs="Calibri"/>
          <w:kern w:val="2"/>
          <w:sz w:val="22"/>
        </w:rPr>
      </w:pPr>
      <w:r>
        <w:rPr>
          <w:rFonts w:ascii="Calibri" w:hAnsi="Calibri"/>
          <w:sz w:val="22"/>
        </w:rPr>
        <w:t>P</w:t>
      </w:r>
      <w:r>
        <w:rPr>
          <w:rFonts w:ascii="Calibri" w:hAnsi="Calibri"/>
          <w:sz w:val="22"/>
          <w:vertAlign w:val="subscript"/>
        </w:rPr>
        <w:t>1</w:t>
      </w:r>
      <w:r>
        <w:rPr>
          <w:rFonts w:ascii="Calibri" w:hAnsi="Calibri"/>
          <w:sz w:val="22"/>
        </w:rPr>
        <w:t xml:space="preserve"> = F</w:t>
      </w:r>
      <w:r>
        <w:rPr>
          <w:rFonts w:ascii="Calibri" w:hAnsi="Calibri"/>
          <w:sz w:val="22"/>
          <w:vertAlign w:val="subscript"/>
        </w:rPr>
        <w:t>pr;el</w:t>
      </w:r>
      <w:r>
        <w:rPr>
          <w:rFonts w:ascii="Calibri" w:hAnsi="Calibri"/>
          <w:sz w:val="22"/>
        </w:rPr>
        <w:t>· S</w:t>
      </w:r>
    </w:p>
    <w:p w14:paraId="0B5FBBF1" w14:textId="77777777" w:rsidR="000760AB" w:rsidRPr="000760AB" w:rsidRDefault="000760AB" w:rsidP="000760AB">
      <w:pPr>
        <w:spacing w:before="60" w:after="160" w:line="259" w:lineRule="auto"/>
        <w:ind w:left="284"/>
        <w:jc w:val="both"/>
        <w:rPr>
          <w:rFonts w:ascii="Calibri" w:eastAsia="Arial" w:hAnsi="Calibri" w:cs="Calibri"/>
          <w:kern w:val="2"/>
          <w:sz w:val="22"/>
        </w:rPr>
      </w:pPr>
      <w:r>
        <w:rPr>
          <w:rFonts w:ascii="Calibri" w:hAnsi="Calibri"/>
          <w:sz w:val="22"/>
        </w:rPr>
        <w:t>P</w:t>
      </w:r>
      <w:r>
        <w:rPr>
          <w:rFonts w:ascii="Calibri" w:hAnsi="Calibri"/>
          <w:sz w:val="22"/>
          <w:vertAlign w:val="subscript"/>
        </w:rPr>
        <w:t>2</w:t>
      </w:r>
      <w:r>
        <w:rPr>
          <w:rFonts w:ascii="Calibri" w:hAnsi="Calibri"/>
          <w:sz w:val="22"/>
        </w:rPr>
        <w:t xml:space="preserve"> = 0,1 · (0,5 · S</w:t>
      </w:r>
      <w:r>
        <w:rPr>
          <w:rFonts w:ascii="Calibri" w:hAnsi="Calibri"/>
          <w:sz w:val="22"/>
          <w:vertAlign w:val="subscript"/>
        </w:rPr>
        <w:t>c</w:t>
      </w:r>
      <w:r>
        <w:rPr>
          <w:rFonts w:ascii="Calibri" w:hAnsi="Calibri"/>
          <w:sz w:val="22"/>
        </w:rPr>
        <w:t xml:space="preserve"> - S</w:t>
      </w:r>
      <w:r>
        <w:rPr>
          <w:rFonts w:ascii="Calibri" w:hAnsi="Calibri"/>
          <w:sz w:val="22"/>
          <w:vertAlign w:val="subscript"/>
        </w:rPr>
        <w:t>oc</w:t>
      </w:r>
      <w:r>
        <w:rPr>
          <w:rFonts w:ascii="Calibri" w:hAnsi="Calibri"/>
          <w:sz w:val="22"/>
        </w:rPr>
        <w:t xml:space="preserve"> )</w:t>
      </w:r>
    </w:p>
    <w:p w14:paraId="72B9D60D" w14:textId="77777777" w:rsidR="000760AB" w:rsidRPr="000760AB" w:rsidRDefault="000760AB" w:rsidP="000760AB">
      <w:pPr>
        <w:spacing w:before="60" w:after="160" w:line="259" w:lineRule="auto"/>
        <w:ind w:left="284"/>
        <w:jc w:val="both"/>
        <w:rPr>
          <w:rFonts w:ascii="Calibri" w:eastAsia="Arial" w:hAnsi="Calibri" w:cs="Calibri"/>
          <w:kern w:val="2"/>
          <w:sz w:val="22"/>
        </w:rPr>
      </w:pPr>
      <w:r>
        <w:rPr>
          <w:rFonts w:ascii="Calibri" w:hAnsi="Calibri"/>
          <w:sz w:val="22"/>
        </w:rPr>
        <w:t>kde:</w:t>
      </w:r>
    </w:p>
    <w:p w14:paraId="5E55B831" w14:textId="77777777" w:rsidR="000760AB" w:rsidRPr="000760AB" w:rsidRDefault="000760AB" w:rsidP="000760AB">
      <w:pPr>
        <w:spacing w:before="60" w:after="160" w:line="259" w:lineRule="auto"/>
        <w:ind w:left="284"/>
        <w:contextualSpacing/>
        <w:jc w:val="both"/>
        <w:rPr>
          <w:rFonts w:ascii="Calibri" w:eastAsia="Arial" w:hAnsi="Calibri" w:cs="Calibri"/>
          <w:kern w:val="2"/>
          <w:sz w:val="22"/>
        </w:rPr>
      </w:pPr>
      <w:r>
        <w:rPr>
          <w:rFonts w:ascii="Calibri" w:hAnsi="Calibri"/>
          <w:sz w:val="22"/>
        </w:rPr>
        <w:t>P</w:t>
      </w:r>
      <w:r>
        <w:rPr>
          <w:rFonts w:ascii="Calibri" w:hAnsi="Calibri"/>
          <w:sz w:val="22"/>
          <w:vertAlign w:val="subscript"/>
        </w:rPr>
        <w:t>min</w:t>
      </w:r>
      <w:r>
        <w:rPr>
          <w:rFonts w:ascii="Calibri" w:hAnsi="Calibri"/>
          <w:sz w:val="22"/>
        </w:rPr>
        <w:tab/>
      </w:r>
      <w:r>
        <w:rPr>
          <w:rFonts w:ascii="Calibri" w:hAnsi="Calibri"/>
          <w:i/>
          <w:sz w:val="22"/>
        </w:rPr>
        <w:t>výkon k instalaci</w:t>
      </w:r>
      <w:r>
        <w:rPr>
          <w:rFonts w:ascii="Calibri" w:hAnsi="Calibri"/>
          <w:sz w:val="22"/>
        </w:rPr>
        <w:t xml:space="preserve"> [kW];</w:t>
      </w:r>
    </w:p>
    <w:p w14:paraId="1988193A" w14:textId="77777777" w:rsidR="000760AB" w:rsidRPr="000760AB" w:rsidRDefault="000760AB" w:rsidP="000760AB">
      <w:pPr>
        <w:spacing w:before="60" w:after="160" w:line="259" w:lineRule="auto"/>
        <w:ind w:left="284"/>
        <w:contextualSpacing/>
        <w:jc w:val="both"/>
        <w:rPr>
          <w:rFonts w:ascii="Calibri" w:eastAsia="Arial" w:hAnsi="Calibri" w:cs="Calibri"/>
          <w:kern w:val="2"/>
          <w:sz w:val="22"/>
        </w:rPr>
      </w:pPr>
      <w:r>
        <w:rPr>
          <w:rFonts w:ascii="Calibri" w:hAnsi="Calibri"/>
          <w:sz w:val="22"/>
        </w:rPr>
        <w:t>F</w:t>
      </w:r>
      <w:r>
        <w:rPr>
          <w:rFonts w:ascii="Calibri" w:hAnsi="Calibri"/>
          <w:sz w:val="22"/>
          <w:vertAlign w:val="subscript"/>
        </w:rPr>
        <w:t>pr;e</w:t>
      </w:r>
      <w:r>
        <w:rPr>
          <w:rFonts w:ascii="Calibri" w:hAnsi="Calibri"/>
          <w:sz w:val="22"/>
        </w:rPr>
        <w:t>l</w:t>
      </w:r>
      <w:r>
        <w:rPr>
          <w:rFonts w:ascii="Calibri" w:hAnsi="Calibri"/>
          <w:sz w:val="22"/>
        </w:rPr>
        <w:tab/>
        <w:t>faktor výroby elektrické energie, který má hodnotu 0,005 pro soukromé obytné účely a 0,010 pro jiná použití [kW/m</w:t>
      </w:r>
      <w:r>
        <w:rPr>
          <w:rFonts w:ascii="Calibri" w:hAnsi="Calibri"/>
          <w:sz w:val="22"/>
          <w:vertAlign w:val="superscript"/>
        </w:rPr>
        <w:t>2</w:t>
      </w:r>
      <w:r>
        <w:rPr>
          <w:rFonts w:ascii="Calibri" w:hAnsi="Calibri"/>
          <w:sz w:val="22"/>
        </w:rPr>
        <w:t>];</w:t>
      </w:r>
    </w:p>
    <w:p w14:paraId="153C8F5A" w14:textId="77777777" w:rsidR="000760AB" w:rsidRPr="000760AB" w:rsidRDefault="000760AB" w:rsidP="000760AB">
      <w:pPr>
        <w:spacing w:before="60" w:after="160" w:line="259" w:lineRule="auto"/>
        <w:ind w:left="284"/>
        <w:contextualSpacing/>
        <w:jc w:val="both"/>
        <w:rPr>
          <w:rFonts w:ascii="Calibri" w:eastAsia="Arial" w:hAnsi="Calibri" w:cs="Calibri"/>
          <w:kern w:val="2"/>
          <w:sz w:val="22"/>
        </w:rPr>
      </w:pPr>
      <w:r>
        <w:rPr>
          <w:rFonts w:ascii="Calibri" w:hAnsi="Calibri"/>
          <w:sz w:val="22"/>
        </w:rPr>
        <w:t>S</w:t>
      </w:r>
      <w:r>
        <w:rPr>
          <w:rFonts w:ascii="Calibri" w:hAnsi="Calibri"/>
          <w:sz w:val="22"/>
        </w:rPr>
        <w:tab/>
        <w:t>povrch zastavěné plochy budovy [m</w:t>
      </w:r>
      <w:r>
        <w:rPr>
          <w:rFonts w:ascii="Calibri" w:hAnsi="Calibri"/>
          <w:sz w:val="22"/>
          <w:vertAlign w:val="superscript"/>
        </w:rPr>
        <w:t>2</w:t>
      </w:r>
      <w:r>
        <w:rPr>
          <w:rFonts w:ascii="Calibri" w:hAnsi="Calibri"/>
          <w:sz w:val="22"/>
        </w:rPr>
        <w:t>];</w:t>
      </w:r>
    </w:p>
    <w:p w14:paraId="4F543BE6" w14:textId="77777777" w:rsidR="000760AB" w:rsidRPr="000760AB" w:rsidRDefault="000760AB" w:rsidP="000760AB">
      <w:pPr>
        <w:spacing w:before="60" w:after="160" w:line="259" w:lineRule="auto"/>
        <w:ind w:left="284"/>
        <w:contextualSpacing/>
        <w:jc w:val="both"/>
        <w:rPr>
          <w:rFonts w:ascii="Calibri" w:eastAsia="Calibri" w:hAnsi="Calibri" w:cs="Calibri"/>
          <w:sz w:val="22"/>
          <w:szCs w:val="22"/>
        </w:rPr>
      </w:pPr>
      <w:r>
        <w:rPr>
          <w:rFonts w:ascii="Calibri" w:hAnsi="Calibri"/>
          <w:sz w:val="22"/>
        </w:rPr>
        <w:lastRenderedPageBreak/>
        <w:t>S</w:t>
      </w:r>
      <w:r>
        <w:rPr>
          <w:rFonts w:ascii="Calibri" w:hAnsi="Calibri"/>
          <w:sz w:val="22"/>
          <w:vertAlign w:val="subscript"/>
        </w:rPr>
        <w:t>c</w:t>
      </w:r>
      <w:r>
        <w:rPr>
          <w:rFonts w:ascii="Calibri" w:hAnsi="Calibri"/>
          <w:sz w:val="22"/>
        </w:rPr>
        <w:tab/>
        <w:t>povrchová plocha střechy nevhodné k provozu nebo přístupné pouze pro údržbu [m</w:t>
      </w:r>
      <w:r>
        <w:rPr>
          <w:rFonts w:ascii="Calibri" w:hAnsi="Calibri"/>
          <w:sz w:val="22"/>
          <w:vertAlign w:val="superscript"/>
        </w:rPr>
        <w:t>2</w:t>
      </w:r>
      <w:r>
        <w:rPr>
          <w:rFonts w:ascii="Calibri" w:hAnsi="Calibri"/>
          <w:sz w:val="22"/>
        </w:rPr>
        <w:t>];</w:t>
      </w:r>
    </w:p>
    <w:p w14:paraId="6D8AB5FA" w14:textId="77777777" w:rsidR="000760AB" w:rsidRPr="000760AB" w:rsidRDefault="000760AB" w:rsidP="000760AB">
      <w:pPr>
        <w:spacing w:before="60" w:after="160" w:line="259" w:lineRule="auto"/>
        <w:ind w:left="284"/>
        <w:jc w:val="both"/>
        <w:rPr>
          <w:rFonts w:ascii="Calibri" w:eastAsia="Arial" w:hAnsi="Calibri" w:cs="Calibri"/>
          <w:kern w:val="2"/>
          <w:sz w:val="22"/>
        </w:rPr>
      </w:pPr>
      <w:r>
        <w:rPr>
          <w:rFonts w:ascii="Calibri" w:hAnsi="Calibri"/>
          <w:sz w:val="22"/>
        </w:rPr>
        <w:t>S</w:t>
      </w:r>
      <w:r>
        <w:rPr>
          <w:rFonts w:ascii="Calibri" w:hAnsi="Calibri"/>
          <w:sz w:val="22"/>
          <w:vertAlign w:val="subscript"/>
        </w:rPr>
        <w:t>oc</w:t>
      </w:r>
      <w:r>
        <w:rPr>
          <w:rFonts w:ascii="Calibri" w:hAnsi="Calibri"/>
          <w:sz w:val="22"/>
        </w:rPr>
        <w:tab/>
        <w:t>povrchová plocha střechy nevhodné k provozu nebo přístupné pouze pro údržbu tepelných solárních kolektorů [m</w:t>
      </w:r>
      <w:r>
        <w:rPr>
          <w:rFonts w:ascii="Calibri" w:hAnsi="Calibri"/>
          <w:sz w:val="22"/>
          <w:vertAlign w:val="superscript"/>
        </w:rPr>
        <w:t>2</w:t>
      </w:r>
      <w:r>
        <w:rPr>
          <w:rFonts w:ascii="Calibri" w:hAnsi="Calibri"/>
          <w:sz w:val="22"/>
        </w:rPr>
        <w:t>].</w:t>
      </w:r>
    </w:p>
    <w:p w14:paraId="7D742656" w14:textId="77777777" w:rsidR="000760AB" w:rsidRPr="000760AB" w:rsidRDefault="000760AB" w:rsidP="000760AB">
      <w:pPr>
        <w:spacing w:after="160" w:line="259" w:lineRule="auto"/>
        <w:ind w:left="284"/>
        <w:jc w:val="both"/>
        <w:rPr>
          <w:rFonts w:ascii="Calibri" w:eastAsia="Arial" w:hAnsi="Calibri" w:cs="Calibri"/>
          <w:kern w:val="2"/>
          <w:sz w:val="22"/>
        </w:rPr>
      </w:pPr>
      <w:r>
        <w:rPr>
          <w:rFonts w:ascii="Calibri" w:hAnsi="Calibri"/>
          <w:sz w:val="22"/>
        </w:rPr>
        <w:t>2</w:t>
      </w:r>
      <w:r>
        <w:rPr>
          <w:rFonts w:ascii="Calibri" w:hAnsi="Calibri"/>
          <w:sz w:val="22"/>
        </w:rPr>
        <w:tab/>
        <w:t xml:space="preserve">V budovách, kde z městských nebo architektonických důvodů nebo z důvodu, že se jedná o úředně chráněné budovy, kde orgán, který uděluje úřední ochranu, určuje neměnné prvky, nelze dosáhnout minimálního </w:t>
      </w:r>
      <w:r>
        <w:rPr>
          <w:rFonts w:ascii="Calibri" w:hAnsi="Calibri"/>
          <w:i/>
          <w:sz w:val="22"/>
        </w:rPr>
        <w:t>výkonu k instalaci</w:t>
      </w:r>
      <w:r>
        <w:rPr>
          <w:rFonts w:ascii="Calibri" w:hAnsi="Calibri"/>
          <w:sz w:val="22"/>
        </w:rPr>
        <w:t>, musí být tato nemožnost odůvodněna analýzou různých alternativ a musí být přijato řešení, které dosáhne maximálního možného instalovaného výkonu.“</w:t>
      </w:r>
    </w:p>
    <w:p w14:paraId="6BEFAE72" w14:textId="77777777" w:rsidR="000760AB" w:rsidRPr="000760AB" w:rsidRDefault="000760AB" w:rsidP="000760AB">
      <w:pPr>
        <w:numPr>
          <w:ilvl w:val="0"/>
          <w:numId w:val="17"/>
        </w:numPr>
        <w:spacing w:before="60" w:after="160" w:line="259" w:lineRule="auto"/>
        <w:ind w:left="284" w:firstLine="0"/>
        <w:contextualSpacing/>
        <w:jc w:val="both"/>
        <w:rPr>
          <w:rFonts w:ascii="Calibri" w:eastAsia="Arial" w:hAnsi="Calibri" w:cs="Calibri"/>
          <w:kern w:val="2"/>
          <w:sz w:val="22"/>
        </w:rPr>
      </w:pPr>
      <w:r>
        <w:rPr>
          <w:rFonts w:ascii="Calibri" w:hAnsi="Calibri"/>
          <w:sz w:val="22"/>
        </w:rPr>
        <w:t>V sekci HE 5 se v oddíle 4 „Odůvodnění požadavku“ doplňují slova:</w:t>
      </w:r>
    </w:p>
    <w:p w14:paraId="65043955" w14:textId="77777777" w:rsidR="000760AB" w:rsidRPr="000760AB" w:rsidRDefault="000760AB" w:rsidP="000760AB">
      <w:pPr>
        <w:spacing w:after="160" w:line="259" w:lineRule="auto"/>
        <w:ind w:left="284"/>
        <w:jc w:val="both"/>
        <w:rPr>
          <w:rFonts w:ascii="Calibri" w:eastAsia="Arial" w:hAnsi="Calibri" w:cs="Calibri"/>
          <w:kern w:val="2"/>
          <w:sz w:val="22"/>
        </w:rPr>
      </w:pPr>
      <w:r>
        <w:rPr>
          <w:rFonts w:ascii="Calibri" w:hAnsi="Calibri"/>
          <w:sz w:val="22"/>
        </w:rPr>
        <w:t xml:space="preserve">c) pokud je to vhodné, důvody, které brání dosažení minimálního požadovaného </w:t>
      </w:r>
      <w:r>
        <w:rPr>
          <w:rFonts w:ascii="Calibri" w:hAnsi="Calibri"/>
          <w:i/>
          <w:sz w:val="22"/>
        </w:rPr>
        <w:t>výkonu k instalaci</w:t>
      </w:r>
      <w:r>
        <w:rPr>
          <w:rFonts w:ascii="Calibri" w:hAnsi="Calibri"/>
          <w:sz w:val="22"/>
        </w:rPr>
        <w:t>, analýza alternativ a přijaté řešení pro dosažení maximálního možného instalovaného výkonu.“</w:t>
      </w:r>
    </w:p>
    <w:p w14:paraId="6E185DB3"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ll) V základním dokumentu DB-HE „Úspora energie“ se doplňuje sekce HE 6 s názvem „Minimální </w:t>
      </w:r>
      <w:r>
        <w:rPr>
          <w:rFonts w:ascii="Calibri" w:hAnsi="Calibri"/>
          <w:i/>
          <w:sz w:val="22"/>
        </w:rPr>
        <w:t>počet zařízení infrastruktury pro nabíjení elektrických vozidel</w:t>
      </w:r>
      <w:r>
        <w:rPr>
          <w:rFonts w:ascii="Calibri" w:hAnsi="Calibri"/>
          <w:sz w:val="22"/>
        </w:rPr>
        <w:t xml:space="preserve">“ a tímto obsahem: </w:t>
      </w:r>
    </w:p>
    <w:p w14:paraId="1807669A" w14:textId="77FE9144" w:rsidR="000760AB" w:rsidRPr="000760AB" w:rsidRDefault="000760AB" w:rsidP="000760AB">
      <w:pPr>
        <w:keepNext/>
        <w:ind w:left="284"/>
        <w:outlineLvl w:val="0"/>
        <w:rPr>
          <w:rFonts w:ascii="Calibri" w:eastAsia="Arial" w:hAnsi="Calibri" w:cs="Calibri"/>
          <w:kern w:val="2"/>
          <w:sz w:val="22"/>
          <w:szCs w:val="22"/>
        </w:rPr>
      </w:pPr>
      <w:bookmarkStart w:id="5" w:name="_Toc530396161"/>
      <w:bookmarkStart w:id="6" w:name="_Toc530395282"/>
      <w:r>
        <w:rPr>
          <w:rFonts w:ascii="Calibri" w:hAnsi="Calibri"/>
          <w:sz w:val="22"/>
        </w:rPr>
        <w:t>„Sekce HE 6</w:t>
      </w:r>
      <w:r>
        <w:rPr>
          <w:rFonts w:ascii="Calibri" w:hAnsi="Calibri"/>
          <w:sz w:val="22"/>
        </w:rPr>
        <w:br/>
        <w:t xml:space="preserve">Minimální </w:t>
      </w:r>
      <w:r>
        <w:rPr>
          <w:rFonts w:ascii="Calibri" w:hAnsi="Calibri"/>
          <w:i/>
          <w:sz w:val="22"/>
        </w:rPr>
        <w:t>počet zařízení infrastruktury pro nabíjení elektrických vozidel</w:t>
      </w:r>
      <w:r>
        <w:rPr>
          <w:rFonts w:ascii="Calibri" w:hAnsi="Calibri"/>
          <w:sz w:val="22"/>
        </w:rPr>
        <w:br/>
      </w:r>
      <w:bookmarkEnd w:id="5"/>
      <w:bookmarkEnd w:id="6"/>
    </w:p>
    <w:p w14:paraId="6EF7E441" w14:textId="77777777" w:rsidR="000760AB" w:rsidRPr="000760AB" w:rsidRDefault="000760AB" w:rsidP="000760AB">
      <w:pPr>
        <w:keepNext/>
        <w:widowControl w:val="0"/>
        <w:suppressAutoHyphens/>
        <w:spacing w:before="300" w:after="100"/>
        <w:ind w:left="284"/>
        <w:textAlignment w:val="baseline"/>
        <w:outlineLvl w:val="1"/>
        <w:rPr>
          <w:rFonts w:ascii="Calibri" w:eastAsia="Noto Sans CJK SC Regular" w:hAnsi="Calibri" w:cs="Calibri"/>
          <w:kern w:val="2"/>
          <w:sz w:val="22"/>
          <w:szCs w:val="22"/>
        </w:rPr>
      </w:pPr>
      <w:bookmarkStart w:id="7" w:name="_Toc530396162"/>
      <w:bookmarkStart w:id="8" w:name="_Toc530395283"/>
      <w:r>
        <w:rPr>
          <w:rFonts w:ascii="Calibri" w:hAnsi="Calibri"/>
          <w:sz w:val="22"/>
        </w:rPr>
        <w:t>1 Oblast působnosti</w:t>
      </w:r>
      <w:bookmarkEnd w:id="7"/>
      <w:bookmarkEnd w:id="8"/>
    </w:p>
    <w:p w14:paraId="36FC884D" w14:textId="77777777" w:rsidR="000760AB" w:rsidRPr="000760AB" w:rsidRDefault="000760AB" w:rsidP="000760AB">
      <w:pPr>
        <w:spacing w:before="60" w:after="60"/>
        <w:ind w:left="284"/>
        <w:jc w:val="both"/>
        <w:rPr>
          <w:rFonts w:ascii="Calibri" w:eastAsia="Arial" w:hAnsi="Calibri" w:cs="Calibri"/>
          <w:kern w:val="2"/>
          <w:sz w:val="22"/>
          <w:szCs w:val="22"/>
        </w:rPr>
      </w:pPr>
      <w:r>
        <w:rPr>
          <w:rFonts w:ascii="Calibri" w:hAnsi="Calibri"/>
          <w:sz w:val="22"/>
        </w:rPr>
        <w:t>1</w:t>
      </w:r>
      <w:r>
        <w:rPr>
          <w:rFonts w:ascii="Calibri" w:hAnsi="Calibri"/>
          <w:sz w:val="22"/>
        </w:rPr>
        <w:tab/>
        <w:t>Požadavky stanovené v tomto oddíle se vztahují na budovy, které mají parkovací plochu uvnitř budovy nebo vně budovy, v těchto případech:</w:t>
      </w:r>
    </w:p>
    <w:p w14:paraId="1105C106" w14:textId="77777777" w:rsidR="000760AB" w:rsidRPr="000760AB" w:rsidRDefault="000760AB" w:rsidP="000760AB">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a) nově postavené budovy;</w:t>
      </w:r>
    </w:p>
    <w:p w14:paraId="24CACEDC" w14:textId="77777777" w:rsidR="000760AB" w:rsidRPr="000760AB" w:rsidRDefault="000760AB" w:rsidP="000760AB">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b) stávající budovy v těchto případech:</w:t>
      </w:r>
    </w:p>
    <w:p w14:paraId="136E92EF" w14:textId="77777777" w:rsidR="000760AB" w:rsidRPr="000760AB" w:rsidRDefault="000760AB" w:rsidP="00FD453F">
      <w:pPr>
        <w:numPr>
          <w:ilvl w:val="0"/>
          <w:numId w:val="33"/>
        </w:numPr>
        <w:suppressAutoHyphens/>
        <w:spacing w:before="60" w:after="60" w:line="259" w:lineRule="auto"/>
        <w:ind w:left="284" w:firstLine="0"/>
        <w:jc w:val="both"/>
        <w:textAlignment w:val="baseline"/>
        <w:rPr>
          <w:rFonts w:ascii="Calibri" w:eastAsia="Arial" w:hAnsi="Calibri" w:cs="Calibri"/>
          <w:kern w:val="2"/>
          <w:sz w:val="22"/>
          <w:szCs w:val="22"/>
        </w:rPr>
      </w:pPr>
      <w:r>
        <w:rPr>
          <w:rFonts w:ascii="Calibri" w:hAnsi="Calibri"/>
          <w:sz w:val="22"/>
        </w:rPr>
        <w:t>změny charakteristického užívání budovy;</w:t>
      </w:r>
    </w:p>
    <w:p w14:paraId="14079978" w14:textId="77777777" w:rsidR="000760AB" w:rsidRPr="000760AB" w:rsidRDefault="000760AB" w:rsidP="00FD453F">
      <w:pPr>
        <w:numPr>
          <w:ilvl w:val="0"/>
          <w:numId w:val="33"/>
        </w:numPr>
        <w:suppressAutoHyphens/>
        <w:spacing w:before="60" w:after="60" w:line="259" w:lineRule="auto"/>
        <w:ind w:left="284" w:firstLine="0"/>
        <w:jc w:val="both"/>
        <w:textAlignment w:val="baseline"/>
        <w:rPr>
          <w:rFonts w:ascii="Calibri" w:eastAsia="Arial" w:hAnsi="Calibri" w:cs="Calibri"/>
          <w:kern w:val="2"/>
          <w:sz w:val="22"/>
          <w:szCs w:val="22"/>
        </w:rPr>
      </w:pPr>
      <w:r>
        <w:rPr>
          <w:rFonts w:ascii="Calibri" w:hAnsi="Calibri"/>
          <w:sz w:val="22"/>
        </w:rPr>
        <w:t>rozšíření, v případech, které zahrnují zásahy do parkoviště a povrchové plochy nebo zastavěný objem jednotky nebo</w:t>
      </w:r>
      <w:r>
        <w:rPr>
          <w:rFonts w:ascii="Calibri" w:hAnsi="Calibri"/>
          <w:i/>
          <w:sz w:val="22"/>
        </w:rPr>
        <w:t xml:space="preserve"> jednotek použití</w:t>
      </w:r>
      <w:r>
        <w:rPr>
          <w:rFonts w:ascii="Calibri" w:hAnsi="Calibri"/>
          <w:sz w:val="22"/>
        </w:rPr>
        <w:t>, na kterých se zásah uskutečňuje, se zvyšuje o více než 10 % a zvětšená využitelná plocha je větší než 50 m</w:t>
      </w:r>
      <w:r>
        <w:rPr>
          <w:rFonts w:ascii="Calibri" w:hAnsi="Calibri"/>
          <w:sz w:val="22"/>
          <w:vertAlign w:val="superscript"/>
        </w:rPr>
        <w:t>2</w:t>
      </w:r>
      <w:r>
        <w:rPr>
          <w:rFonts w:ascii="Calibri" w:hAnsi="Calibri"/>
          <w:sz w:val="22"/>
        </w:rPr>
        <w:t>;</w:t>
      </w:r>
    </w:p>
    <w:p w14:paraId="02973E61" w14:textId="77777777" w:rsidR="000760AB" w:rsidRPr="000760AB" w:rsidRDefault="000760AB" w:rsidP="00FD453F">
      <w:pPr>
        <w:numPr>
          <w:ilvl w:val="0"/>
          <w:numId w:val="33"/>
        </w:numPr>
        <w:suppressAutoHyphens/>
        <w:spacing w:before="60" w:after="60" w:line="259" w:lineRule="auto"/>
        <w:ind w:left="284" w:firstLine="0"/>
        <w:jc w:val="both"/>
        <w:textAlignment w:val="baseline"/>
        <w:rPr>
          <w:rFonts w:ascii="Calibri" w:eastAsia="Arial" w:hAnsi="Calibri" w:cs="Calibri"/>
          <w:kern w:val="2"/>
          <w:sz w:val="22"/>
          <w:szCs w:val="22"/>
        </w:rPr>
      </w:pPr>
      <w:r>
        <w:rPr>
          <w:rFonts w:ascii="Calibri" w:hAnsi="Calibri"/>
          <w:sz w:val="22"/>
        </w:rPr>
        <w:t xml:space="preserve">renovace, které zahrnují zásahy do parkoviště a při nichž se renovuje více než 25 % celkové plochy konečného </w:t>
      </w:r>
      <w:r>
        <w:rPr>
          <w:rFonts w:ascii="Calibri" w:hAnsi="Calibri"/>
          <w:i/>
          <w:sz w:val="22"/>
        </w:rPr>
        <w:t>tepelného pláště</w:t>
      </w:r>
      <w:r>
        <w:rPr>
          <w:rFonts w:ascii="Calibri" w:hAnsi="Calibri"/>
          <w:sz w:val="22"/>
        </w:rPr>
        <w:t xml:space="preserve"> budovy;</w:t>
      </w:r>
    </w:p>
    <w:p w14:paraId="7F40C209" w14:textId="77777777" w:rsidR="000760AB" w:rsidRPr="000760AB" w:rsidRDefault="000760AB" w:rsidP="00FD453F">
      <w:pPr>
        <w:numPr>
          <w:ilvl w:val="0"/>
          <w:numId w:val="33"/>
        </w:numPr>
        <w:suppressAutoHyphens/>
        <w:spacing w:before="60" w:after="60" w:line="259" w:lineRule="auto"/>
        <w:ind w:left="284" w:firstLine="0"/>
        <w:jc w:val="both"/>
        <w:textAlignment w:val="baseline"/>
        <w:rPr>
          <w:rFonts w:ascii="Calibri" w:eastAsia="Arial" w:hAnsi="Calibri" w:cs="Calibri"/>
          <w:kern w:val="2"/>
          <w:sz w:val="22"/>
          <w:szCs w:val="22"/>
        </w:rPr>
      </w:pPr>
      <w:r>
        <w:rPr>
          <w:rFonts w:ascii="Calibri" w:hAnsi="Calibri"/>
          <w:sz w:val="22"/>
        </w:rPr>
        <w:t>zásahy do elektrické instalace budovy, které mají vliv na více než 50 % výkonu instalovaného v budově před zásahem, v případech, kdy se parkoviště nachází uvnitř budovy;</w:t>
      </w:r>
      <w:r>
        <w:rPr>
          <w:rFonts w:ascii="Calibri" w:hAnsi="Calibri"/>
          <w:sz w:val="22"/>
          <w:u w:color="FF0000"/>
        </w:rPr>
        <w:t>, za předpokladu, že stavebník provádějící takový zásah má právo takto na parkovišti jednat</w:t>
      </w:r>
      <w:r>
        <w:rPr>
          <w:rFonts w:ascii="Calibri" w:hAnsi="Calibri"/>
          <w:sz w:val="22"/>
        </w:rPr>
        <w:t>;</w:t>
      </w:r>
    </w:p>
    <w:p w14:paraId="7260D951" w14:textId="77777777" w:rsidR="000760AB" w:rsidRPr="000760AB" w:rsidRDefault="000760AB" w:rsidP="00FD453F">
      <w:pPr>
        <w:numPr>
          <w:ilvl w:val="0"/>
          <w:numId w:val="33"/>
        </w:numPr>
        <w:suppressAutoHyphens/>
        <w:spacing w:before="60" w:after="60" w:line="259" w:lineRule="auto"/>
        <w:ind w:left="284" w:firstLine="0"/>
        <w:jc w:val="both"/>
        <w:textAlignment w:val="baseline"/>
        <w:rPr>
          <w:rFonts w:ascii="Calibri" w:eastAsia="Arial" w:hAnsi="Calibri" w:cs="Calibri"/>
          <w:strike/>
          <w:kern w:val="2"/>
          <w:sz w:val="22"/>
          <w:szCs w:val="22"/>
        </w:rPr>
      </w:pPr>
      <w:r>
        <w:rPr>
          <w:rFonts w:ascii="Calibri" w:hAnsi="Calibri"/>
          <w:sz w:val="22"/>
        </w:rPr>
        <w:t>zásahy do elektrické instalace parkoviště ovlivňující více než 50 % výkonu instalovaného na parkovišti před zásahem.</w:t>
      </w:r>
    </w:p>
    <w:p w14:paraId="087DE78C" w14:textId="77777777" w:rsidR="000760AB" w:rsidRPr="000760AB" w:rsidRDefault="000760AB" w:rsidP="00FD453F">
      <w:pPr>
        <w:numPr>
          <w:ilvl w:val="0"/>
          <w:numId w:val="34"/>
        </w:numPr>
        <w:suppressAutoHyphens/>
        <w:spacing w:before="60" w:after="60" w:line="259" w:lineRule="auto"/>
        <w:ind w:left="284" w:firstLine="0"/>
        <w:jc w:val="both"/>
        <w:textAlignment w:val="baseline"/>
        <w:rPr>
          <w:rFonts w:ascii="Calibri" w:eastAsia="Arial" w:hAnsi="Calibri" w:cs="Calibri"/>
          <w:kern w:val="2"/>
          <w:sz w:val="22"/>
          <w:szCs w:val="22"/>
        </w:rPr>
      </w:pPr>
      <w:r>
        <w:rPr>
          <w:rFonts w:ascii="Calibri" w:hAnsi="Calibri"/>
          <w:sz w:val="22"/>
        </w:rPr>
        <w:t>Do oblasti působnosti nespadají tyto prvky:</w:t>
      </w:r>
    </w:p>
    <w:p w14:paraId="6128A7B8" w14:textId="77777777" w:rsidR="000760AB" w:rsidRPr="000760AB" w:rsidRDefault="000760AB" w:rsidP="00FD453F">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a) budovy určené k jinému použití než k soukromému bydlení s parkovištěm s nejvýše 10 parkovacími místy;</w:t>
      </w:r>
    </w:p>
    <w:p w14:paraId="6FB73115" w14:textId="77777777" w:rsidR="000760AB" w:rsidRPr="000760AB" w:rsidRDefault="000760AB" w:rsidP="00FD453F">
      <w:pPr>
        <w:spacing w:before="60" w:after="60"/>
        <w:ind w:left="284"/>
        <w:jc w:val="both"/>
        <w:rPr>
          <w:rFonts w:ascii="Calibri" w:hAnsi="Calibri" w:cs="Calibri"/>
          <w:sz w:val="22"/>
          <w:szCs w:val="22"/>
        </w:rPr>
      </w:pPr>
      <w:r>
        <w:rPr>
          <w:rFonts w:ascii="Calibri" w:hAnsi="Calibri"/>
          <w:sz w:val="22"/>
        </w:rPr>
        <w:t xml:space="preserve">b) stávající budovy určené k jinému použití než k soukromému bydlení s parkovací plochou nejvýše 20 parkovacích míst a stávající budovy pro </w:t>
      </w:r>
      <w:r>
        <w:rPr>
          <w:rFonts w:ascii="Calibri" w:hAnsi="Calibri"/>
          <w:i/>
          <w:sz w:val="22"/>
        </w:rPr>
        <w:t>soukromé bydlení</w:t>
      </w:r>
      <w:r>
        <w:rPr>
          <w:rFonts w:ascii="Calibri" w:hAnsi="Calibri"/>
          <w:sz w:val="22"/>
        </w:rPr>
        <w:t>, pokud v obou případech náklady na splnění tohoto odstavce převyšují 7 % nákladů na rozšíření, změnu využití nebo renovační zásah, což vede k povinnosti splnit požadavky. Za účelem stanovení výše uvedených nákladů na zásahy se zohledňují jejich skutečné a efektivní náklady, kterými se rozumí náklady na jejich fyzické provedení;</w:t>
      </w:r>
    </w:p>
    <w:p w14:paraId="61E2DA67" w14:textId="77777777" w:rsidR="000760AB" w:rsidRPr="000760AB" w:rsidRDefault="000760AB" w:rsidP="00FD453F">
      <w:pPr>
        <w:spacing w:before="60" w:after="60"/>
        <w:ind w:left="284"/>
        <w:jc w:val="both"/>
        <w:rPr>
          <w:rFonts w:ascii="Calibri" w:hAnsi="Calibri" w:cs="Calibri"/>
          <w:sz w:val="22"/>
          <w:szCs w:val="22"/>
        </w:rPr>
      </w:pPr>
      <w:r>
        <w:rPr>
          <w:rFonts w:ascii="Calibri" w:hAnsi="Calibri"/>
          <w:sz w:val="22"/>
        </w:rPr>
        <w:lastRenderedPageBreak/>
        <w:t>c) budovy, které jsou úředně chráněny, protože jsou součástí deklarovaného prostředí nebo z důvodu jejich zvláštní architektonické nebo historické hodnoty, jsou z těchto povinností vyloučeny, pokud by splnění požadavků stanovených v této části mohlo nepřiměřeně změnit jejich charakter nebo vzhled, přičemž neměnné prvky určí orgán pro úřední ochranu.</w:t>
      </w:r>
      <w:bookmarkStart w:id="9" w:name="_Toc530396163"/>
      <w:bookmarkStart w:id="10" w:name="_Toc530395284"/>
    </w:p>
    <w:p w14:paraId="56E19149" w14:textId="77777777" w:rsidR="000760AB" w:rsidRPr="000760AB" w:rsidRDefault="000760AB" w:rsidP="000760AB">
      <w:pPr>
        <w:spacing w:before="60" w:after="60"/>
        <w:ind w:left="567"/>
        <w:jc w:val="both"/>
        <w:rPr>
          <w:rFonts w:ascii="Calibri" w:hAnsi="Calibri" w:cs="Calibri"/>
          <w:sz w:val="22"/>
          <w:szCs w:val="22"/>
        </w:rPr>
      </w:pPr>
    </w:p>
    <w:p w14:paraId="268F7EA1" w14:textId="77777777" w:rsidR="000760AB" w:rsidRPr="000760AB" w:rsidRDefault="000760AB" w:rsidP="000760AB">
      <w:pPr>
        <w:spacing w:before="60" w:after="60"/>
        <w:ind w:left="284"/>
        <w:jc w:val="both"/>
        <w:rPr>
          <w:rFonts w:ascii="Calibri" w:hAnsi="Calibri" w:cs="Calibri"/>
          <w:sz w:val="22"/>
          <w:szCs w:val="22"/>
        </w:rPr>
      </w:pPr>
      <w:r>
        <w:rPr>
          <w:rFonts w:ascii="Calibri" w:hAnsi="Calibri"/>
          <w:sz w:val="22"/>
        </w:rPr>
        <w:t>2</w:t>
      </w:r>
      <w:r>
        <w:rPr>
          <w:rFonts w:ascii="Calibri" w:hAnsi="Calibri"/>
          <w:sz w:val="22"/>
        </w:rPr>
        <w:tab/>
        <w:t>Popis požadavku</w:t>
      </w:r>
      <w:bookmarkEnd w:id="9"/>
      <w:bookmarkEnd w:id="10"/>
    </w:p>
    <w:p w14:paraId="69F9A98C" w14:textId="77777777" w:rsidR="000760AB" w:rsidRPr="000760AB" w:rsidRDefault="000760AB" w:rsidP="000760AB">
      <w:pPr>
        <w:keepNext/>
        <w:widowControl w:val="0"/>
        <w:tabs>
          <w:tab w:val="left" w:pos="709"/>
        </w:tabs>
        <w:suppressAutoHyphens/>
        <w:spacing w:before="120" w:after="60"/>
        <w:ind w:left="284"/>
        <w:jc w:val="both"/>
        <w:textAlignment w:val="baseline"/>
        <w:outlineLvl w:val="1"/>
        <w:rPr>
          <w:rFonts w:ascii="Calibri" w:eastAsia="Noto Sans CJK SC Regular" w:hAnsi="Calibri" w:cs="Calibri"/>
          <w:kern w:val="2"/>
          <w:sz w:val="22"/>
          <w:szCs w:val="22"/>
        </w:rPr>
      </w:pPr>
      <w:r>
        <w:rPr>
          <w:rFonts w:ascii="Calibri" w:hAnsi="Calibri"/>
          <w:sz w:val="22"/>
        </w:rPr>
        <w:t>1</w:t>
      </w:r>
      <w:r>
        <w:rPr>
          <w:rFonts w:ascii="Calibri" w:hAnsi="Calibri"/>
          <w:sz w:val="22"/>
        </w:rPr>
        <w:tab/>
        <w:t xml:space="preserve">Budovy musí mít minimální infrastrukturu umožňující dobíjení </w:t>
      </w:r>
      <w:r>
        <w:rPr>
          <w:rFonts w:ascii="Calibri" w:hAnsi="Calibri"/>
          <w:i/>
          <w:sz w:val="22"/>
        </w:rPr>
        <w:t>elektrických vozidel</w:t>
      </w:r>
      <w:r>
        <w:rPr>
          <w:rFonts w:ascii="Calibri" w:hAnsi="Calibri"/>
          <w:sz w:val="22"/>
        </w:rPr>
        <w:t>.</w:t>
      </w:r>
    </w:p>
    <w:p w14:paraId="29EA4F81" w14:textId="77777777" w:rsidR="000760AB" w:rsidRPr="000760AB" w:rsidRDefault="000760AB" w:rsidP="000760AB">
      <w:pPr>
        <w:keepNext/>
        <w:widowControl w:val="0"/>
        <w:tabs>
          <w:tab w:val="left" w:pos="709"/>
        </w:tabs>
        <w:suppressAutoHyphens/>
        <w:spacing w:before="120" w:after="60"/>
        <w:ind w:left="284"/>
        <w:jc w:val="both"/>
        <w:textAlignment w:val="baseline"/>
        <w:outlineLvl w:val="1"/>
        <w:rPr>
          <w:rFonts w:ascii="Calibri" w:eastAsia="Noto Sans CJK SC Regular" w:hAnsi="Calibri" w:cs="Calibri"/>
          <w:kern w:val="2"/>
          <w:sz w:val="22"/>
          <w:szCs w:val="22"/>
        </w:rPr>
      </w:pPr>
      <w:r>
        <w:rPr>
          <w:rFonts w:ascii="Calibri" w:hAnsi="Calibri"/>
          <w:sz w:val="22"/>
        </w:rPr>
        <w:t>Tato</w:t>
      </w:r>
      <w:r>
        <w:rPr>
          <w:rFonts w:ascii="Calibri" w:hAnsi="Calibri"/>
          <w:i/>
          <w:sz w:val="22"/>
        </w:rPr>
        <w:t xml:space="preserve"> infrastruktura pro nabíjení elektrických vozidel</w:t>
      </w:r>
      <w:r>
        <w:rPr>
          <w:rFonts w:ascii="Calibri" w:hAnsi="Calibri"/>
          <w:sz w:val="22"/>
        </w:rPr>
        <w:t xml:space="preserve"> musí být v souladu s ustanoveními stávajícího předpisu pro nízkonapěťové elektrotechnické systémy a jeho dodatečného technického pokynu (ITC) BT 52 „Zařízení pro zvláštní účely. Infrastruktura pro nabíjení </w:t>
      </w:r>
      <w:r>
        <w:rPr>
          <w:rFonts w:ascii="Calibri" w:hAnsi="Calibri"/>
          <w:i/>
          <w:sz w:val="22"/>
        </w:rPr>
        <w:t>elektrických vozidel</w:t>
      </w:r>
      <w:r>
        <w:rPr>
          <w:rFonts w:ascii="Calibri" w:hAnsi="Calibri"/>
          <w:sz w:val="22"/>
        </w:rPr>
        <w:t>“.</w:t>
      </w:r>
      <w:bookmarkStart w:id="11" w:name="_Toc530396164"/>
      <w:bookmarkStart w:id="12" w:name="_Toc530395285"/>
    </w:p>
    <w:p w14:paraId="1CF8D411" w14:textId="77777777" w:rsidR="000760AB" w:rsidRPr="000760AB" w:rsidRDefault="000760AB" w:rsidP="000760AB">
      <w:pPr>
        <w:keepNext/>
        <w:widowControl w:val="0"/>
        <w:tabs>
          <w:tab w:val="left" w:pos="709"/>
        </w:tabs>
        <w:suppressAutoHyphens/>
        <w:spacing w:before="120" w:after="60"/>
        <w:ind w:left="284"/>
        <w:jc w:val="both"/>
        <w:textAlignment w:val="baseline"/>
        <w:outlineLvl w:val="1"/>
        <w:rPr>
          <w:rFonts w:ascii="Calibri" w:eastAsia="Noto Sans CJK SC Regular" w:hAnsi="Calibri" w:cs="Calibri"/>
          <w:kern w:val="2"/>
          <w:sz w:val="22"/>
          <w:szCs w:val="22"/>
          <w:lang w:eastAsia="zh-CN" w:bidi="hi-IN"/>
        </w:rPr>
      </w:pPr>
    </w:p>
    <w:p w14:paraId="10EC5F9A" w14:textId="77777777" w:rsidR="000760AB" w:rsidRPr="000760AB" w:rsidRDefault="000760AB" w:rsidP="000760AB">
      <w:pPr>
        <w:keepNext/>
        <w:widowControl w:val="0"/>
        <w:tabs>
          <w:tab w:val="left" w:pos="709"/>
        </w:tabs>
        <w:suppressAutoHyphens/>
        <w:spacing w:before="120" w:after="60"/>
        <w:ind w:left="284"/>
        <w:jc w:val="both"/>
        <w:textAlignment w:val="baseline"/>
        <w:outlineLvl w:val="1"/>
        <w:rPr>
          <w:rFonts w:ascii="Calibri" w:eastAsia="Noto Sans CJK SC Regular" w:hAnsi="Calibri" w:cs="Calibri"/>
          <w:kern w:val="2"/>
          <w:sz w:val="22"/>
          <w:szCs w:val="22"/>
        </w:rPr>
      </w:pPr>
      <w:r>
        <w:rPr>
          <w:rFonts w:ascii="Calibri" w:hAnsi="Calibri"/>
          <w:sz w:val="22"/>
        </w:rPr>
        <w:t>3</w:t>
      </w:r>
      <w:r>
        <w:rPr>
          <w:rFonts w:ascii="Calibri" w:hAnsi="Calibri"/>
          <w:sz w:val="22"/>
        </w:rPr>
        <w:tab/>
        <w:t>Kvantifikace požadavku</w:t>
      </w:r>
      <w:bookmarkEnd w:id="11"/>
      <w:bookmarkEnd w:id="12"/>
    </w:p>
    <w:p w14:paraId="571C5F1A" w14:textId="77777777" w:rsidR="000760AB" w:rsidRPr="000760AB" w:rsidRDefault="000760AB" w:rsidP="000760AB">
      <w:pPr>
        <w:spacing w:before="120" w:after="60"/>
        <w:ind w:left="284"/>
        <w:jc w:val="both"/>
        <w:rPr>
          <w:rFonts w:ascii="Calibri" w:hAnsi="Calibri" w:cs="Calibri"/>
          <w:sz w:val="22"/>
          <w:szCs w:val="22"/>
        </w:rPr>
      </w:pPr>
      <w:r>
        <w:rPr>
          <w:rFonts w:ascii="Calibri" w:hAnsi="Calibri"/>
          <w:sz w:val="22"/>
        </w:rPr>
        <w:t>1</w:t>
      </w:r>
      <w:r>
        <w:rPr>
          <w:rFonts w:ascii="Calibri" w:hAnsi="Calibri"/>
          <w:sz w:val="22"/>
        </w:rPr>
        <w:tab/>
        <w:t xml:space="preserve">V budovách pro </w:t>
      </w:r>
      <w:r>
        <w:rPr>
          <w:rFonts w:ascii="Calibri" w:hAnsi="Calibri"/>
          <w:i/>
          <w:sz w:val="22"/>
        </w:rPr>
        <w:t>soukromé bydlení</w:t>
      </w:r>
      <w:r>
        <w:rPr>
          <w:rFonts w:ascii="Calibri" w:hAnsi="Calibri"/>
          <w:sz w:val="22"/>
        </w:rPr>
        <w:t xml:space="preserve"> musí být instalovány systémy pro vedení kabelů, které umožní budoucí dodávání elektřiny do </w:t>
      </w:r>
      <w:r>
        <w:rPr>
          <w:rFonts w:ascii="Calibri" w:hAnsi="Calibri"/>
          <w:i/>
          <w:sz w:val="22"/>
        </w:rPr>
        <w:t>dobíjecích stanic</w:t>
      </w:r>
      <w:r>
        <w:rPr>
          <w:rFonts w:ascii="Calibri" w:hAnsi="Calibri"/>
          <w:sz w:val="22"/>
        </w:rPr>
        <w:t xml:space="preserve"> pro 100 % parkovacích míst.</w:t>
      </w:r>
    </w:p>
    <w:p w14:paraId="76793F36" w14:textId="77777777" w:rsidR="000760AB" w:rsidRPr="000760AB" w:rsidRDefault="000760AB" w:rsidP="000760AB">
      <w:pPr>
        <w:spacing w:before="120" w:after="60"/>
        <w:ind w:left="284"/>
        <w:jc w:val="both"/>
        <w:rPr>
          <w:rFonts w:ascii="Calibri" w:hAnsi="Calibri" w:cs="Calibri"/>
          <w:sz w:val="22"/>
          <w:szCs w:val="22"/>
        </w:rPr>
      </w:pPr>
      <w:r>
        <w:rPr>
          <w:rFonts w:ascii="Calibri" w:hAnsi="Calibri"/>
          <w:sz w:val="22"/>
        </w:rPr>
        <w:t>2</w:t>
      </w:r>
      <w:r>
        <w:rPr>
          <w:rFonts w:ascii="Calibri" w:hAnsi="Calibri"/>
          <w:sz w:val="22"/>
        </w:rPr>
        <w:tab/>
        <w:t xml:space="preserve">V budovách určených k jinému použití než k soukromému bydlení musí být instalovány systémy pro vedení kabelů, které umožní budoucí dodávání elektřiny do </w:t>
      </w:r>
      <w:r>
        <w:rPr>
          <w:rFonts w:ascii="Calibri" w:hAnsi="Calibri"/>
          <w:i/>
          <w:sz w:val="22"/>
        </w:rPr>
        <w:t>dobíjecích stanic</w:t>
      </w:r>
      <w:r>
        <w:rPr>
          <w:rFonts w:ascii="Calibri" w:hAnsi="Calibri"/>
          <w:sz w:val="22"/>
        </w:rPr>
        <w:t xml:space="preserve"> pro nejméně 20 % parkovacích míst.</w:t>
      </w:r>
    </w:p>
    <w:p w14:paraId="247AE17F" w14:textId="77777777" w:rsidR="000760AB" w:rsidRPr="000760AB" w:rsidRDefault="000760AB" w:rsidP="000760AB">
      <w:pPr>
        <w:spacing w:before="120" w:after="60"/>
        <w:ind w:left="284"/>
        <w:jc w:val="both"/>
        <w:rPr>
          <w:rFonts w:ascii="Calibri" w:hAnsi="Calibri" w:cs="Calibri"/>
          <w:sz w:val="22"/>
          <w:szCs w:val="22"/>
        </w:rPr>
      </w:pPr>
      <w:r>
        <w:rPr>
          <w:rFonts w:ascii="Calibri" w:hAnsi="Calibri"/>
          <w:sz w:val="22"/>
        </w:rPr>
        <w:t xml:space="preserve">Kromě toho musí být na každých 40 parkovacích míst nebo jejich část instalována </w:t>
      </w:r>
      <w:r>
        <w:rPr>
          <w:rFonts w:ascii="Calibri" w:hAnsi="Calibri"/>
          <w:i/>
          <w:sz w:val="22"/>
        </w:rPr>
        <w:t>dobíjecí stanice</w:t>
      </w:r>
      <w:r>
        <w:rPr>
          <w:rFonts w:ascii="Calibri" w:hAnsi="Calibri"/>
          <w:sz w:val="22"/>
        </w:rPr>
        <w:t>.</w:t>
      </w:r>
    </w:p>
    <w:p w14:paraId="192987C0" w14:textId="77777777" w:rsidR="000760AB" w:rsidRPr="000760AB" w:rsidRDefault="000760AB" w:rsidP="000760AB">
      <w:pPr>
        <w:spacing w:before="120" w:after="60"/>
        <w:ind w:left="284"/>
        <w:jc w:val="both"/>
        <w:rPr>
          <w:rFonts w:ascii="Calibri" w:hAnsi="Calibri" w:cs="Calibri"/>
          <w:sz w:val="22"/>
          <w:szCs w:val="22"/>
        </w:rPr>
      </w:pPr>
      <w:r>
        <w:rPr>
          <w:rFonts w:ascii="Calibri" w:hAnsi="Calibri"/>
          <w:sz w:val="22"/>
        </w:rPr>
        <w:t>V budovách určených k jinému použití než k soukromému bydlení vlastněných všeobecnou státní správou nebo veřejnými subjekty, které jsou s ní spojeny nebo jsou na ní závislé, musí být minimální počet zařízení vyšší, než je obecně stanovený minimální počet zařízení, přičemž na každých 20 parkovacích míst nebo jejich část musí být instalována</w:t>
      </w:r>
      <w:r>
        <w:rPr>
          <w:rFonts w:ascii="Calibri" w:hAnsi="Calibri"/>
          <w:color w:val="1F497D"/>
          <w:sz w:val="22"/>
        </w:rPr>
        <w:t xml:space="preserve"> </w:t>
      </w:r>
      <w:r>
        <w:rPr>
          <w:rFonts w:ascii="Calibri" w:hAnsi="Calibri"/>
          <w:sz w:val="22"/>
        </w:rPr>
        <w:t xml:space="preserve">jedna </w:t>
      </w:r>
      <w:r>
        <w:rPr>
          <w:rFonts w:ascii="Calibri" w:hAnsi="Calibri"/>
          <w:i/>
          <w:sz w:val="22"/>
        </w:rPr>
        <w:t>dobíjecí stanice</w:t>
      </w:r>
      <w:r>
        <w:rPr>
          <w:rFonts w:ascii="Calibri" w:hAnsi="Calibri"/>
          <w:sz w:val="22"/>
        </w:rPr>
        <w:t>.</w:t>
      </w:r>
    </w:p>
    <w:p w14:paraId="69499695" w14:textId="77777777" w:rsidR="000760AB" w:rsidRPr="000760AB" w:rsidRDefault="000760AB" w:rsidP="000760AB">
      <w:pPr>
        <w:spacing w:before="120" w:after="60"/>
        <w:ind w:left="284"/>
        <w:jc w:val="both"/>
        <w:rPr>
          <w:rFonts w:ascii="Calibri" w:hAnsi="Calibri" w:cs="Calibri"/>
          <w:sz w:val="22"/>
          <w:szCs w:val="22"/>
        </w:rPr>
      </w:pPr>
      <w:r>
        <w:rPr>
          <w:rFonts w:ascii="Calibri" w:hAnsi="Calibri"/>
          <w:sz w:val="22"/>
        </w:rPr>
        <w:t xml:space="preserve">V případě parkovišť s přístupnými parkovacími místy, jak je stanoveno v základním dokumentu o bezpečnosti při používání a přístupnosti (DB SUA), musí být na každých 5 přístupných parkovacích místech instalována jedna </w:t>
      </w:r>
      <w:r>
        <w:rPr>
          <w:rFonts w:ascii="Calibri" w:hAnsi="Calibri"/>
          <w:i/>
          <w:sz w:val="22"/>
        </w:rPr>
        <w:t>dobíjecí stanice</w:t>
      </w:r>
      <w:r>
        <w:rPr>
          <w:rFonts w:ascii="Calibri" w:hAnsi="Calibri"/>
          <w:sz w:val="22"/>
        </w:rPr>
        <w:t xml:space="preserve">. </w:t>
      </w:r>
      <w:r>
        <w:rPr>
          <w:rFonts w:ascii="Calibri" w:hAnsi="Calibri"/>
          <w:i/>
          <w:sz w:val="22"/>
        </w:rPr>
        <w:t>Dobíjecí stanice</w:t>
      </w:r>
      <w:r>
        <w:rPr>
          <w:rFonts w:ascii="Calibri" w:hAnsi="Calibri"/>
          <w:sz w:val="22"/>
        </w:rPr>
        <w:t xml:space="preserve"> u těchto míst se započítávají pro účely splnění kvantifikace požadavku.</w:t>
      </w:r>
    </w:p>
    <w:p w14:paraId="4722B70F" w14:textId="77777777" w:rsidR="000760AB" w:rsidRPr="000760AB" w:rsidRDefault="000760AB" w:rsidP="000760AB">
      <w:pPr>
        <w:spacing w:before="120" w:after="60"/>
        <w:ind w:left="284"/>
        <w:jc w:val="both"/>
        <w:rPr>
          <w:rFonts w:ascii="Calibri" w:hAnsi="Calibri" w:cs="Calibri"/>
          <w:sz w:val="22"/>
          <w:szCs w:val="22"/>
        </w:rPr>
      </w:pPr>
      <w:r>
        <w:rPr>
          <w:rFonts w:ascii="Calibri" w:hAnsi="Calibri"/>
          <w:sz w:val="22"/>
        </w:rPr>
        <w:t>3</w:t>
      </w:r>
      <w:r>
        <w:rPr>
          <w:rFonts w:ascii="Calibri" w:hAnsi="Calibri"/>
          <w:sz w:val="22"/>
        </w:rPr>
        <w:tab/>
        <w:t xml:space="preserve">Na budovy, které mají jednotky pro </w:t>
      </w:r>
      <w:r>
        <w:rPr>
          <w:rFonts w:ascii="Calibri" w:hAnsi="Calibri"/>
          <w:i/>
          <w:sz w:val="22"/>
        </w:rPr>
        <w:t xml:space="preserve">soukromé bydlení </w:t>
      </w:r>
      <w:r>
        <w:rPr>
          <w:rFonts w:ascii="Calibri" w:hAnsi="Calibri"/>
          <w:sz w:val="22"/>
        </w:rPr>
        <w:t>společně s jednotkami pro jiné použití, kde parkovací plochy spojené s jednotlivými druhy užívání nejsou jasně rozlišeny, se použije kritérium charakteristického užívání budovy.</w:t>
      </w:r>
      <w:bookmarkStart w:id="13" w:name="_Toc530396167"/>
      <w:bookmarkStart w:id="14" w:name="_Toc530395288"/>
    </w:p>
    <w:p w14:paraId="19D587A1" w14:textId="77777777" w:rsidR="000760AB" w:rsidRPr="000760AB" w:rsidRDefault="000760AB" w:rsidP="000760AB">
      <w:pPr>
        <w:spacing w:before="120" w:after="60"/>
        <w:ind w:left="567"/>
        <w:jc w:val="both"/>
        <w:rPr>
          <w:rFonts w:ascii="Calibri" w:hAnsi="Calibri" w:cs="Calibri"/>
          <w:sz w:val="22"/>
          <w:szCs w:val="22"/>
        </w:rPr>
      </w:pPr>
    </w:p>
    <w:p w14:paraId="2FC0E269" w14:textId="77777777" w:rsidR="000760AB" w:rsidRPr="000760AB" w:rsidRDefault="000760AB" w:rsidP="000760AB">
      <w:pPr>
        <w:spacing w:before="120" w:after="60"/>
        <w:ind w:left="284"/>
        <w:jc w:val="both"/>
        <w:rPr>
          <w:rFonts w:ascii="Calibri" w:hAnsi="Calibri" w:cs="Calibri"/>
          <w:sz w:val="22"/>
          <w:szCs w:val="22"/>
        </w:rPr>
      </w:pPr>
      <w:r>
        <w:rPr>
          <w:rFonts w:ascii="Calibri" w:hAnsi="Calibri"/>
          <w:sz w:val="22"/>
        </w:rPr>
        <w:t>4</w:t>
      </w:r>
      <w:r>
        <w:rPr>
          <w:rFonts w:ascii="Calibri" w:hAnsi="Calibri"/>
          <w:sz w:val="22"/>
        </w:rPr>
        <w:tab/>
        <w:t>Odůvodnění požadavku</w:t>
      </w:r>
      <w:bookmarkEnd w:id="13"/>
      <w:bookmarkEnd w:id="14"/>
    </w:p>
    <w:p w14:paraId="15BAB575" w14:textId="77777777" w:rsidR="000760AB" w:rsidRPr="000760AB" w:rsidRDefault="000760AB" w:rsidP="000760AB">
      <w:pPr>
        <w:spacing w:before="240" w:after="100"/>
        <w:ind w:left="284"/>
        <w:jc w:val="both"/>
        <w:rPr>
          <w:rFonts w:ascii="Calibri" w:eastAsia="Arial" w:hAnsi="Calibri" w:cs="Calibri"/>
          <w:kern w:val="2"/>
          <w:sz w:val="22"/>
          <w:szCs w:val="22"/>
        </w:rPr>
      </w:pPr>
      <w:r>
        <w:rPr>
          <w:rFonts w:ascii="Calibri" w:hAnsi="Calibri"/>
          <w:sz w:val="22"/>
        </w:rPr>
        <w:t>1</w:t>
      </w:r>
      <w:r>
        <w:rPr>
          <w:rFonts w:ascii="Calibri" w:hAnsi="Calibri"/>
          <w:sz w:val="22"/>
        </w:rPr>
        <w:tab/>
        <w:t>K prokázání, že budova splňuje požadavky tohoto základního dokumentu, musí projektová dokumentace obsahovat tyto informace o budově nebo její příslušné části:</w:t>
      </w:r>
    </w:p>
    <w:p w14:paraId="36CFFEC7" w14:textId="77777777" w:rsidR="000760AB" w:rsidRPr="000760AB" w:rsidRDefault="000760AB" w:rsidP="000760AB">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a) schéma zapojení používané pro dimenzování, jak je popsáno v předpisu pro nízkonapěťové elektrotechnické systémy;</w:t>
      </w:r>
    </w:p>
    <w:p w14:paraId="646DF7C0" w14:textId="77777777" w:rsidR="000760AB" w:rsidRPr="000760AB" w:rsidRDefault="000760AB" w:rsidP="000760AB">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b) popis hlavního vedení a připravených kabelovodů s uvedením procentního podílu parkovacích míst se systémy pro vedení kabelů a minimálního požadovaného procentního podílu;</w:t>
      </w:r>
    </w:p>
    <w:p w14:paraId="69C66A52" w14:textId="77777777" w:rsidR="000760AB" w:rsidRPr="000760AB" w:rsidRDefault="000760AB" w:rsidP="000760AB">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 xml:space="preserve">c) počet instalovaných </w:t>
      </w:r>
      <w:r>
        <w:rPr>
          <w:rFonts w:ascii="Calibri" w:hAnsi="Calibri"/>
          <w:i/>
          <w:sz w:val="22"/>
        </w:rPr>
        <w:t>dobíjecích stanic</w:t>
      </w:r>
      <w:r>
        <w:rPr>
          <w:rFonts w:ascii="Calibri" w:hAnsi="Calibri"/>
          <w:sz w:val="22"/>
        </w:rPr>
        <w:t xml:space="preserve"> a minimální počet vyplývající z kvantifikace požadavku;</w:t>
      </w:r>
    </w:p>
    <w:p w14:paraId="7BE9C95E" w14:textId="77777777" w:rsidR="000760AB" w:rsidRPr="000760AB" w:rsidRDefault="000760AB" w:rsidP="000760AB">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 xml:space="preserve">d) typy </w:t>
      </w:r>
      <w:r>
        <w:rPr>
          <w:rFonts w:ascii="Calibri" w:hAnsi="Calibri"/>
          <w:i/>
          <w:sz w:val="22"/>
        </w:rPr>
        <w:t>dobíjecích stanic</w:t>
      </w:r>
      <w:r>
        <w:rPr>
          <w:rFonts w:ascii="Calibri" w:hAnsi="Calibri"/>
          <w:sz w:val="22"/>
        </w:rPr>
        <w:t xml:space="preserve"> a jejich hodnoty výkonu.</w:t>
      </w:r>
      <w:bookmarkStart w:id="15" w:name="_Toc530396168"/>
      <w:bookmarkStart w:id="16" w:name="_Toc530395289"/>
    </w:p>
    <w:p w14:paraId="52DF0579" w14:textId="77777777" w:rsidR="000760AB" w:rsidRPr="000760AB" w:rsidRDefault="000760AB" w:rsidP="000760AB">
      <w:pPr>
        <w:suppressAutoHyphens/>
        <w:spacing w:before="60" w:after="60"/>
        <w:ind w:left="567"/>
        <w:jc w:val="both"/>
        <w:textAlignment w:val="baseline"/>
        <w:rPr>
          <w:rFonts w:ascii="Calibri" w:eastAsia="Arial" w:hAnsi="Calibri" w:cs="Calibri"/>
          <w:kern w:val="2"/>
          <w:sz w:val="22"/>
          <w:szCs w:val="22"/>
          <w:lang w:eastAsia="zh-CN" w:bidi="hi-IN"/>
        </w:rPr>
      </w:pPr>
    </w:p>
    <w:p w14:paraId="50E1C334" w14:textId="77777777" w:rsidR="000760AB" w:rsidRPr="000760AB" w:rsidRDefault="000760AB" w:rsidP="000760AB">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lastRenderedPageBreak/>
        <w:t>5</w:t>
      </w:r>
      <w:r>
        <w:rPr>
          <w:rFonts w:ascii="Calibri" w:hAnsi="Calibri"/>
          <w:sz w:val="22"/>
        </w:rPr>
        <w:tab/>
        <w:t>Výstavba, údržba a udržování</w:t>
      </w:r>
      <w:bookmarkEnd w:id="15"/>
      <w:bookmarkEnd w:id="16"/>
    </w:p>
    <w:p w14:paraId="000A9057" w14:textId="77777777" w:rsidR="000760AB" w:rsidRPr="000760AB" w:rsidRDefault="000760AB" w:rsidP="000760AB">
      <w:pPr>
        <w:keepNext/>
        <w:spacing w:before="200" w:after="100"/>
        <w:ind w:left="284"/>
        <w:jc w:val="both"/>
        <w:outlineLvl w:val="2"/>
        <w:rPr>
          <w:rFonts w:ascii="Calibri" w:eastAsia="Arial" w:hAnsi="Calibri" w:cs="Calibri"/>
          <w:kern w:val="2"/>
          <w:sz w:val="22"/>
          <w:szCs w:val="22"/>
        </w:rPr>
      </w:pPr>
      <w:bookmarkStart w:id="17" w:name="_Toc530396169"/>
      <w:bookmarkStart w:id="18" w:name="_Toc530395290"/>
      <w:r>
        <w:rPr>
          <w:rFonts w:ascii="Calibri" w:hAnsi="Calibri"/>
          <w:sz w:val="22"/>
        </w:rPr>
        <w:t>5.1 Provádění</w:t>
      </w:r>
      <w:bookmarkEnd w:id="17"/>
      <w:bookmarkEnd w:id="18"/>
    </w:p>
    <w:p w14:paraId="3050030B" w14:textId="77777777" w:rsidR="000760AB" w:rsidRPr="000760AB" w:rsidRDefault="000760AB" w:rsidP="000760AB">
      <w:pPr>
        <w:spacing w:before="60" w:after="60"/>
        <w:ind w:left="284"/>
        <w:jc w:val="both"/>
        <w:rPr>
          <w:rFonts w:ascii="Calibri" w:eastAsia="Arial" w:hAnsi="Calibri" w:cs="Calibri"/>
          <w:kern w:val="2"/>
          <w:sz w:val="22"/>
          <w:szCs w:val="22"/>
        </w:rPr>
      </w:pPr>
      <w:r>
        <w:rPr>
          <w:rFonts w:ascii="Calibri" w:hAnsi="Calibri"/>
          <w:sz w:val="22"/>
        </w:rPr>
        <w:t>1</w:t>
      </w:r>
      <w:r>
        <w:rPr>
          <w:rFonts w:ascii="Calibri" w:hAnsi="Calibri"/>
          <w:sz w:val="22"/>
        </w:rPr>
        <w:tab/>
        <w:t xml:space="preserve">Stavební práce na budově se provádějí v souladu s projektem a jeho úpravami schválenými vedoucím stavby se souhlasem stavebníka a v souladu s použitelnými právními předpisy, specifikacemi předpisu pro nízkonapěťové elektrotechnické systémy a jeho dodatečného technického pokynu ITC BT-52 „Zařízení pro zvláštní účely“. Infrastruktura pro nabíjení </w:t>
      </w:r>
      <w:r>
        <w:rPr>
          <w:rFonts w:ascii="Calibri" w:hAnsi="Calibri"/>
          <w:i/>
          <w:sz w:val="22"/>
        </w:rPr>
        <w:t>elektrických vozidel</w:t>
      </w:r>
      <w:r>
        <w:rPr>
          <w:rFonts w:ascii="Calibri" w:hAnsi="Calibri"/>
          <w:sz w:val="22"/>
        </w:rPr>
        <w:t>“, podle norem správné stavební praxe a pokynů vedoucího stavby a vedoucího realizace projektu, jak je uvedeno v článku 7 části I technického stavebního řádu.</w:t>
      </w:r>
    </w:p>
    <w:p w14:paraId="089181A3" w14:textId="77777777" w:rsidR="000760AB" w:rsidRPr="000760AB" w:rsidRDefault="000760AB" w:rsidP="000760AB">
      <w:pPr>
        <w:keepNext/>
        <w:spacing w:before="200" w:after="100"/>
        <w:ind w:left="284"/>
        <w:jc w:val="both"/>
        <w:outlineLvl w:val="2"/>
        <w:rPr>
          <w:rFonts w:ascii="Calibri" w:eastAsia="Arial" w:hAnsi="Calibri" w:cs="Calibri"/>
          <w:kern w:val="2"/>
          <w:sz w:val="22"/>
          <w:szCs w:val="22"/>
        </w:rPr>
      </w:pPr>
      <w:bookmarkStart w:id="19" w:name="_Toc530396170"/>
      <w:bookmarkStart w:id="20" w:name="_Toc530395291"/>
      <w:r>
        <w:rPr>
          <w:rFonts w:ascii="Calibri" w:hAnsi="Calibri"/>
          <w:sz w:val="22"/>
        </w:rPr>
        <w:t>5.2 Sledování provádění prací</w:t>
      </w:r>
      <w:bookmarkEnd w:id="19"/>
      <w:bookmarkEnd w:id="20"/>
    </w:p>
    <w:p w14:paraId="5126F3A6" w14:textId="77777777" w:rsidR="000760AB" w:rsidRPr="000760AB" w:rsidRDefault="000760AB" w:rsidP="000760AB">
      <w:pPr>
        <w:spacing w:before="120" w:after="60"/>
        <w:ind w:left="284"/>
        <w:jc w:val="both"/>
        <w:rPr>
          <w:rFonts w:ascii="Calibri" w:eastAsia="Arial" w:hAnsi="Calibri" w:cs="Calibri"/>
          <w:kern w:val="2"/>
          <w:sz w:val="22"/>
          <w:szCs w:val="22"/>
        </w:rPr>
      </w:pPr>
      <w:r>
        <w:rPr>
          <w:rFonts w:ascii="Calibri" w:hAnsi="Calibri"/>
          <w:sz w:val="22"/>
        </w:rPr>
        <w:t>1</w:t>
      </w:r>
      <w:r>
        <w:rPr>
          <w:rFonts w:ascii="Calibri" w:hAnsi="Calibri"/>
          <w:sz w:val="22"/>
        </w:rPr>
        <w:tab/>
        <w:t xml:space="preserve">Provádění prací </w:t>
      </w:r>
      <w:r>
        <w:rPr>
          <w:rFonts w:ascii="Calibri" w:hAnsi="Calibri"/>
          <w:color w:val="FF0000"/>
          <w:sz w:val="22"/>
        </w:rPr>
        <w:t xml:space="preserve"> </w:t>
      </w:r>
      <w:r>
        <w:rPr>
          <w:rFonts w:ascii="Calibri" w:hAnsi="Calibri"/>
          <w:sz w:val="22"/>
        </w:rPr>
        <w:t>musí být sledováno v souladu se specifikacemi projektu, jeho přílohami a úpravami autorizovanými vedoucím stavby a s pokyny vedoucího realizace projektu podle specifikací předpisů pro nízkonapěťové elektrotechnické systémy, v souladu s čl. 7 odst. 3 části I technického stavebního řádu a dalšími platnými předpisy.</w:t>
      </w:r>
    </w:p>
    <w:p w14:paraId="5E5E124D" w14:textId="77777777" w:rsidR="000760AB" w:rsidRPr="000760AB" w:rsidRDefault="000760AB" w:rsidP="000760AB">
      <w:pPr>
        <w:spacing w:before="120" w:after="60"/>
        <w:ind w:left="284"/>
        <w:jc w:val="both"/>
        <w:rPr>
          <w:rFonts w:ascii="Calibri" w:eastAsia="Arial" w:hAnsi="Calibri" w:cs="Calibri"/>
          <w:kern w:val="2"/>
          <w:sz w:val="22"/>
          <w:szCs w:val="22"/>
        </w:rPr>
      </w:pPr>
      <w:r>
        <w:rPr>
          <w:rFonts w:ascii="Calibri" w:hAnsi="Calibri"/>
          <w:sz w:val="22"/>
        </w:rPr>
        <w:t>2</w:t>
      </w:r>
      <w:r>
        <w:rPr>
          <w:rFonts w:ascii="Calibri" w:hAnsi="Calibri"/>
          <w:sz w:val="22"/>
        </w:rPr>
        <w:tab/>
        <w:t>Provádění prací se kontroluje s cílem zajistit, že kontroly jsou prováděny v požadované četnosti podle specifikací projektu.</w:t>
      </w:r>
    </w:p>
    <w:p w14:paraId="59F0FC7F" w14:textId="77777777" w:rsidR="000760AB" w:rsidRPr="000760AB" w:rsidRDefault="000760AB" w:rsidP="000760AB">
      <w:pPr>
        <w:spacing w:before="120" w:after="60"/>
        <w:ind w:left="284"/>
        <w:jc w:val="both"/>
        <w:rPr>
          <w:rFonts w:ascii="Calibri" w:eastAsia="Arial" w:hAnsi="Calibri" w:cs="Calibri"/>
          <w:kern w:val="2"/>
          <w:sz w:val="22"/>
          <w:szCs w:val="22"/>
        </w:rPr>
      </w:pPr>
      <w:r>
        <w:rPr>
          <w:rFonts w:ascii="Calibri" w:hAnsi="Calibri"/>
          <w:sz w:val="22"/>
        </w:rPr>
        <w:t>3</w:t>
      </w:r>
      <w:r>
        <w:rPr>
          <w:rFonts w:ascii="Calibri" w:hAnsi="Calibri"/>
          <w:sz w:val="22"/>
        </w:rPr>
        <w:tab/>
        <w:t>Veškeré změny provedené během provádění prací se zaznamenají v dokumentaci dokončených prací a ve všech případech musí být splněny minimální podmínky stanovené v tomto základním dokumentu.</w:t>
      </w:r>
    </w:p>
    <w:p w14:paraId="0D137CE4" w14:textId="77777777" w:rsidR="000760AB" w:rsidRPr="000760AB" w:rsidRDefault="000760AB" w:rsidP="000760AB">
      <w:pPr>
        <w:spacing w:before="120" w:after="60"/>
        <w:ind w:left="284"/>
        <w:jc w:val="both"/>
        <w:rPr>
          <w:rFonts w:ascii="Calibri" w:eastAsia="Arial" w:hAnsi="Calibri" w:cs="Calibri"/>
          <w:kern w:val="2"/>
          <w:sz w:val="22"/>
          <w:szCs w:val="22"/>
        </w:rPr>
      </w:pPr>
      <w:r>
        <w:rPr>
          <w:rFonts w:ascii="Calibri" w:hAnsi="Calibri"/>
          <w:sz w:val="22"/>
        </w:rPr>
        <w:t>4</w:t>
      </w:r>
      <w:r>
        <w:rPr>
          <w:rFonts w:ascii="Calibri" w:hAnsi="Calibri"/>
          <w:sz w:val="22"/>
        </w:rPr>
        <w:tab/>
        <w:t>Dokumentace týkající se vlastností výrobků, zařízení a systémů zabudovaných do budovy musí být uvedena ve stavebním deníku.</w:t>
      </w:r>
    </w:p>
    <w:p w14:paraId="3FAAE7C2" w14:textId="77777777" w:rsidR="000760AB" w:rsidRPr="000760AB" w:rsidRDefault="000760AB" w:rsidP="00FD453F">
      <w:pPr>
        <w:keepNext/>
        <w:spacing w:before="200" w:after="100"/>
        <w:ind w:left="284"/>
        <w:jc w:val="both"/>
        <w:outlineLvl w:val="2"/>
        <w:rPr>
          <w:rFonts w:ascii="Calibri" w:eastAsia="Arial" w:hAnsi="Calibri" w:cs="Calibri"/>
          <w:kern w:val="2"/>
          <w:sz w:val="22"/>
          <w:szCs w:val="22"/>
        </w:rPr>
      </w:pPr>
      <w:bookmarkStart w:id="21" w:name="_Toc530396171"/>
      <w:bookmarkStart w:id="22" w:name="_Toc530395292"/>
      <w:r>
        <w:rPr>
          <w:rFonts w:ascii="Calibri" w:hAnsi="Calibri"/>
          <w:sz w:val="22"/>
        </w:rPr>
        <w:t>5.3 Kontrola dokončených prací</w:t>
      </w:r>
      <w:bookmarkEnd w:id="21"/>
      <w:bookmarkEnd w:id="22"/>
    </w:p>
    <w:p w14:paraId="1A89C868" w14:textId="77777777" w:rsidR="000760AB" w:rsidRPr="000760AB" w:rsidRDefault="000760AB" w:rsidP="00FD453F">
      <w:pPr>
        <w:spacing w:before="120" w:after="60"/>
        <w:ind w:left="284"/>
        <w:jc w:val="both"/>
        <w:rPr>
          <w:rFonts w:ascii="Calibri" w:eastAsia="Arial" w:hAnsi="Calibri" w:cs="Calibri"/>
          <w:kern w:val="2"/>
          <w:sz w:val="22"/>
          <w:szCs w:val="22"/>
        </w:rPr>
      </w:pPr>
      <w:r>
        <w:rPr>
          <w:rFonts w:ascii="Calibri" w:hAnsi="Calibri"/>
          <w:sz w:val="22"/>
        </w:rPr>
        <w:t>1</w:t>
      </w:r>
      <w:r>
        <w:rPr>
          <w:rFonts w:ascii="Calibri" w:hAnsi="Calibri"/>
          <w:sz w:val="22"/>
        </w:rPr>
        <w:tab/>
        <w:t>Kontrola dokončených prací musí splňovat kritéria uvedená v čl. 7 odst. 4 části I technického stavebního řádu.</w:t>
      </w:r>
    </w:p>
    <w:p w14:paraId="32DA09D6" w14:textId="77777777" w:rsidR="000760AB" w:rsidRPr="000760AB" w:rsidRDefault="000760AB" w:rsidP="00FD453F">
      <w:pPr>
        <w:spacing w:before="120" w:after="60"/>
        <w:ind w:left="284"/>
        <w:jc w:val="both"/>
        <w:rPr>
          <w:rFonts w:ascii="Calibri" w:eastAsia="Arial" w:hAnsi="Calibri" w:cs="Calibri"/>
          <w:kern w:val="2"/>
          <w:sz w:val="22"/>
          <w:szCs w:val="22"/>
        </w:rPr>
      </w:pPr>
      <w:r>
        <w:rPr>
          <w:rFonts w:ascii="Calibri" w:hAnsi="Calibri"/>
          <w:sz w:val="22"/>
        </w:rPr>
        <w:t>2</w:t>
      </w:r>
      <w:r>
        <w:rPr>
          <w:rFonts w:ascii="Calibri" w:hAnsi="Calibri"/>
          <w:sz w:val="22"/>
        </w:rPr>
        <w:tab/>
        <w:t>Tento oddíl základního dokumentu nepředepisuje závěrečné zkoušky.</w:t>
      </w:r>
    </w:p>
    <w:p w14:paraId="71B8183A" w14:textId="77777777" w:rsidR="000760AB" w:rsidRPr="000760AB" w:rsidRDefault="000760AB" w:rsidP="00FD453F">
      <w:pPr>
        <w:keepNext/>
        <w:spacing w:before="200" w:after="100"/>
        <w:ind w:left="284"/>
        <w:jc w:val="both"/>
        <w:outlineLvl w:val="2"/>
        <w:rPr>
          <w:rFonts w:ascii="Calibri" w:eastAsia="Arial" w:hAnsi="Calibri" w:cs="Calibri"/>
          <w:kern w:val="2"/>
          <w:sz w:val="22"/>
          <w:szCs w:val="22"/>
        </w:rPr>
      </w:pPr>
      <w:bookmarkStart w:id="23" w:name="_Toc530396172"/>
      <w:bookmarkStart w:id="24" w:name="_Toc530395293"/>
      <w:r>
        <w:rPr>
          <w:rFonts w:ascii="Calibri" w:hAnsi="Calibri"/>
          <w:sz w:val="22"/>
        </w:rPr>
        <w:t>5.4 Údržba a udržování budovy</w:t>
      </w:r>
      <w:bookmarkEnd w:id="23"/>
      <w:bookmarkEnd w:id="24"/>
    </w:p>
    <w:p w14:paraId="3E865FD5" w14:textId="77777777" w:rsidR="000760AB" w:rsidRPr="000760AB" w:rsidRDefault="000760AB" w:rsidP="00FD453F">
      <w:pPr>
        <w:spacing w:before="120" w:after="60"/>
        <w:ind w:left="284"/>
        <w:jc w:val="both"/>
        <w:rPr>
          <w:rFonts w:ascii="Calibri" w:eastAsia="Arial" w:hAnsi="Calibri" w:cs="Calibri"/>
          <w:kern w:val="2"/>
          <w:sz w:val="22"/>
          <w:szCs w:val="22"/>
        </w:rPr>
      </w:pPr>
      <w:r>
        <w:rPr>
          <w:rFonts w:ascii="Calibri" w:hAnsi="Calibri"/>
          <w:sz w:val="22"/>
        </w:rPr>
        <w:t>1</w:t>
      </w:r>
      <w:r>
        <w:rPr>
          <w:rFonts w:ascii="Calibri" w:hAnsi="Calibri"/>
          <w:sz w:val="22"/>
        </w:rPr>
        <w:tab/>
        <w:t xml:space="preserve">Plán údržby zahrnutý do stavebního deníku zahrnuje provádění a četnost potřebné údržby, v průběhu času, konstrukčních a výkonnostních parametrů </w:t>
      </w:r>
      <w:r>
        <w:rPr>
          <w:rFonts w:ascii="Calibri" w:hAnsi="Calibri"/>
          <w:i/>
          <w:sz w:val="22"/>
        </w:rPr>
        <w:t>infrastruktury pro nabíjení elektrických vozidel</w:t>
      </w:r>
      <w:r>
        <w:rPr>
          <w:rFonts w:ascii="Calibri" w:hAnsi="Calibri"/>
          <w:sz w:val="22"/>
        </w:rPr>
        <w:t>.</w:t>
      </w:r>
    </w:p>
    <w:p w14:paraId="44174479" w14:textId="77777777" w:rsidR="000760AB" w:rsidRPr="000760AB" w:rsidRDefault="000760AB" w:rsidP="00FD453F">
      <w:pPr>
        <w:spacing w:before="120" w:after="60"/>
        <w:ind w:left="284"/>
        <w:jc w:val="both"/>
        <w:rPr>
          <w:rFonts w:ascii="Calibri" w:eastAsia="Arial" w:hAnsi="Calibri" w:cs="Calibri"/>
          <w:kern w:val="2"/>
          <w:sz w:val="22"/>
          <w:szCs w:val="22"/>
        </w:rPr>
      </w:pPr>
      <w:r>
        <w:rPr>
          <w:rFonts w:ascii="Calibri" w:hAnsi="Calibri"/>
          <w:sz w:val="22"/>
        </w:rPr>
        <w:t>2</w:t>
      </w:r>
      <w:r>
        <w:rPr>
          <w:rFonts w:ascii="Calibri" w:hAnsi="Calibri"/>
          <w:sz w:val="22"/>
        </w:rPr>
        <w:tab/>
        <w:t>Rovněž musí stavební deník dokumentovat veškeré zásahy, ať už opravy, renovace nebo sanace, provedené po celou dobu životnosti budovy.“</w:t>
      </w:r>
    </w:p>
    <w:p w14:paraId="4BAAA47B"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mm) V příloze A se zrušují výrazy „počáteční osvětlení“ a „odrazivost“.</w:t>
      </w:r>
    </w:p>
    <w:p w14:paraId="6C74EA4F"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nn) V příloze A se v definici pojmu „</w:t>
      </w:r>
      <w:r>
        <w:rPr>
          <w:rFonts w:ascii="Calibri" w:hAnsi="Calibri"/>
          <w:i/>
          <w:sz w:val="22"/>
        </w:rPr>
        <w:t>Celkový koeficient přenosu tepla (přes tepelný plášť budovy</w:t>
      </w:r>
      <w:r>
        <w:rPr>
          <w:rFonts w:ascii="Calibri" w:hAnsi="Calibri"/>
          <w:sz w:val="22"/>
        </w:rPr>
        <w:t>) (K)“ se text: “... K = X Hx/Aint..." nahrazuje textem s „x", „x" a „int" v indexu: “... K = Σ</w:t>
      </w:r>
      <w:r>
        <w:rPr>
          <w:rFonts w:ascii="Calibri" w:hAnsi="Calibri"/>
          <w:sz w:val="22"/>
          <w:vertAlign w:val="subscript"/>
        </w:rPr>
        <w:t>x</w:t>
      </w:r>
      <w:r>
        <w:rPr>
          <w:rFonts w:ascii="Calibri" w:hAnsi="Calibri"/>
          <w:sz w:val="22"/>
        </w:rPr>
        <w:t xml:space="preserve"> H</w:t>
      </w:r>
      <w:r>
        <w:rPr>
          <w:rFonts w:ascii="Calibri" w:hAnsi="Calibri"/>
          <w:sz w:val="22"/>
          <w:vertAlign w:val="subscript"/>
        </w:rPr>
        <w:t>x</w:t>
      </w:r>
      <w:r>
        <w:rPr>
          <w:rFonts w:ascii="Calibri" w:hAnsi="Calibri"/>
          <w:sz w:val="22"/>
        </w:rPr>
        <w:t xml:space="preserve"> / A</w:t>
      </w:r>
      <w:r>
        <w:rPr>
          <w:rFonts w:ascii="Calibri" w:hAnsi="Calibri"/>
          <w:sz w:val="22"/>
          <w:vertAlign w:val="subscript"/>
        </w:rPr>
        <w:t>int</w:t>
      </w:r>
      <w:r>
        <w:rPr>
          <w:rFonts w:ascii="Calibri" w:hAnsi="Calibri"/>
          <w:sz w:val="22"/>
        </w:rPr>
        <w:t>...“, se slova „parietodynamické stěny“ a „Trombeho stěny’ uvádějí kurzívou.</w:t>
      </w:r>
    </w:p>
    <w:p w14:paraId="5C4DBA8E" w14:textId="77777777" w:rsidR="000760AB" w:rsidRPr="000760AB" w:rsidRDefault="000760AB" w:rsidP="000760AB">
      <w:pPr>
        <w:spacing w:after="160" w:line="259" w:lineRule="auto"/>
        <w:ind w:left="567"/>
        <w:contextualSpacing/>
        <w:jc w:val="both"/>
        <w:rPr>
          <w:rFonts w:ascii="Calibri" w:eastAsia="Calibri" w:hAnsi="Calibri" w:cs="Calibri"/>
          <w:sz w:val="22"/>
          <w:szCs w:val="22"/>
          <w:lang w:eastAsia="en-US"/>
        </w:rPr>
      </w:pPr>
    </w:p>
    <w:p w14:paraId="2CFABC1E"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ññ) V příloze A Terminologie se v definici pojmu „Kompaktnost“ slovo „kompaktnost“ ve druhém odstavci uvádí kurzívou.</w:t>
      </w:r>
    </w:p>
    <w:p w14:paraId="2A0F9F45"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oo) V příloze A Terminologie se v definici pojmu „provozní podmínky“ slova „soukromé bydlení“ uvádějí kurzívou.</w:t>
      </w:r>
    </w:p>
    <w:p w14:paraId="345DE1C6"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pp) V příloze A Terminologie se v definici pojmu „spotřeba primární energie z neobnovitelných zdrojů“ slova: “... Spotřeba primární energie z neobnovitelných zdrojů..." nahrazují slovy s „ep,nren" v indexu: “... Spotřeba primární energie z neobnovitelných zdrojů (C</w:t>
      </w:r>
      <w:r>
        <w:rPr>
          <w:rFonts w:ascii="Calibri" w:hAnsi="Calibri"/>
          <w:sz w:val="22"/>
          <w:vertAlign w:val="subscript"/>
        </w:rPr>
        <w:t>ep,nren</w:t>
      </w:r>
      <w:r>
        <w:rPr>
          <w:rFonts w:ascii="Calibri" w:hAnsi="Calibri"/>
          <w:sz w:val="22"/>
        </w:rPr>
        <w:t>)...“.</w:t>
      </w:r>
    </w:p>
    <w:p w14:paraId="10AB3C41" w14:textId="77777777" w:rsidR="000760AB" w:rsidRPr="000760AB" w:rsidRDefault="000760AB" w:rsidP="000760AB">
      <w:pPr>
        <w:spacing w:after="160" w:line="259" w:lineRule="auto"/>
        <w:ind w:left="284"/>
        <w:contextualSpacing/>
        <w:jc w:val="both"/>
        <w:rPr>
          <w:rFonts w:ascii="Calibri" w:eastAsia="Calibri" w:hAnsi="Calibri" w:cs="Calibri"/>
          <w:sz w:val="22"/>
          <w:szCs w:val="22"/>
          <w:lang w:eastAsia="en-US"/>
        </w:rPr>
      </w:pPr>
    </w:p>
    <w:p w14:paraId="14333C7E"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lastRenderedPageBreak/>
        <w:t>qq) V příloze A Terminologie se v definici pojmu „Celková spotřeba primární energie“ slova: “... Celková spotřeba primární energie..." nahrazují slovy s „ep,tot" v indexu: “... Celková spotřeba primární energie (C</w:t>
      </w:r>
      <w:r>
        <w:rPr>
          <w:rFonts w:ascii="Calibri" w:hAnsi="Calibri"/>
          <w:sz w:val="22"/>
          <w:vertAlign w:val="subscript"/>
        </w:rPr>
        <w:t>ep,tot</w:t>
      </w:r>
      <w:r>
        <w:rPr>
          <w:rFonts w:ascii="Calibri" w:hAnsi="Calibri"/>
          <w:sz w:val="22"/>
        </w:rPr>
        <w:t>)...“.</w:t>
      </w:r>
    </w:p>
    <w:p w14:paraId="0CA46E11" w14:textId="77777777" w:rsidR="000760AB" w:rsidRPr="000760AB" w:rsidRDefault="000760AB" w:rsidP="000760AB">
      <w:pPr>
        <w:spacing w:after="160" w:line="259" w:lineRule="auto"/>
        <w:ind w:left="567"/>
        <w:contextualSpacing/>
        <w:jc w:val="both"/>
        <w:rPr>
          <w:rFonts w:ascii="Calibri" w:eastAsia="Calibri" w:hAnsi="Calibri" w:cs="Calibri"/>
          <w:sz w:val="22"/>
          <w:szCs w:val="22"/>
          <w:lang w:eastAsia="en-US"/>
        </w:rPr>
      </w:pPr>
    </w:p>
    <w:p w14:paraId="1B1F2FCF"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rr) V příloze A se v definici pojmu „solární regulace (q</w:t>
      </w:r>
      <w:r>
        <w:rPr>
          <w:rFonts w:ascii="Calibri" w:hAnsi="Calibri"/>
          <w:sz w:val="22"/>
          <w:vertAlign w:val="subscript"/>
        </w:rPr>
        <w:t>sol;jul</w:t>
      </w:r>
      <w:r>
        <w:rPr>
          <w:rFonts w:ascii="Calibri" w:hAnsi="Calibri"/>
          <w:sz w:val="22"/>
        </w:rPr>
        <w:t>)“ se slova: „... užitečná podlahová plocha prostor...“ nahrazují slovy: „... užitečná podlahová plocha obytných prostor...“. Tečka a nový odstavec na konci definice složky vzorce „Hsol;jul“ se nahrazují středníkem a doplňuje se definice jiné složky vzorce, která zní:</w:t>
      </w:r>
    </w:p>
    <w:p w14:paraId="1679E36E" w14:textId="77777777" w:rsidR="000760AB" w:rsidRPr="000760AB" w:rsidRDefault="000760AB" w:rsidP="00FD453F">
      <w:pPr>
        <w:spacing w:after="160" w:line="259" w:lineRule="auto"/>
        <w:ind w:left="284"/>
        <w:jc w:val="both"/>
        <w:rPr>
          <w:rFonts w:ascii="Calibri" w:eastAsia="Calibri" w:hAnsi="Calibri" w:cs="Calibri"/>
          <w:sz w:val="22"/>
          <w:szCs w:val="22"/>
        </w:rPr>
      </w:pPr>
      <w:r>
        <w:rPr>
          <w:rFonts w:ascii="Calibri" w:hAnsi="Calibri"/>
          <w:sz w:val="22"/>
        </w:rPr>
        <w:t>„Oblast A</w:t>
      </w:r>
      <w:r>
        <w:rPr>
          <w:rFonts w:ascii="Calibri" w:hAnsi="Calibri"/>
          <w:sz w:val="22"/>
          <w:vertAlign w:val="subscript"/>
        </w:rPr>
        <w:t>util</w:t>
      </w:r>
      <w:r>
        <w:rPr>
          <w:rFonts w:ascii="Calibri" w:hAnsi="Calibri"/>
          <w:sz w:val="22"/>
        </w:rPr>
        <w:t xml:space="preserve"> považovaná za vyhovující oddílu 4.6 HE 0.“</w:t>
      </w:r>
    </w:p>
    <w:p w14:paraId="5D16B486"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ss) V příloze A se v definici pojmu „konečná energie“ slova „je to, co spotřebitelé nakupují ve formě elektřiny nebo paliv používaných přímo“ nahrazují slovy „Je to ta, která je dodávána do systémů budov za účelem poskytování služeb; tyto dodávky jsou obvykle poskytovány prostřednictvím paliv, výrobou na místě nebo zvláštními sítěmi (elektřina, plyn, dálkové vytápění nebo chlazení atd.)“.</w:t>
      </w:r>
    </w:p>
    <w:p w14:paraId="4B18500C"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tt) V příloze A Terminologie se v definici pojmu „Klimatizovaný obytný prostor“ slova „soukromé bydlení“ uvádějí kurzívou.</w:t>
      </w:r>
    </w:p>
    <w:p w14:paraId="7EC3AE41"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uu) V příloze A Terminologie se v definici pojmu „Doba užívání“ ve druhém odstavci slova „soukromé bydlení“ uvádějí kurzívou.</w:t>
      </w:r>
    </w:p>
    <w:p w14:paraId="3400E1E9"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vv) V příloze A se v definici pojmu „Tepelná propustnost (hodnota U)“ na konci definice doplňuje nová věta, která zní:</w:t>
      </w:r>
    </w:p>
    <w:p w14:paraId="20E76982" w14:textId="77777777" w:rsidR="000760AB" w:rsidRPr="000760AB" w:rsidRDefault="000760AB" w:rsidP="00FD453F">
      <w:pPr>
        <w:spacing w:after="160" w:line="259" w:lineRule="auto"/>
        <w:ind w:left="284"/>
        <w:jc w:val="both"/>
        <w:rPr>
          <w:rFonts w:ascii="Calibri" w:eastAsia="Calibri" w:hAnsi="Calibri" w:cs="Calibri"/>
          <w:sz w:val="22"/>
          <w:szCs w:val="22"/>
        </w:rPr>
      </w:pPr>
      <w:r>
        <w:rPr>
          <w:rFonts w:ascii="Calibri" w:hAnsi="Calibri"/>
          <w:sz w:val="22"/>
        </w:rPr>
        <w:t>„Vyjádřeno v W/m</w:t>
      </w:r>
      <w:r>
        <w:rPr>
          <w:rFonts w:ascii="Calibri" w:hAnsi="Calibri"/>
          <w:sz w:val="22"/>
          <w:vertAlign w:val="superscript"/>
        </w:rPr>
        <w:t>2</w:t>
      </w:r>
      <w:r>
        <w:rPr>
          <w:rFonts w:ascii="Calibri" w:hAnsi="Calibri"/>
          <w:sz w:val="22"/>
        </w:rPr>
        <w:t>K.“</w:t>
      </w:r>
    </w:p>
    <w:p w14:paraId="68C76D1A" w14:textId="77777777" w:rsidR="000760AB" w:rsidRPr="000760AB" w:rsidRDefault="000760AB" w:rsidP="00FD453F">
      <w:pPr>
        <w:spacing w:after="160" w:line="259" w:lineRule="auto"/>
        <w:ind w:left="284"/>
        <w:jc w:val="both"/>
        <w:rPr>
          <w:rFonts w:ascii="Calibri" w:eastAsia="Calibri" w:hAnsi="Calibri" w:cs="Calibri"/>
          <w:sz w:val="22"/>
          <w:szCs w:val="22"/>
        </w:rPr>
      </w:pPr>
      <w:r>
        <w:rPr>
          <w:rFonts w:ascii="Calibri" w:hAnsi="Calibri"/>
          <w:sz w:val="22"/>
        </w:rPr>
        <w:t>ww) V příloze A Terminologie se v definici pojmu „Hodnota energetické účinnosti zařízení (VEEI)“ slova „soukromé bydlení“ uvádějí kurzívou.</w:t>
      </w:r>
    </w:p>
    <w:p w14:paraId="45B16639" w14:textId="77777777" w:rsidR="000760AB" w:rsidRPr="000760AB" w:rsidRDefault="000760AB" w:rsidP="000760AB">
      <w:pPr>
        <w:spacing w:after="160" w:line="259" w:lineRule="auto"/>
        <w:ind w:left="567" w:hanging="283"/>
        <w:jc w:val="both"/>
        <w:rPr>
          <w:rFonts w:ascii="Calibri" w:eastAsia="Calibri" w:hAnsi="Calibri" w:cs="Calibri"/>
          <w:sz w:val="22"/>
          <w:szCs w:val="22"/>
        </w:rPr>
      </w:pPr>
      <w:r>
        <w:rPr>
          <w:rFonts w:ascii="Calibri" w:hAnsi="Calibri"/>
          <w:sz w:val="22"/>
        </w:rPr>
        <w:t>xx) Do přílohy A „Terminologie“ se zařazují tyto pojmy:</w:t>
      </w:r>
    </w:p>
    <w:p w14:paraId="41AB6223" w14:textId="77777777" w:rsidR="000760AB" w:rsidRPr="000760AB" w:rsidRDefault="000760AB" w:rsidP="00FD453F">
      <w:pPr>
        <w:spacing w:before="200" w:after="120"/>
        <w:ind w:left="284"/>
        <w:jc w:val="both"/>
        <w:rPr>
          <w:rFonts w:ascii="Calibri" w:eastAsia="Arial" w:hAnsi="Calibri" w:cs="Calibri"/>
          <w:kern w:val="2"/>
          <w:sz w:val="22"/>
        </w:rPr>
      </w:pPr>
      <w:r>
        <w:rPr>
          <w:rFonts w:ascii="Calibri" w:hAnsi="Calibri"/>
          <w:sz w:val="22"/>
        </w:rPr>
        <w:t>„</w:t>
      </w:r>
      <w:r>
        <w:rPr>
          <w:rFonts w:ascii="Calibri" w:hAnsi="Calibri"/>
          <w:b/>
          <w:i/>
          <w:sz w:val="22"/>
        </w:rPr>
        <w:t>Pomocné vybavení</w:t>
      </w:r>
      <w:r>
        <w:rPr>
          <w:rFonts w:ascii="Calibri" w:hAnsi="Calibri"/>
          <w:b/>
          <w:sz w:val="22"/>
        </w:rPr>
        <w:t xml:space="preserve">: </w:t>
      </w:r>
      <w:r>
        <w:rPr>
          <w:rFonts w:ascii="Calibri" w:hAnsi="Calibri"/>
          <w:sz w:val="22"/>
        </w:rPr>
        <w:t>elektrické nebo elektronické zařízení spojené s osvětlením, odlišné pro každý typ osvětlení, jehož funkcí je zapnutí světla a řízení provozních podmínek. Toto pomocné zařízení, pokud není elektronické, je tvořeno kombinací startéru, předřadníku a kondenzátoru.</w:t>
      </w:r>
    </w:p>
    <w:p w14:paraId="66E0B2DA" w14:textId="77777777" w:rsidR="000760AB" w:rsidRPr="000760AB" w:rsidRDefault="000760AB" w:rsidP="00FD453F">
      <w:pPr>
        <w:spacing w:before="200" w:after="100"/>
        <w:ind w:left="284"/>
        <w:jc w:val="both"/>
        <w:rPr>
          <w:rFonts w:ascii="Calibri" w:eastAsia="Arial" w:hAnsi="Calibri" w:cs="Calibri"/>
          <w:bCs/>
          <w:iCs/>
          <w:kern w:val="2"/>
          <w:sz w:val="22"/>
          <w:szCs w:val="22"/>
        </w:rPr>
      </w:pPr>
      <w:r>
        <w:rPr>
          <w:rFonts w:ascii="Calibri" w:hAnsi="Calibri"/>
          <w:sz w:val="22"/>
        </w:rPr>
        <w:t>„</w:t>
      </w:r>
      <w:r>
        <w:rPr>
          <w:rFonts w:ascii="Calibri" w:hAnsi="Calibri"/>
          <w:b/>
          <w:i/>
          <w:sz w:val="22"/>
        </w:rPr>
        <w:t>Dobíjecí stanice</w:t>
      </w:r>
      <w:r>
        <w:rPr>
          <w:rFonts w:ascii="Calibri" w:hAnsi="Calibri"/>
          <w:b/>
          <w:sz w:val="22"/>
        </w:rPr>
        <w:t xml:space="preserve">: </w:t>
      </w:r>
      <w:r>
        <w:rPr>
          <w:rFonts w:ascii="Calibri" w:hAnsi="Calibri"/>
          <w:sz w:val="22"/>
        </w:rPr>
        <w:t xml:space="preserve">sada prvků potřebných pro připojení elektrického vozidla k pevné elektrické instalaci potřebné pro dobíjení. </w:t>
      </w:r>
      <w:r>
        <w:rPr>
          <w:rFonts w:ascii="Calibri" w:hAnsi="Calibri"/>
          <w:i/>
          <w:sz w:val="22"/>
        </w:rPr>
        <w:t>Dobíjecí stanice</w:t>
      </w:r>
      <w:r>
        <w:rPr>
          <w:rFonts w:ascii="Calibri" w:hAnsi="Calibri"/>
          <w:sz w:val="22"/>
        </w:rPr>
        <w:t xml:space="preserve"> jsou klasifikovány jako:</w:t>
      </w:r>
    </w:p>
    <w:p w14:paraId="553A42BD" w14:textId="77777777" w:rsidR="000760AB" w:rsidRPr="000760AB" w:rsidRDefault="000760AB" w:rsidP="00FD453F">
      <w:pPr>
        <w:spacing w:before="200" w:after="100"/>
        <w:ind w:left="284"/>
        <w:jc w:val="both"/>
        <w:rPr>
          <w:rFonts w:ascii="Calibri" w:eastAsia="Arial" w:hAnsi="Calibri" w:cs="Calibri"/>
          <w:bCs/>
          <w:iCs/>
          <w:kern w:val="2"/>
          <w:sz w:val="22"/>
          <w:szCs w:val="22"/>
        </w:rPr>
      </w:pPr>
      <w:r>
        <w:rPr>
          <w:rFonts w:ascii="Calibri" w:hAnsi="Calibri"/>
          <w:sz w:val="22"/>
        </w:rPr>
        <w:t>1.</w:t>
      </w:r>
      <w:r>
        <w:rPr>
          <w:rFonts w:ascii="Calibri" w:hAnsi="Calibri"/>
          <w:sz w:val="22"/>
        </w:rPr>
        <w:tab/>
        <w:t xml:space="preserve">Jedna dobíjecí stanice zahrnující nezbytné ochranné prvky, jednu nebo více zásuvek, které nejsou specifické pro </w:t>
      </w:r>
      <w:r>
        <w:rPr>
          <w:rFonts w:ascii="Calibri" w:hAnsi="Calibri"/>
          <w:i/>
          <w:sz w:val="22"/>
        </w:rPr>
        <w:t>elektrické vozidlo</w:t>
      </w:r>
      <w:r>
        <w:rPr>
          <w:rFonts w:ascii="Calibri" w:hAnsi="Calibri"/>
          <w:sz w:val="22"/>
        </w:rPr>
        <w:t xml:space="preserve"> a případně kryt.</w:t>
      </w:r>
    </w:p>
    <w:p w14:paraId="371F3BEE" w14:textId="77777777" w:rsidR="000760AB" w:rsidRPr="000760AB" w:rsidRDefault="000760AB" w:rsidP="00FD453F">
      <w:pPr>
        <w:spacing w:before="200" w:after="100"/>
        <w:ind w:left="284"/>
        <w:jc w:val="both"/>
        <w:rPr>
          <w:rFonts w:ascii="Calibri" w:eastAsia="Arial" w:hAnsi="Calibri" w:cs="Calibri"/>
          <w:b/>
          <w:bCs/>
          <w:i/>
          <w:iCs/>
          <w:kern w:val="2"/>
          <w:sz w:val="22"/>
          <w:szCs w:val="22"/>
        </w:rPr>
      </w:pPr>
      <w:r>
        <w:rPr>
          <w:rFonts w:ascii="Calibri" w:hAnsi="Calibri"/>
          <w:sz w:val="22"/>
        </w:rPr>
        <w:t>2.</w:t>
      </w:r>
      <w:r>
        <w:rPr>
          <w:rFonts w:ascii="Calibri" w:hAnsi="Calibri"/>
          <w:sz w:val="22"/>
        </w:rPr>
        <w:tab/>
        <w:t xml:space="preserve">Typ dobíjecí stanice SAVE </w:t>
      </w:r>
      <w:r>
        <w:rPr>
          <w:rFonts w:ascii="Calibri" w:hAnsi="Calibri"/>
          <w:i/>
          <w:sz w:val="22"/>
        </w:rPr>
        <w:t>(Systém napájení specifický pro elektrické vozidlo)</w:t>
      </w:r>
      <w:r>
        <w:rPr>
          <w:rFonts w:ascii="Calibri" w:hAnsi="Calibri"/>
          <w:sz w:val="22"/>
        </w:rPr>
        <w:t>.“</w:t>
      </w:r>
    </w:p>
    <w:p w14:paraId="444AE92F" w14:textId="77777777" w:rsidR="000760AB" w:rsidRPr="000760AB" w:rsidRDefault="000760AB" w:rsidP="00FD453F">
      <w:pPr>
        <w:spacing w:before="200" w:after="100"/>
        <w:ind w:left="284"/>
        <w:jc w:val="both"/>
        <w:rPr>
          <w:rFonts w:ascii="Calibri" w:eastAsia="Arial" w:hAnsi="Calibri" w:cs="Calibri"/>
          <w:kern w:val="2"/>
          <w:sz w:val="22"/>
          <w:szCs w:val="22"/>
        </w:rPr>
      </w:pPr>
      <w:r>
        <w:rPr>
          <w:rFonts w:ascii="Calibri" w:hAnsi="Calibri"/>
          <w:sz w:val="22"/>
        </w:rPr>
        <w:t>„</w:t>
      </w:r>
      <w:r>
        <w:rPr>
          <w:rFonts w:ascii="Calibri" w:hAnsi="Calibri"/>
          <w:b/>
          <w:i/>
          <w:sz w:val="22"/>
        </w:rPr>
        <w:t>Infrastruktura pro nabíjení elektrických vozidel</w:t>
      </w:r>
      <w:r>
        <w:rPr>
          <w:rFonts w:ascii="Calibri" w:hAnsi="Calibri"/>
          <w:b/>
          <w:sz w:val="22"/>
        </w:rPr>
        <w:t xml:space="preserve">: </w:t>
      </w:r>
      <w:r>
        <w:rPr>
          <w:rFonts w:ascii="Calibri" w:hAnsi="Calibri"/>
          <w:sz w:val="22"/>
        </w:rPr>
        <w:t xml:space="preserve">sada fyzických a logických zařízení určených k dobíjení elektrických vozidel splňujících požadavky na bezpečnost a dostupnost stanovené pro každý případ předpisem pro nízkonapěťové elektrotechnické systémy, které jsou schopné poskytovat plnou a komplexní dobíjecí službu. Zahrnuje </w:t>
      </w:r>
      <w:r>
        <w:rPr>
          <w:rFonts w:ascii="Calibri" w:hAnsi="Calibri"/>
          <w:i/>
          <w:sz w:val="22"/>
        </w:rPr>
        <w:t>dobíjecí stanice</w:t>
      </w:r>
      <w:r>
        <w:rPr>
          <w:rFonts w:ascii="Calibri" w:hAnsi="Calibri"/>
          <w:sz w:val="22"/>
        </w:rPr>
        <w:t>, řídicí systém, elektrické rozvody, elektrické ovládací a ochranné panely a měřicí zařízení, pokud jsou určeny výhradně pro nabíjení</w:t>
      </w:r>
      <w:r>
        <w:rPr>
          <w:rFonts w:ascii="Calibri" w:hAnsi="Calibri"/>
          <w:i/>
          <w:sz w:val="22"/>
        </w:rPr>
        <w:t xml:space="preserve"> elektrických vozidel</w:t>
      </w:r>
      <w:r>
        <w:rPr>
          <w:rFonts w:ascii="Calibri" w:hAnsi="Calibri"/>
          <w:sz w:val="22"/>
        </w:rPr>
        <w:t>.“</w:t>
      </w:r>
    </w:p>
    <w:p w14:paraId="08E0941B" w14:textId="77777777" w:rsidR="000760AB" w:rsidRPr="000760AB" w:rsidRDefault="000760AB" w:rsidP="00FD453F">
      <w:pPr>
        <w:spacing w:before="200" w:after="100"/>
        <w:ind w:left="284"/>
        <w:jc w:val="both"/>
        <w:rPr>
          <w:rFonts w:ascii="Calibri" w:eastAsia="Arial" w:hAnsi="Calibri" w:cs="Calibri"/>
          <w:kern w:val="2"/>
          <w:sz w:val="22"/>
          <w:szCs w:val="22"/>
        </w:rPr>
      </w:pPr>
      <w:r>
        <w:rPr>
          <w:rFonts w:ascii="Calibri" w:hAnsi="Calibri"/>
          <w:sz w:val="22"/>
        </w:rPr>
        <w:t>„</w:t>
      </w:r>
      <w:r>
        <w:rPr>
          <w:rFonts w:ascii="Calibri" w:hAnsi="Calibri"/>
          <w:b/>
          <w:i/>
          <w:sz w:val="22"/>
        </w:rPr>
        <w:t>Systém napájení specifický pro elektrické vozidlo (SAVE)</w:t>
      </w:r>
      <w:r>
        <w:rPr>
          <w:rFonts w:ascii="Calibri" w:hAnsi="Calibri"/>
          <w:b/>
          <w:sz w:val="22"/>
        </w:rPr>
        <w:t>:</w:t>
      </w:r>
      <w:r>
        <w:rPr>
          <w:rFonts w:ascii="Calibri" w:hAnsi="Calibri"/>
          <w:sz w:val="22"/>
        </w:rPr>
        <w:t xml:space="preserve"> soubor zařízení sestavených pro dodávky elektrické energie pro nabíjení elektrického vozidla včetně ochrany dobíjecí stanice, propojovacího kabelu (s fázovým, neutrálním a ochranným vodičem), základny nebo konektoru zásuvky a případně převodníku </w:t>
      </w:r>
      <w:r>
        <w:rPr>
          <w:rFonts w:ascii="Calibri" w:hAnsi="Calibri"/>
          <w:sz w:val="22"/>
        </w:rPr>
        <w:lastRenderedPageBreak/>
        <w:t xml:space="preserve">střídavého/stejnosměrného proudu. Tento systém musí případně umožňovat komunikaci mezi </w:t>
      </w:r>
      <w:r>
        <w:rPr>
          <w:rFonts w:ascii="Calibri" w:hAnsi="Calibri"/>
          <w:i/>
          <w:sz w:val="22"/>
        </w:rPr>
        <w:t>elektrickým vozidlem</w:t>
      </w:r>
      <w:r>
        <w:rPr>
          <w:rFonts w:ascii="Calibri" w:hAnsi="Calibri"/>
          <w:sz w:val="22"/>
        </w:rPr>
        <w:t xml:space="preserve"> a stacionárním zařízením.“</w:t>
      </w:r>
    </w:p>
    <w:p w14:paraId="2A9E9618" w14:textId="77777777" w:rsidR="000760AB" w:rsidRPr="000760AB" w:rsidRDefault="000760AB" w:rsidP="00FD453F">
      <w:pPr>
        <w:spacing w:before="200" w:after="100"/>
        <w:ind w:left="284"/>
        <w:jc w:val="both"/>
        <w:rPr>
          <w:rFonts w:ascii="Calibri" w:eastAsia="Arial" w:hAnsi="Calibri" w:cs="Calibri"/>
          <w:strike/>
          <w:kern w:val="2"/>
          <w:sz w:val="22"/>
          <w:szCs w:val="22"/>
        </w:rPr>
      </w:pPr>
      <w:r>
        <w:rPr>
          <w:rFonts w:ascii="Calibri" w:hAnsi="Calibri"/>
          <w:sz w:val="22"/>
        </w:rPr>
        <w:t>„</w:t>
      </w:r>
      <w:r>
        <w:rPr>
          <w:rFonts w:ascii="Calibri" w:hAnsi="Calibri"/>
          <w:b/>
          <w:i/>
          <w:sz w:val="22"/>
        </w:rPr>
        <w:t>Soukromé bydlení</w:t>
      </w:r>
      <w:r>
        <w:rPr>
          <w:rFonts w:ascii="Calibri" w:hAnsi="Calibri"/>
          <w:sz w:val="22"/>
        </w:rPr>
        <w:t>: Budova nebo plocha určená k trvalému bydlení, bez ohledu na typ budovy: samostatný dům, bytový dům atd., jak pro veřejný, tak pro soukromý rozvoj.“</w:t>
      </w:r>
    </w:p>
    <w:p w14:paraId="20F0D8BC" w14:textId="77777777" w:rsidR="000760AB" w:rsidRPr="000760AB" w:rsidRDefault="000760AB" w:rsidP="00FD453F">
      <w:pPr>
        <w:spacing w:before="200" w:after="100"/>
        <w:ind w:left="284"/>
        <w:jc w:val="both"/>
        <w:rPr>
          <w:rFonts w:ascii="Calibri" w:eastAsia="Arial" w:hAnsi="Calibri" w:cs="Calibri"/>
          <w:kern w:val="2"/>
          <w:sz w:val="22"/>
        </w:rPr>
      </w:pPr>
      <w:r>
        <w:rPr>
          <w:rFonts w:ascii="Calibri" w:hAnsi="Calibri"/>
          <w:sz w:val="22"/>
        </w:rPr>
        <w:t>„</w:t>
      </w:r>
      <w:r>
        <w:rPr>
          <w:rFonts w:ascii="Calibri" w:hAnsi="Calibri"/>
          <w:b/>
          <w:i/>
          <w:sz w:val="22"/>
        </w:rPr>
        <w:t>Elektrické vozidlo</w:t>
      </w:r>
      <w:r>
        <w:rPr>
          <w:rFonts w:ascii="Calibri" w:hAnsi="Calibri"/>
          <w:sz w:val="22"/>
        </w:rPr>
        <w:t>: motorové vozidlo vybavené pohonným ústrojím s alespoň jedním neperiferním elektrickým mechanismem pracujícím jako měnič energie a vybaveném dobíjecím systémem pro uchovávání elektrické energie, který lze dobíjet z vnějšku.“</w:t>
      </w:r>
    </w:p>
    <w:p w14:paraId="52B758BF" w14:textId="77777777" w:rsidR="000760AB" w:rsidRPr="000760AB" w:rsidRDefault="000760AB" w:rsidP="000760AB">
      <w:pPr>
        <w:spacing w:before="200" w:after="100"/>
        <w:ind w:left="284"/>
        <w:jc w:val="both"/>
        <w:rPr>
          <w:rFonts w:ascii="Calibri" w:eastAsia="Arial" w:hAnsi="Calibri" w:cs="Calibri"/>
          <w:kern w:val="2"/>
          <w:sz w:val="22"/>
          <w:szCs w:val="22"/>
        </w:rPr>
      </w:pPr>
      <w:r>
        <w:rPr>
          <w:rFonts w:ascii="Calibri" w:hAnsi="Calibri"/>
          <w:sz w:val="22"/>
        </w:rPr>
        <w:t>yy) V příloze C se slova „tepelný plášť“ v názvu a výraz „jiné než obyvatelné prostory“ v oddíle 1 písm. a) uvádějí kurzívou.</w:t>
      </w:r>
    </w:p>
    <w:p w14:paraId="5ED476EB" w14:textId="77777777" w:rsidR="000760AB" w:rsidRPr="000760AB" w:rsidRDefault="000760AB" w:rsidP="000760AB">
      <w:pPr>
        <w:spacing w:before="200" w:after="100"/>
        <w:ind w:left="284"/>
        <w:jc w:val="both"/>
        <w:rPr>
          <w:rFonts w:ascii="Calibri" w:eastAsia="Arial" w:hAnsi="Calibri" w:cs="Calibri"/>
          <w:kern w:val="2"/>
          <w:sz w:val="22"/>
          <w:szCs w:val="22"/>
        </w:rPr>
      </w:pPr>
      <w:r>
        <w:rPr>
          <w:rFonts w:ascii="Calibri" w:hAnsi="Calibri"/>
          <w:sz w:val="22"/>
        </w:rPr>
        <w:t xml:space="preserve">zz) V příloze D se slova „Provozní podmínky“, „profily použití“ a „soukromé bydlení“ uvádějí kurzívou v nadpisu, v odstavci 2 a v tabulkách tabulka a-příloha D, tabulka b-příloha D a tabulka c-příloha D. </w:t>
      </w:r>
    </w:p>
    <w:p w14:paraId="17E305EB" w14:textId="77777777" w:rsidR="000760AB" w:rsidRPr="000760AB" w:rsidRDefault="000760AB" w:rsidP="000760AB">
      <w:pPr>
        <w:spacing w:before="200" w:after="100"/>
        <w:ind w:left="284"/>
        <w:jc w:val="both"/>
        <w:rPr>
          <w:rFonts w:ascii="Calibri" w:eastAsia="Arial" w:hAnsi="Calibri" w:cs="Calibri"/>
          <w:kern w:val="2"/>
          <w:sz w:val="22"/>
          <w:szCs w:val="22"/>
        </w:rPr>
      </w:pPr>
      <w:r>
        <w:rPr>
          <w:rFonts w:ascii="Calibri" w:hAnsi="Calibri"/>
          <w:sz w:val="22"/>
        </w:rPr>
        <w:t xml:space="preserve">aaa) V příloze D se odstavec „2 </w:t>
      </w:r>
      <w:r>
        <w:rPr>
          <w:rFonts w:ascii="Calibri" w:hAnsi="Calibri"/>
          <w:i/>
          <w:sz w:val="22"/>
        </w:rPr>
        <w:t>Provozní podmínky</w:t>
      </w:r>
      <w:r>
        <w:rPr>
          <w:rFonts w:ascii="Calibri" w:hAnsi="Calibri"/>
          <w:sz w:val="22"/>
        </w:rPr>
        <w:t xml:space="preserve"> a </w:t>
      </w:r>
      <w:r>
        <w:rPr>
          <w:rFonts w:ascii="Calibri" w:hAnsi="Calibri"/>
          <w:i/>
          <w:sz w:val="22"/>
        </w:rPr>
        <w:t>profil použití</w:t>
      </w:r>
      <w:r>
        <w:rPr>
          <w:rFonts w:ascii="Calibri" w:hAnsi="Calibri"/>
          <w:sz w:val="22"/>
        </w:rPr>
        <w:t xml:space="preserve">,...“ označuje jako „3 </w:t>
      </w:r>
      <w:r>
        <w:rPr>
          <w:rFonts w:ascii="Calibri" w:hAnsi="Calibri"/>
          <w:i/>
          <w:sz w:val="22"/>
        </w:rPr>
        <w:t>Provozní podmínky</w:t>
      </w:r>
      <w:r>
        <w:rPr>
          <w:rFonts w:ascii="Calibri" w:hAnsi="Calibri"/>
          <w:sz w:val="22"/>
        </w:rPr>
        <w:t xml:space="preserve"> a </w:t>
      </w:r>
      <w:r>
        <w:rPr>
          <w:rFonts w:ascii="Calibri" w:hAnsi="Calibri"/>
          <w:i/>
          <w:sz w:val="22"/>
        </w:rPr>
        <w:t>profil použití</w:t>
      </w:r>
      <w:r>
        <w:rPr>
          <w:rFonts w:ascii="Calibri" w:hAnsi="Calibri"/>
          <w:sz w:val="22"/>
        </w:rPr>
        <w:t>…“</w:t>
      </w:r>
    </w:p>
    <w:p w14:paraId="7B66B51A"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bbb) V příloze D odstavci 4 se slova „uznaný dokument“ nahrazují slovy „uznaný dokument pro energetickou certifikaci budov“.</w:t>
      </w:r>
    </w:p>
    <w:p w14:paraId="2E3E9125"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ccc) V příloze E se slova „soukromé bydlení“ v oddíle 1 uvádějí kurzívou.</w:t>
      </w:r>
    </w:p>
    <w:p w14:paraId="31530518"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ddd) V příloze F se slova „soukromé bydlení“ uvádějí kurzívou jak v oddíle 1, tak v tabulce a-příloha F.</w:t>
      </w:r>
    </w:p>
    <w:p w14:paraId="58F73C97" w14:textId="77777777" w:rsidR="000760AB" w:rsidRPr="000760AB" w:rsidRDefault="000760AB" w:rsidP="000760AB">
      <w:pPr>
        <w:spacing w:after="160" w:line="259" w:lineRule="auto"/>
        <w:ind w:left="567" w:hanging="283"/>
        <w:jc w:val="both"/>
        <w:rPr>
          <w:rFonts w:ascii="Calibri" w:eastAsia="Arial" w:hAnsi="Calibri" w:cs="Calibri"/>
          <w:kern w:val="2"/>
          <w:sz w:val="22"/>
          <w:szCs w:val="22"/>
        </w:rPr>
      </w:pPr>
      <w:r>
        <w:rPr>
          <w:rFonts w:ascii="Calibri" w:hAnsi="Calibri"/>
          <w:sz w:val="22"/>
        </w:rPr>
        <w:t xml:space="preserve">eee) V příloze H se za název sekce vkládá toto:  </w:t>
      </w:r>
    </w:p>
    <w:p w14:paraId="1FDC42A7" w14:textId="77777777" w:rsidR="000760AB" w:rsidRPr="000760AB" w:rsidRDefault="000760AB" w:rsidP="00FD453F">
      <w:pPr>
        <w:spacing w:after="160" w:line="259" w:lineRule="auto"/>
        <w:ind w:left="284"/>
        <w:jc w:val="both"/>
        <w:rPr>
          <w:rFonts w:ascii="Calibri" w:eastAsia="Calibri" w:hAnsi="Calibri" w:cs="Calibri"/>
          <w:sz w:val="22"/>
          <w:szCs w:val="22"/>
        </w:rPr>
      </w:pPr>
      <w:r>
        <w:rPr>
          <w:rFonts w:ascii="Calibri" w:hAnsi="Calibri"/>
          <w:sz w:val="22"/>
        </w:rPr>
        <w:t xml:space="preserve">„Stanovení </w:t>
      </w:r>
      <w:r>
        <w:rPr>
          <w:rFonts w:ascii="Calibri" w:hAnsi="Calibri"/>
          <w:i/>
          <w:sz w:val="22"/>
        </w:rPr>
        <w:t>vzduchové propustnosti</w:t>
      </w:r>
      <w:r>
        <w:rPr>
          <w:rFonts w:ascii="Calibri" w:hAnsi="Calibri"/>
          <w:sz w:val="22"/>
        </w:rPr>
        <w:t xml:space="preserve"> budovy musí být provedeno jednou z následujících metod.“ </w:t>
      </w:r>
    </w:p>
    <w:p w14:paraId="5FF5B351"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fff) V příloze H se slova „Hodnotu poměru výměny vzduchu při 50 Pa, n50, lze získat zkoušením podle metody B normy UNE-EN 13829:2002 Stanovení průvzdušnosti budov. Tlaková metoda." nahrazují slovy: „Hodnota </w:t>
      </w:r>
      <w:r>
        <w:rPr>
          <w:rFonts w:ascii="Calibri" w:hAnsi="Calibri"/>
          <w:i/>
          <w:sz w:val="22"/>
        </w:rPr>
        <w:t>poměru výměny vzduchu</w:t>
      </w:r>
      <w:r>
        <w:rPr>
          <w:rFonts w:ascii="Calibri" w:hAnsi="Calibri"/>
          <w:sz w:val="22"/>
        </w:rPr>
        <w:t xml:space="preserve"> při 50 Pa, n</w:t>
      </w:r>
      <w:r>
        <w:rPr>
          <w:rFonts w:ascii="Calibri" w:hAnsi="Calibri"/>
          <w:sz w:val="22"/>
          <w:vertAlign w:val="subscript"/>
        </w:rPr>
        <w:t>50</w:t>
      </w:r>
      <w:r>
        <w:rPr>
          <w:rFonts w:ascii="Calibri" w:hAnsi="Calibri"/>
          <w:sz w:val="22"/>
        </w:rPr>
        <w:t xml:space="preserve"> pomocí zkoušky se získá metodou 1 nebo 2 normy UNE-EN ISO 9972: 2019 </w:t>
      </w:r>
      <w:r>
        <w:rPr>
          <w:rFonts w:ascii="Calibri" w:hAnsi="Calibri"/>
          <w:i/>
          <w:sz w:val="22"/>
        </w:rPr>
        <w:t>Tepelné chování budov. Stanovení průvzdušnosti budov. Tlaková metoda.“.</w:t>
      </w:r>
    </w:p>
    <w:p w14:paraId="6FED2289"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ggg) V sekci H oddílu 2 se slova: „... 2. Hodnotu poměru výměny vzduchu při 50 Pa, n</w:t>
      </w:r>
      <w:r>
        <w:rPr>
          <w:rFonts w:ascii="Calibri" w:hAnsi="Calibri"/>
          <w:sz w:val="22"/>
          <w:vertAlign w:val="subscript"/>
        </w:rPr>
        <w:t>50</w:t>
      </w:r>
      <w:r>
        <w:rPr>
          <w:rFonts w:ascii="Calibri" w:hAnsi="Calibri"/>
          <w:sz w:val="22"/>
        </w:rPr>
        <w:t xml:space="preserve">, lze vypočítat z následující rovnice:" nahrazují slovy: „... 1. Hodnota </w:t>
      </w:r>
      <w:r>
        <w:rPr>
          <w:rFonts w:ascii="Calibri" w:hAnsi="Calibri"/>
          <w:i/>
          <w:sz w:val="22"/>
        </w:rPr>
        <w:t>poměru výměny vzduchu</w:t>
      </w:r>
      <w:r>
        <w:rPr>
          <w:rFonts w:ascii="Calibri" w:hAnsi="Calibri"/>
          <w:sz w:val="22"/>
        </w:rPr>
        <w:t xml:space="preserve"> při 50 Pa a n</w:t>
      </w:r>
      <w:r>
        <w:rPr>
          <w:rFonts w:ascii="Calibri" w:hAnsi="Calibri"/>
          <w:sz w:val="22"/>
          <w:vertAlign w:val="subscript"/>
        </w:rPr>
        <w:t>50</w:t>
      </w:r>
      <w:r>
        <w:rPr>
          <w:rFonts w:ascii="Calibri" w:hAnsi="Calibri"/>
          <w:sz w:val="22"/>
        </w:rPr>
        <w:t xml:space="preserve"> k referenčním hodnotám se získá z následujícího vyjádření:“ se slova: n</w:t>
      </w:r>
      <w:r>
        <w:rPr>
          <w:rFonts w:ascii="Calibri" w:hAnsi="Calibri"/>
          <w:sz w:val="22"/>
          <w:vertAlign w:val="subscript"/>
        </w:rPr>
        <w:t>50</w:t>
      </w:r>
      <w:r>
        <w:rPr>
          <w:rFonts w:ascii="Calibri" w:hAnsi="Calibri"/>
          <w:sz w:val="22"/>
        </w:rPr>
        <w:t xml:space="preserve"> = 0,629 · (C</w:t>
      </w:r>
      <w:r>
        <w:rPr>
          <w:rFonts w:ascii="Calibri" w:hAnsi="Calibri"/>
          <w:sz w:val="22"/>
          <w:vertAlign w:val="subscript"/>
        </w:rPr>
        <w:t>o</w:t>
      </w:r>
      <w:r>
        <w:rPr>
          <w:rFonts w:ascii="Calibri" w:hAnsi="Calibri"/>
          <w:sz w:val="22"/>
        </w:rPr>
        <w:t xml:space="preserve"> · A</w:t>
      </w:r>
      <w:r>
        <w:rPr>
          <w:rFonts w:ascii="Calibri" w:hAnsi="Calibri"/>
          <w:sz w:val="22"/>
          <w:vertAlign w:val="subscript"/>
        </w:rPr>
        <w:t>o</w:t>
      </w:r>
      <w:r>
        <w:rPr>
          <w:rFonts w:ascii="Calibri" w:hAnsi="Calibri"/>
          <w:sz w:val="22"/>
        </w:rPr>
        <w:t xml:space="preserve"> + C</w:t>
      </w:r>
      <w:r>
        <w:rPr>
          <w:rFonts w:ascii="Calibri" w:hAnsi="Calibri"/>
          <w:sz w:val="22"/>
          <w:vertAlign w:val="subscript"/>
        </w:rPr>
        <w:t>h</w:t>
      </w:r>
      <w:r>
        <w:rPr>
          <w:rFonts w:ascii="Calibri" w:hAnsi="Calibri"/>
          <w:sz w:val="22"/>
        </w:rPr>
        <w:t xml:space="preserve"> · A</w:t>
      </w:r>
      <w:r>
        <w:rPr>
          <w:rFonts w:ascii="Calibri" w:hAnsi="Calibri"/>
          <w:sz w:val="22"/>
          <w:vertAlign w:val="subscript"/>
        </w:rPr>
        <w:t>h</w:t>
      </w:r>
      <w:r>
        <w:rPr>
          <w:rFonts w:ascii="Calibri" w:hAnsi="Calibri"/>
          <w:sz w:val="22"/>
        </w:rPr>
        <w:t>) / V“ nahrazují slovy: „n</w:t>
      </w:r>
      <w:r>
        <w:rPr>
          <w:rFonts w:ascii="Calibri" w:hAnsi="Calibri"/>
          <w:sz w:val="22"/>
          <w:vertAlign w:val="subscript"/>
        </w:rPr>
        <w:t>50</w:t>
      </w:r>
      <w:r>
        <w:rPr>
          <w:rFonts w:ascii="Calibri" w:hAnsi="Calibri"/>
          <w:sz w:val="22"/>
        </w:rPr>
        <w:t xml:space="preserve"> = 0,629 · (C</w:t>
      </w:r>
      <w:r>
        <w:rPr>
          <w:rFonts w:ascii="Calibri" w:hAnsi="Calibri"/>
          <w:sz w:val="22"/>
          <w:vertAlign w:val="subscript"/>
        </w:rPr>
        <w:t>o</w:t>
      </w:r>
      <w:r>
        <w:rPr>
          <w:rFonts w:ascii="Calibri" w:hAnsi="Calibri"/>
          <w:sz w:val="22"/>
        </w:rPr>
        <w:t xml:space="preserve"> · A</w:t>
      </w:r>
      <w:r>
        <w:rPr>
          <w:rFonts w:ascii="Calibri" w:hAnsi="Calibri"/>
          <w:sz w:val="22"/>
          <w:vertAlign w:val="subscript"/>
        </w:rPr>
        <w:t>o</w:t>
      </w:r>
      <w:r>
        <w:rPr>
          <w:rFonts w:ascii="Calibri" w:hAnsi="Calibri"/>
          <w:sz w:val="22"/>
        </w:rPr>
        <w:t xml:space="preserve"> + C</w:t>
      </w:r>
      <w:r>
        <w:rPr>
          <w:rFonts w:ascii="Calibri" w:hAnsi="Calibri"/>
          <w:sz w:val="22"/>
          <w:vertAlign w:val="subscript"/>
        </w:rPr>
        <w:t>h</w:t>
      </w:r>
      <w:r>
        <w:rPr>
          <w:rFonts w:ascii="Calibri" w:hAnsi="Calibri"/>
          <w:sz w:val="22"/>
        </w:rPr>
        <w:t xml:space="preserve"> · A</w:t>
      </w:r>
      <w:r>
        <w:rPr>
          <w:rFonts w:ascii="Calibri" w:hAnsi="Calibri"/>
          <w:sz w:val="22"/>
          <w:vertAlign w:val="subscript"/>
        </w:rPr>
        <w:t>h</w:t>
      </w:r>
      <w:r>
        <w:rPr>
          <w:rFonts w:ascii="Calibri" w:hAnsi="Calibri"/>
          <w:sz w:val="22"/>
        </w:rPr>
        <w:t>) / V</w:t>
      </w:r>
      <w:r>
        <w:rPr>
          <w:rFonts w:ascii="Calibri" w:hAnsi="Calibri"/>
          <w:sz w:val="22"/>
          <w:vertAlign w:val="subscript"/>
        </w:rPr>
        <w:t>int</w:t>
      </w:r>
      <w:r>
        <w:rPr>
          <w:rFonts w:ascii="Calibri" w:hAnsi="Calibri"/>
          <w:sz w:val="22"/>
        </w:rPr>
        <w:t>“, se slova: „V je vnitřní objem tepelného pláště v [m</w:t>
      </w:r>
      <w:r>
        <w:rPr>
          <w:rFonts w:ascii="Calibri" w:hAnsi="Calibri"/>
          <w:sz w:val="22"/>
          <w:vertAlign w:val="superscript"/>
        </w:rPr>
        <w:t>3</w:t>
      </w:r>
      <w:r>
        <w:rPr>
          <w:rFonts w:ascii="Calibri" w:hAnsi="Calibri"/>
          <w:sz w:val="22"/>
        </w:rPr>
        <w:t>]“ nahrazují slovy: „V</w:t>
      </w:r>
      <w:r>
        <w:rPr>
          <w:rFonts w:ascii="Calibri" w:hAnsi="Calibri"/>
          <w:sz w:val="22"/>
          <w:vertAlign w:val="subscript"/>
        </w:rPr>
        <w:t>int</w:t>
      </w:r>
      <w:r>
        <w:rPr>
          <w:rFonts w:ascii="Calibri" w:hAnsi="Calibri"/>
          <w:sz w:val="22"/>
        </w:rPr>
        <w:t xml:space="preserve"> je vnitřní objem vzduchu </w:t>
      </w:r>
      <w:r>
        <w:rPr>
          <w:rFonts w:ascii="Calibri" w:hAnsi="Calibri"/>
          <w:i/>
          <w:sz w:val="22"/>
        </w:rPr>
        <w:t>tepelného pláště</w:t>
      </w:r>
      <w:r>
        <w:rPr>
          <w:rFonts w:ascii="Calibri" w:hAnsi="Calibri"/>
          <w:sz w:val="22"/>
        </w:rPr>
        <w:t>, v [m</w:t>
      </w:r>
      <w:r>
        <w:rPr>
          <w:rFonts w:ascii="Calibri" w:hAnsi="Calibri"/>
          <w:sz w:val="22"/>
          <w:vertAlign w:val="superscript"/>
        </w:rPr>
        <w:t>3</w:t>
      </w:r>
      <w:r>
        <w:rPr>
          <w:rFonts w:ascii="Calibri" w:hAnsi="Calibri"/>
          <w:sz w:val="22"/>
        </w:rPr>
        <w:t>]“ a slova: „A</w:t>
      </w:r>
      <w:r>
        <w:rPr>
          <w:rFonts w:ascii="Calibri" w:hAnsi="Calibri"/>
          <w:sz w:val="22"/>
          <w:vertAlign w:val="subscript"/>
        </w:rPr>
        <w:t>o</w:t>
      </w:r>
      <w:r>
        <w:rPr>
          <w:rFonts w:ascii="Calibri" w:hAnsi="Calibri"/>
          <w:sz w:val="22"/>
        </w:rPr>
        <w:t xml:space="preserve"> je povrch neprůhledné části </w:t>
      </w:r>
      <w:r>
        <w:rPr>
          <w:rFonts w:ascii="Calibri" w:hAnsi="Calibri"/>
          <w:i/>
          <w:sz w:val="22"/>
        </w:rPr>
        <w:t>tepelného pláště</w:t>
      </w:r>
      <w:r>
        <w:rPr>
          <w:rFonts w:ascii="Calibri" w:hAnsi="Calibri"/>
          <w:sz w:val="22"/>
        </w:rPr>
        <w:t xml:space="preserve"> v [m</w:t>
      </w:r>
      <w:r>
        <w:rPr>
          <w:rFonts w:ascii="Calibri" w:hAnsi="Calibri"/>
          <w:sz w:val="22"/>
          <w:vertAlign w:val="superscript"/>
        </w:rPr>
        <w:t>2</w:t>
      </w:r>
      <w:r>
        <w:rPr>
          <w:rFonts w:ascii="Calibri" w:hAnsi="Calibri"/>
          <w:sz w:val="22"/>
        </w:rPr>
        <w:t>]“ se nahrazují slovy: „A</w:t>
      </w:r>
      <w:r>
        <w:rPr>
          <w:rFonts w:ascii="Calibri" w:hAnsi="Calibri"/>
          <w:sz w:val="22"/>
          <w:vertAlign w:val="subscript"/>
        </w:rPr>
        <w:t>o</w:t>
      </w:r>
      <w:r>
        <w:rPr>
          <w:rFonts w:ascii="Calibri" w:hAnsi="Calibri"/>
          <w:sz w:val="22"/>
        </w:rPr>
        <w:t xml:space="preserve"> je povrch neprůhledné části </w:t>
      </w:r>
      <w:r>
        <w:rPr>
          <w:rFonts w:ascii="Calibri" w:hAnsi="Calibri"/>
          <w:i/>
          <w:sz w:val="22"/>
        </w:rPr>
        <w:t>tepelného pláště</w:t>
      </w:r>
      <w:r>
        <w:rPr>
          <w:rFonts w:ascii="Calibri" w:hAnsi="Calibri"/>
          <w:sz w:val="22"/>
        </w:rPr>
        <w:t xml:space="preserve"> v kontaktu s venkovním vzduchem v [m</w:t>
      </w:r>
      <w:r>
        <w:rPr>
          <w:rFonts w:ascii="Calibri" w:hAnsi="Calibri"/>
          <w:sz w:val="22"/>
          <w:vertAlign w:val="superscript"/>
        </w:rPr>
        <w:t>2</w:t>
      </w:r>
      <w:r>
        <w:rPr>
          <w:rFonts w:ascii="Calibri" w:hAnsi="Calibri"/>
          <w:sz w:val="22"/>
        </w:rPr>
        <w:t xml:space="preserve">]“. </w:t>
      </w:r>
    </w:p>
    <w:p w14:paraId="7752C220" w14:textId="77777777" w:rsidR="000760AB" w:rsidRPr="000760AB" w:rsidRDefault="000760AB" w:rsidP="000760AB">
      <w:pPr>
        <w:spacing w:before="200" w:after="100"/>
        <w:ind w:left="284"/>
        <w:jc w:val="both"/>
        <w:rPr>
          <w:rFonts w:ascii="Calibri" w:eastAsia="Arial" w:hAnsi="Calibri" w:cs="Calibri"/>
          <w:kern w:val="2"/>
          <w:sz w:val="22"/>
          <w:szCs w:val="22"/>
        </w:rPr>
      </w:pPr>
      <w:r>
        <w:rPr>
          <w:rFonts w:ascii="Calibri" w:hAnsi="Calibri"/>
          <w:sz w:val="22"/>
        </w:rPr>
        <w:t>hhh) V příloze H se slova „tepelný plášť“ a „otvory“ v popisu pojmů C</w:t>
      </w:r>
      <w:r>
        <w:rPr>
          <w:rFonts w:ascii="Calibri" w:hAnsi="Calibri"/>
          <w:sz w:val="22"/>
          <w:vertAlign w:val="subscript"/>
        </w:rPr>
        <w:t>o</w:t>
      </w:r>
      <w:r>
        <w:rPr>
          <w:rFonts w:ascii="Calibri" w:hAnsi="Calibri"/>
          <w:sz w:val="22"/>
        </w:rPr>
        <w:t>, C</w:t>
      </w:r>
      <w:r>
        <w:rPr>
          <w:rFonts w:ascii="Calibri" w:hAnsi="Calibri"/>
          <w:sz w:val="22"/>
          <w:vertAlign w:val="subscript"/>
        </w:rPr>
        <w:t>h</w:t>
      </w:r>
      <w:r>
        <w:rPr>
          <w:rFonts w:ascii="Calibri" w:hAnsi="Calibri"/>
          <w:sz w:val="22"/>
        </w:rPr>
        <w:t>, A</w:t>
      </w:r>
      <w:r>
        <w:rPr>
          <w:rFonts w:ascii="Calibri" w:hAnsi="Calibri"/>
          <w:sz w:val="22"/>
          <w:vertAlign w:val="subscript"/>
        </w:rPr>
        <w:t>h</w:t>
      </w:r>
      <w:r>
        <w:rPr>
          <w:rFonts w:ascii="Calibri" w:hAnsi="Calibri"/>
          <w:sz w:val="22"/>
        </w:rPr>
        <w:t xml:space="preserve"> a v tabulce a-příloha H uvádějí kurzívou.</w:t>
      </w:r>
    </w:p>
    <w:p w14:paraId="3CEE363E" w14:textId="77777777" w:rsidR="000760AB" w:rsidRPr="000760AB" w:rsidRDefault="000760AB" w:rsidP="00FD453F">
      <w:pPr>
        <w:spacing w:after="160" w:line="259" w:lineRule="auto"/>
        <w:ind w:left="13" w:hanging="13"/>
        <w:jc w:val="both"/>
        <w:rPr>
          <w:rFonts w:ascii="Calibri" w:eastAsia="Calibri" w:hAnsi="Calibri" w:cs="Calibri"/>
          <w:sz w:val="22"/>
          <w:szCs w:val="22"/>
        </w:rPr>
      </w:pPr>
      <w:r>
        <w:rPr>
          <w:rFonts w:ascii="Calibri" w:hAnsi="Calibri"/>
          <w:sz w:val="22"/>
        </w:rPr>
        <w:t>Začtvrté.</w:t>
      </w:r>
      <w:r>
        <w:rPr>
          <w:rFonts w:ascii="Calibri" w:hAnsi="Calibri"/>
          <w:b/>
          <w:sz w:val="22"/>
        </w:rPr>
        <w:t xml:space="preserve"> </w:t>
      </w:r>
      <w:r>
        <w:rPr>
          <w:rFonts w:ascii="Calibri" w:hAnsi="Calibri"/>
          <w:sz w:val="22"/>
        </w:rPr>
        <w:t xml:space="preserve">Následující úpravy jsou uvedeny v základním dokumentu DB-SUA „Bezpečnost při používání a přístupnost“, který je součástí části II technického stavebního řádu: </w:t>
      </w:r>
    </w:p>
    <w:p w14:paraId="19A3C2AA" w14:textId="77777777" w:rsidR="000760AB" w:rsidRPr="000760AB" w:rsidRDefault="000760AB" w:rsidP="00FD453F">
      <w:pPr>
        <w:spacing w:after="160" w:line="259" w:lineRule="auto"/>
        <w:ind w:left="284"/>
        <w:jc w:val="both"/>
        <w:rPr>
          <w:rFonts w:ascii="Calibri" w:eastAsia="Calibri" w:hAnsi="Calibri" w:cs="Calibri"/>
          <w:sz w:val="22"/>
          <w:szCs w:val="22"/>
        </w:rPr>
      </w:pPr>
      <w:r>
        <w:rPr>
          <w:rFonts w:ascii="Calibri" w:hAnsi="Calibri"/>
          <w:sz w:val="22"/>
        </w:rPr>
        <w:t>V příloze A definice „Přístupného parkovacího místa“ zahrnuje pomlčku a slova:</w:t>
      </w:r>
    </w:p>
    <w:p w14:paraId="3A6FBAF1" w14:textId="77777777" w:rsidR="000760AB" w:rsidRPr="000760AB" w:rsidRDefault="000760AB" w:rsidP="00FD453F">
      <w:pPr>
        <w:spacing w:after="160" w:line="259" w:lineRule="auto"/>
        <w:ind w:left="284"/>
        <w:jc w:val="both"/>
        <w:rPr>
          <w:rFonts w:ascii="Calibri" w:eastAsia="Calibri" w:hAnsi="Calibri" w:cs="Calibri"/>
          <w:sz w:val="22"/>
          <w:szCs w:val="22"/>
        </w:rPr>
      </w:pPr>
      <w:r>
        <w:rPr>
          <w:rFonts w:ascii="Calibri" w:hAnsi="Calibri"/>
          <w:sz w:val="22"/>
        </w:rPr>
        <w:lastRenderedPageBreak/>
        <w:t xml:space="preserve">‘- V případě, že je na </w:t>
      </w:r>
      <w:r>
        <w:rPr>
          <w:rFonts w:ascii="Calibri" w:hAnsi="Calibri"/>
          <w:i/>
          <w:sz w:val="22"/>
        </w:rPr>
        <w:t>přístupném parkovací místě</w:t>
      </w:r>
      <w:r>
        <w:rPr>
          <w:rFonts w:ascii="Calibri" w:hAnsi="Calibri"/>
          <w:sz w:val="22"/>
        </w:rPr>
        <w:t xml:space="preserve"> je dobíjecí stanice pro elektromobily, zahrnuje </w:t>
      </w:r>
      <w:r>
        <w:rPr>
          <w:rFonts w:ascii="Calibri" w:hAnsi="Calibri"/>
          <w:i/>
          <w:iCs/>
          <w:sz w:val="22"/>
        </w:rPr>
        <w:t>přístupná trasa</w:t>
      </w:r>
      <w:r>
        <w:rPr>
          <w:rFonts w:ascii="Calibri" w:hAnsi="Calibri"/>
          <w:sz w:val="22"/>
        </w:rPr>
        <w:t xml:space="preserve"> i tuto dobíjecí stanici. Elektrické zásuvky a konektory těchto dobíjecích stanic musí být v barevném kontrastu s prostředím, musí být umístěny ve výšce od 80 do 120 cm a vzdálenost od rohů musí být nejméně 35 cm.“</w:t>
      </w:r>
    </w:p>
    <w:p w14:paraId="6B637874" w14:textId="77777777" w:rsidR="000760AB" w:rsidRPr="000760AB" w:rsidRDefault="000760AB" w:rsidP="000760AB">
      <w:pPr>
        <w:spacing w:after="160" w:line="259" w:lineRule="auto"/>
        <w:ind w:left="13"/>
        <w:jc w:val="both"/>
        <w:rPr>
          <w:rFonts w:ascii="Calibri" w:eastAsia="Calibri" w:hAnsi="Calibri" w:cs="Calibri"/>
          <w:sz w:val="22"/>
          <w:szCs w:val="22"/>
        </w:rPr>
      </w:pPr>
      <w:r>
        <w:rPr>
          <w:rFonts w:ascii="Calibri" w:hAnsi="Calibri"/>
          <w:sz w:val="22"/>
        </w:rPr>
        <w:t>Zapáté. Základní dokument DB-HS „Nezávadnost“, který je součástí části II, se mění takto:</w:t>
      </w:r>
    </w:p>
    <w:p w14:paraId="6210F03A"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bookmarkStart w:id="25" w:name="_Hlk103704636"/>
      <w:r>
        <w:rPr>
          <w:rFonts w:ascii="Calibri" w:hAnsi="Calibri"/>
          <w:sz w:val="22"/>
        </w:rPr>
        <w:t>a) V sekci HS 4 se v bodu 2 oddílu 3.2.2.1 věta „minimální podíl solární energie na výrobě teplé užitkové vody“ nahrazuje větou „minimální podíl energie z obnovitelných zdrojů k pokrytí poptávky po teplé užitkové vodě“.</w:t>
      </w:r>
    </w:p>
    <w:p w14:paraId="3EDCC51A"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b) V sekci HS 4 oddílu 6.2 se písmeno „e) chlorované polyvinylchloridové (PVC-C) potrubí podle norem UNE-EN ISO 15874-1:2013, UNE-EN ISO 15874-2:2013 a UNE-EN ISO 15874-3:2013;“ nahrazuje písmenem „e) chlorované polyvinylchloridové (PVC-C) potrubí podle norem UNE-EN ISO 15877-1:2009 (+UNE-EN ISO 15877-1:2009/A1): 2011), UNE-EN ISO 15877-2:2009 (+UNE-EN ISO 15877-2:2009/A1: 2011) a UNE-EN ISO 15877-3:2009 (+UNE-EN ISO 15877-3:2009/A1: 2011);“.</w:t>
      </w:r>
    </w:p>
    <w:p w14:paraId="36823CBB"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c) V sekci HS 4 oddílu 6.2 se písmeno „h) polybutylenové (PB) potrubí podle norem UNE-EN ISO 15876-1:2017, UNE-EN ISO 15876-2:2017 a UNE-EN ISO 15876-3:2017;“ nahrazuje písmenem „h) polybutenové (PB) potrubí podle norem UNE-EN ISO 15876-1:2017, UNE-EN ISO 15876-2:2017 a UNE-EN ISO 15876-3:2017;“.</w:t>
      </w:r>
    </w:p>
    <w:p w14:paraId="3D6093F2"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d) V</w:t>
      </w:r>
      <w:r>
        <w:rPr>
          <w:rFonts w:ascii="Calibri" w:hAnsi="Calibri"/>
          <w:b/>
          <w:sz w:val="22"/>
        </w:rPr>
        <w:t xml:space="preserve"> </w:t>
      </w:r>
      <w:r>
        <w:rPr>
          <w:rFonts w:ascii="Calibri" w:hAnsi="Calibri"/>
          <w:sz w:val="22"/>
        </w:rPr>
        <w:t>sekci HS 4 dodatku C se slova: „Plastové potrubní systémy pro rozvod horké a studené vody. Polybutylen (PB). Část 1: Obecně" nahrazují slovy: „Plastové potrubní systémy pro rozvod horké a studené vody. Polybuten (PB). Část 1: Obecně</w:t>
      </w:r>
    </w:p>
    <w:p w14:paraId="3D1885BA"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e) V</w:t>
      </w:r>
      <w:r>
        <w:rPr>
          <w:rFonts w:ascii="Calibri" w:hAnsi="Calibri"/>
          <w:b/>
          <w:sz w:val="22"/>
        </w:rPr>
        <w:t xml:space="preserve"> </w:t>
      </w:r>
      <w:r>
        <w:rPr>
          <w:rFonts w:ascii="Calibri" w:hAnsi="Calibri"/>
          <w:sz w:val="22"/>
        </w:rPr>
        <w:t>sekci HS 4 dodatku C, se slova: „Plastové potrubní systémy pro rozvod horké a studené vody. Polybutylen (PB). Část 2: Trubky" nahrazují slovy: „Plastové potrubní systémy pro rozvod horké a studené vody. Polybuten (PB). Část 2: Trubky.</w:t>
      </w:r>
    </w:p>
    <w:p w14:paraId="70CF101A"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f) V</w:t>
      </w:r>
      <w:r>
        <w:rPr>
          <w:rFonts w:ascii="Calibri" w:hAnsi="Calibri"/>
          <w:b/>
          <w:sz w:val="22"/>
        </w:rPr>
        <w:t xml:space="preserve"> </w:t>
      </w:r>
      <w:r>
        <w:rPr>
          <w:rFonts w:ascii="Calibri" w:hAnsi="Calibri"/>
          <w:sz w:val="22"/>
        </w:rPr>
        <w:t>sekci HS 4 dodatku C, se slova: „Plastové potrubní systémy pro rozvod horké a studené vody. Polybutylen (PB). Část 3: Tvarovky" nahrazují slovy: „Plastové potrubní systémy pro rozvod horké a studené vody. Polybuten (PB). Část 3: Tvarovky.</w:t>
      </w:r>
    </w:p>
    <w:p w14:paraId="52A9A5FD"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g) V sekci HS 4 dodatku C se níže uvedené začleňuje za odkaz na normu „UNE-EN ISO 15876-3: 2017</w:t>
      </w:r>
      <w:r>
        <w:rPr>
          <w:rFonts w:ascii="Calibri" w:hAnsi="Calibri"/>
          <w:sz w:val="22"/>
        </w:rPr>
        <w:tab/>
        <w:t>Plastové potrubní systémy pro rozvod horké a studené vody. Polybuten (PB). Část 3: Tvarovky" tyto normy:</w:t>
      </w:r>
    </w:p>
    <w:p w14:paraId="5151AE28" w14:textId="77777777" w:rsidR="000760AB" w:rsidRPr="000760AB" w:rsidRDefault="000760AB" w:rsidP="000760AB">
      <w:pPr>
        <w:spacing w:after="120" w:line="259" w:lineRule="auto"/>
        <w:ind w:left="284"/>
        <w:contextualSpacing/>
        <w:jc w:val="both"/>
        <w:rPr>
          <w:rFonts w:ascii="Calibri" w:eastAsia="Calibri" w:hAnsi="Calibri"/>
          <w:sz w:val="22"/>
          <w:szCs w:val="22"/>
        </w:rPr>
      </w:pPr>
      <w:r>
        <w:rPr>
          <w:rFonts w:ascii="Calibri" w:hAnsi="Calibri"/>
          <w:sz w:val="22"/>
        </w:rPr>
        <w:t xml:space="preserve">„UNE-EN ISO 15877-1:2009 Plastové potrubní systémy pro rozvod horké a studené vody. Chlorovaný polyvinylchlorid (PVC-C). Část 1: Všeobecně (+UNE-EN ISO 15877-1:2009/A1:2011)  </w:t>
      </w:r>
    </w:p>
    <w:p w14:paraId="459306CD" w14:textId="77777777" w:rsidR="000760AB" w:rsidRPr="000760AB" w:rsidRDefault="000760AB" w:rsidP="000760AB">
      <w:pPr>
        <w:spacing w:after="120" w:line="259" w:lineRule="auto"/>
        <w:ind w:left="284"/>
        <w:contextualSpacing/>
        <w:jc w:val="both"/>
        <w:rPr>
          <w:rFonts w:ascii="Calibri" w:eastAsia="Calibri" w:hAnsi="Calibri"/>
          <w:sz w:val="22"/>
          <w:szCs w:val="22"/>
          <w:lang w:eastAsia="en-US"/>
        </w:rPr>
      </w:pPr>
    </w:p>
    <w:p w14:paraId="3478D13F" w14:textId="77777777" w:rsidR="000760AB" w:rsidRPr="000760AB" w:rsidRDefault="000760AB" w:rsidP="000760AB">
      <w:pPr>
        <w:spacing w:after="120" w:line="259" w:lineRule="auto"/>
        <w:ind w:left="284"/>
        <w:contextualSpacing/>
        <w:jc w:val="both"/>
        <w:rPr>
          <w:rFonts w:ascii="Calibri" w:eastAsia="Calibri" w:hAnsi="Calibri"/>
          <w:sz w:val="22"/>
          <w:szCs w:val="22"/>
        </w:rPr>
      </w:pPr>
      <w:r>
        <w:rPr>
          <w:rFonts w:ascii="Calibri" w:hAnsi="Calibri"/>
          <w:sz w:val="22"/>
        </w:rPr>
        <w:t xml:space="preserve">UNE-EN ISO 15877-2:2009 Plastové potrubní systémy pro rozvod horké a studené vody. Chlorovaný polyvinylchlorid (PVC-C). Část 2: Trubky. (+UNE-EN ISO 15877-2:2009/A1:2011) </w:t>
      </w:r>
    </w:p>
    <w:p w14:paraId="1A003182" w14:textId="77777777" w:rsidR="000760AB" w:rsidRPr="000760AB" w:rsidRDefault="000760AB" w:rsidP="000760AB">
      <w:pPr>
        <w:spacing w:after="120" w:line="259" w:lineRule="auto"/>
        <w:ind w:left="284"/>
        <w:contextualSpacing/>
        <w:jc w:val="both"/>
        <w:rPr>
          <w:rFonts w:ascii="Calibri" w:eastAsia="Calibri" w:hAnsi="Calibri"/>
          <w:sz w:val="22"/>
          <w:szCs w:val="22"/>
          <w:lang w:eastAsia="en-US"/>
        </w:rPr>
      </w:pPr>
    </w:p>
    <w:p w14:paraId="147816FB" w14:textId="3B192627" w:rsidR="000760AB" w:rsidRDefault="000760AB" w:rsidP="000760AB">
      <w:pPr>
        <w:spacing w:after="120" w:line="259" w:lineRule="auto"/>
        <w:ind w:left="284"/>
        <w:contextualSpacing/>
        <w:jc w:val="both"/>
        <w:rPr>
          <w:rFonts w:ascii="Calibri" w:eastAsia="Calibri" w:hAnsi="Calibri"/>
          <w:sz w:val="22"/>
          <w:szCs w:val="22"/>
        </w:rPr>
      </w:pPr>
      <w:r>
        <w:rPr>
          <w:rFonts w:ascii="Calibri" w:hAnsi="Calibri"/>
          <w:sz w:val="22"/>
        </w:rPr>
        <w:t>UNE-EN ISO 15877-3:2009 Plastové potrubní systémy pro rozvod horké a studené vody. Chlorovaný polyvinylchlorid (PVC-C). Část 3: Tvarovky. (+UNE-EN ISO 15877-3:2009/A1:2011)</w:t>
      </w:r>
    </w:p>
    <w:p w14:paraId="4ED97A3D" w14:textId="77777777" w:rsidR="00FD453F" w:rsidRPr="000760AB" w:rsidRDefault="00FD453F" w:rsidP="000760AB">
      <w:pPr>
        <w:spacing w:after="120" w:line="259" w:lineRule="auto"/>
        <w:ind w:left="284"/>
        <w:contextualSpacing/>
        <w:jc w:val="both"/>
        <w:rPr>
          <w:rFonts w:ascii="Calibri" w:eastAsia="Calibri" w:hAnsi="Calibri"/>
          <w:sz w:val="22"/>
          <w:szCs w:val="22"/>
          <w:lang w:eastAsia="en-US"/>
        </w:rPr>
      </w:pPr>
    </w:p>
    <w:bookmarkEnd w:id="25"/>
    <w:p w14:paraId="5E164AFD"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První přechodné ustanovení. </w:t>
      </w:r>
      <w:r>
        <w:rPr>
          <w:rFonts w:ascii="Calibri" w:hAnsi="Calibri"/>
          <w:i/>
          <w:sz w:val="22"/>
        </w:rPr>
        <w:t>Budovy vyňaté z působnosti tohoto královského výnosu.</w:t>
      </w:r>
    </w:p>
    <w:p w14:paraId="1847A168"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 xml:space="preserve">Změny technického stavebního řádu přijaté tímto královským výnosem se nevztahují na nové budovy nebo práce na stávajících budovách, u kterých v obou případech již byla podána žádost o obecní povolení ke stavebním pracím v době nabytí účinnosti tohoto královského výnosu. </w:t>
      </w:r>
    </w:p>
    <w:p w14:paraId="0F07CFED"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lastRenderedPageBreak/>
        <w:t>Tyto práce musí být zahájeny v maximální době účinnosti uvedeného povolení v souladu s příslušnými správními předpisy, nebo pokud to není možné, do šesti měsíců od udělení uvedeného povolení. Pokud tomu tak není, musí být projekty přizpůsobeny změnám technického stavebního řádu schváleným tímto královským výnosem.</w:t>
      </w:r>
    </w:p>
    <w:p w14:paraId="39C072F7"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Druhé přechodné ustanovení. </w:t>
      </w:r>
      <w:r>
        <w:rPr>
          <w:rFonts w:ascii="Calibri" w:hAnsi="Calibri"/>
          <w:i/>
          <w:sz w:val="22"/>
        </w:rPr>
        <w:t>Budovy, u nichž je použití ustanovení tohoto královského výnosu dobrovolné.</w:t>
      </w:r>
    </w:p>
    <w:p w14:paraId="27074C97"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 xml:space="preserve">Změny technického stavebního řádu schválené tímto královským výnosem se dobrovolně použijí na nové stavební práce a na stavební práce na stávajících budovách, u kterých v obou případech již byla podána žádost o obecní povolení ke stavebním pracím v době nabytí účinnosti tohoto královského výnosu. </w:t>
      </w:r>
    </w:p>
    <w:p w14:paraId="5E12150B"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Tyto práce musí být zahájeny v maximální době účinnosti uvedeného povolení v souladu s příslušnými správními předpisy, nebo pokud to není možné, do šesti měsíců od udělení uvedeného povolení. Pokud tomu tak není, musí být projekty přizpůsobeny změnám technického stavebního řádu schváleným tímto královským výnosem.</w:t>
      </w:r>
    </w:p>
    <w:p w14:paraId="76BE3F2E"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Třetí přechodné ustanovení. </w:t>
      </w:r>
      <w:r>
        <w:rPr>
          <w:rFonts w:ascii="Calibri" w:hAnsi="Calibri"/>
          <w:i/>
          <w:sz w:val="22"/>
        </w:rPr>
        <w:t>Budovy, u nichž je použití ustanovení tohoto královského výnosu povinné.</w:t>
      </w:r>
    </w:p>
    <w:p w14:paraId="7B8AAF09"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Použití změn technického stavebního řádu přijatých tímto královským výnosem je povinné pro nové budovy nebo práce na stávajících budovách, u kterých byla v obou případech podána žádost o obecní povolení ke stavebním pracím později než devět měsíců po nabytí účinnosti tohoto předpisu.</w:t>
      </w:r>
    </w:p>
    <w:p w14:paraId="1269D8B2"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První závěrečné ustanovení. </w:t>
      </w:r>
      <w:r>
        <w:rPr>
          <w:rFonts w:ascii="Calibri" w:hAnsi="Calibri"/>
          <w:i/>
          <w:sz w:val="22"/>
        </w:rPr>
        <w:t>Změna královského výnosu č. 1053/2014 ze dne 12. prosince 2014, kterým se schvaluje nový dodatečný technický pokyn BT 52 „Zařízení pro zvláštní účely“. Infrastruktura pro nabíjení elektrických vozidel", předpisů pro nízkonapěťové elektrotechnické systémy, schválených královským výnosem 842/2002 ze dne 2. srpna 2002, a mění se jeho další dodatečné technické pokyny.</w:t>
      </w:r>
    </w:p>
    <w:p w14:paraId="01AAD1DA" w14:textId="77777777" w:rsidR="000760AB" w:rsidRPr="000760AB" w:rsidRDefault="000760AB" w:rsidP="000760AB">
      <w:pPr>
        <w:spacing w:after="160" w:line="259" w:lineRule="auto"/>
        <w:jc w:val="both"/>
        <w:rPr>
          <w:rFonts w:ascii="Calibri" w:eastAsia="Calibri" w:hAnsi="Calibri" w:cs="Calibri"/>
          <w:bCs/>
          <w:sz w:val="22"/>
          <w:szCs w:val="22"/>
        </w:rPr>
      </w:pPr>
      <w:r>
        <w:rPr>
          <w:rFonts w:ascii="Calibri" w:hAnsi="Calibri"/>
          <w:sz w:val="22"/>
        </w:rPr>
        <w:t xml:space="preserve">Královský výnos 1053/2014 ze dne 12. prosince 2014, kterým se schvaluje nový dodatečný technický pokyn (ITC) BT 52 „Zařízení pro zvláštní účely. Infrastruktura pro nabíjení elektrických vozidel“ předpisů pro nízkonapěťové elektrotechnické systémy, schválených královským výnosem 842/2002 ze dne 2. srpna 2002, a jeho další dodatečné technické pokyny se mění takto: </w:t>
      </w:r>
    </w:p>
    <w:p w14:paraId="1141399E"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Zaprvé. První dodatečné ustanovení se mění takto:</w:t>
      </w:r>
    </w:p>
    <w:p w14:paraId="0E4C1654" w14:textId="77777777" w:rsidR="000760AB" w:rsidRPr="000760AB" w:rsidRDefault="000760AB" w:rsidP="000760AB">
      <w:pPr>
        <w:spacing w:after="160" w:line="259" w:lineRule="auto"/>
        <w:ind w:left="284"/>
        <w:jc w:val="both"/>
        <w:rPr>
          <w:rFonts w:ascii="Calibri" w:eastAsia="Calibri" w:hAnsi="Calibri"/>
          <w:sz w:val="22"/>
          <w:szCs w:val="22"/>
        </w:rPr>
      </w:pPr>
      <w:r>
        <w:rPr>
          <w:rFonts w:ascii="Calibri" w:hAnsi="Calibri"/>
          <w:sz w:val="22"/>
        </w:rPr>
        <w:t>„První dodatečné ustanovení. Minimální strukturální zařízení pro nabíjení elektrických vozidel na parkovištích, která nejsou přidělena nově postaveným budovám nebo těm, které procházejí větší renovací, a na veřejných komunikacích.</w:t>
      </w:r>
    </w:p>
    <w:p w14:paraId="18015A47" w14:textId="77777777" w:rsidR="000760AB" w:rsidRPr="000760AB" w:rsidRDefault="000760AB" w:rsidP="000760AB">
      <w:pPr>
        <w:spacing w:after="160" w:line="259" w:lineRule="auto"/>
        <w:ind w:left="284"/>
        <w:jc w:val="both"/>
        <w:rPr>
          <w:rFonts w:ascii="Calibri" w:eastAsia="Calibri" w:hAnsi="Calibri"/>
          <w:sz w:val="22"/>
          <w:szCs w:val="22"/>
        </w:rPr>
      </w:pPr>
      <w:r>
        <w:rPr>
          <w:rFonts w:ascii="Calibri" w:hAnsi="Calibri"/>
          <w:sz w:val="22"/>
        </w:rPr>
        <w:t xml:space="preserve">1. Na nově postavených parkovištích nebo u parkovišť procházejících větší renovací, která se nenacházejí v budově nebo s ní sousedí, a tudíž mimo oblast působnosti základního dokumentu o úsporách energie (DB HE) technického stavebního řádu, musí být instalována alespoň jedna dobíjecí stanice na každých 40 parkovacích míst nebo jejich část. Parkoviště je považováno za nově postavené, pokud je stavební projekt předložen příslušné veřejné správě ke zpracování po nabytí účinnosti tohoto královského výnosu. </w:t>
      </w:r>
    </w:p>
    <w:p w14:paraId="06F10D65" w14:textId="77777777" w:rsidR="000760AB" w:rsidRPr="000760AB" w:rsidRDefault="000760AB" w:rsidP="000760AB">
      <w:pPr>
        <w:spacing w:after="160" w:line="259" w:lineRule="auto"/>
        <w:ind w:left="284"/>
        <w:jc w:val="both"/>
        <w:rPr>
          <w:rFonts w:ascii="Calibri" w:eastAsia="Calibri" w:hAnsi="Calibri"/>
          <w:sz w:val="22"/>
          <w:szCs w:val="22"/>
        </w:rPr>
      </w:pPr>
      <w:r>
        <w:rPr>
          <w:rFonts w:ascii="Calibri" w:hAnsi="Calibri"/>
          <w:sz w:val="22"/>
        </w:rPr>
        <w:t>2. Musí být zaručena zařízení nezbytná k dodávání elektrické energie do dobíjecích stanic umístěných v prostorách pro elektrická vozidla na veřejných komunikacích stanovených v plánech udržitelné mobility na nadměstské úrovni nebo na úrovni obcí.“</w:t>
      </w:r>
    </w:p>
    <w:p w14:paraId="689B86A0"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Zadruhé. Oddíl 3.2 DODATEČNÝ TECHNICKÝ POKYN (ITC) BT-52 se mění takto:</w:t>
      </w:r>
    </w:p>
    <w:p w14:paraId="3188850A"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„3.2 Zařízení na parkovištích nebo společných parkovacích místech sousedících s budovami nebo komplexy budov. </w:t>
      </w:r>
    </w:p>
    <w:p w14:paraId="5D648D19"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Elektrická zařízení pro nabíjení </w:t>
      </w:r>
      <w:r>
        <w:rPr>
          <w:rFonts w:ascii="Calibri" w:hAnsi="Calibri"/>
          <w:color w:val="000000"/>
          <w:sz w:val="22"/>
        </w:rPr>
        <w:t>elektrických vozidel</w:t>
      </w:r>
      <w:r>
        <w:rPr>
          <w:rFonts w:ascii="Calibri" w:hAnsi="Calibri"/>
          <w:sz w:val="22"/>
        </w:rPr>
        <w:t xml:space="preserve"> nacházející se na parkovištích nebo parkovištích uvnitř budov nebo komplexů budov nebo k nim připojených se řídí kterýmkoli z výše popsaných schémat.</w:t>
      </w:r>
      <w:r>
        <w:rPr>
          <w:rFonts w:ascii="Calibri" w:hAnsi="Calibri"/>
          <w:color w:val="000000"/>
          <w:sz w:val="22"/>
        </w:rPr>
        <w:t xml:space="preserve"> </w:t>
      </w:r>
      <w:r>
        <w:rPr>
          <w:rFonts w:ascii="Calibri" w:hAnsi="Calibri"/>
          <w:sz w:val="22"/>
        </w:rPr>
        <w:t xml:space="preserve">V téže budově mohou </w:t>
      </w:r>
      <w:r>
        <w:rPr>
          <w:rFonts w:ascii="Calibri" w:hAnsi="Calibri"/>
          <w:sz w:val="22"/>
        </w:rPr>
        <w:lastRenderedPageBreak/>
        <w:t>být použita různá schémata za předpokladu, že jsou splněny všechny požadavky stanovené v tomto dokumentu (ITC) BT-52.</w:t>
      </w:r>
    </w:p>
    <w:p w14:paraId="7585E852"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Ve schématu 4a se dobíjecí obvod řídí instalačními podmínkami popsanými v dokumentu (ITC) BT-15 za použití kabelů a vodicích systémů stejného typu a vlastností jako pro individuální přemostění a průřez kabelu se vypočítá v souladu s obecnými požadavky oddílu 5 tohoto dokumentu ITC. Pro určení průměru nebo příčných rozměrů systému vedení, který má být použit, není nutné stanovit rozšíření průřezu kabelů.</w:t>
      </w:r>
    </w:p>
    <w:p w14:paraId="2D2E95BD"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Schéma 4b se použije, pokud je dodávání elektrické energie do dobíjecích stanic navrženo jako nedílná součást nebo rozšíření elektrické instalace sloužící pro všeobecné služby garáží.</w:t>
      </w:r>
    </w:p>
    <w:p w14:paraId="6F33488D"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Jak ve stávajících, tak v nových zařízeních mohou být s cílem usnadnit používání vybraného elektrického schématu přítomny panely s obecnými ochrannými prvky a další zařízení pro dobíjení elektrických vozidel umístěny v místnostech určených k tomuto účelu nebo ve společných prostorách.</w:t>
      </w:r>
    </w:p>
    <w:p w14:paraId="1D7341B6"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Elektrická předinstalace pro dobíjení elektrických vozidel na parkovištích umístěných v budovách nebo komplexech budov nebo s nimi sousedících usnadní následné použití kteréhokoli z možných systémů instalace. To zahrnuje tyto prvky: </w:t>
      </w:r>
    </w:p>
    <w:p w14:paraId="69AC9996"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a) Instalace kabelových systémů vedení z centrály elektroměrů a podél hlavních komunikací parkovišť, aby bylo možné později napájet dobíjecí stanice, které mohou být umístěny na jednotlivých parkovacích místech nebo parkovištích. Pokud se předinstalace plánuje pro 100 % míst, musí se kabelové vodiče zavést do každého místa. Pokud se předinstalace neplánuje pro 100 % míst, musí být vymezeny prostory, u nichž se má za to, že jsou v souladu s předpisem pro kabelové systémy vedení, a tyto systémy musí být zavedeny na každé z těchto míst.</w:t>
      </w:r>
    </w:p>
    <w:p w14:paraId="1D8D11B8"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b) Centrála elektroměrů musí být dimenzována podle elektrického schématu zvoleného pro nabíjení elektrického vozidla a podle dokumentu (ITC) BT-16. Záložní moduly musí být instalovány alespoň pro 20 % garážových míst, která nejsou spojena s obydlím, a v případě, že jsou všechna místa spojena s obydlími, musí být přítomen alespoň jeden záložní modul. Tyto záložní moduly musí mít kapacitu pro umístění hlavního elektroměru a nadproudových ochranných zařízení spojených s elektroměrem, a to buď s pojistkami nebo jističi.</w:t>
      </w:r>
    </w:p>
    <w:p w14:paraId="47ED8DD8"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Zásuvky nebo konektory instalované v dobíjecí stanici a její jističe musí splňovat jednu z možností uvedených v oddíle 5.4.“</w:t>
      </w:r>
    </w:p>
    <w:p w14:paraId="7F6774AD"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Zatřetí. První pododstavec oddílu 5.4 DODATEČNÉHO TECHNICKÉHO POKYNU (ITC) BT-52 se mění takto:</w:t>
      </w:r>
    </w:p>
    <w:p w14:paraId="3EF40F8D" w14:textId="77777777" w:rsidR="000760AB" w:rsidRPr="000760AB" w:rsidRDefault="000760AB" w:rsidP="000760AB">
      <w:pPr>
        <w:spacing w:after="160" w:line="259" w:lineRule="auto"/>
        <w:ind w:left="284"/>
        <w:jc w:val="both"/>
        <w:rPr>
          <w:rFonts w:ascii="Calibri" w:eastAsia="Calibri" w:hAnsi="Calibri"/>
          <w:color w:val="FF0000"/>
          <w:sz w:val="22"/>
          <w:szCs w:val="22"/>
        </w:rPr>
      </w:pPr>
      <w:r>
        <w:rPr>
          <w:rFonts w:ascii="Calibri" w:hAnsi="Calibri"/>
          <w:sz w:val="22"/>
        </w:rPr>
        <w:t xml:space="preserve">„5.4 Připojovací bod. </w:t>
      </w:r>
      <w:bookmarkStart w:id="26" w:name="_Hlk81468651"/>
      <w:r>
        <w:rPr>
          <w:rFonts w:ascii="Calibri" w:hAnsi="Calibri"/>
          <w:sz w:val="22"/>
        </w:rPr>
        <w:t xml:space="preserve">Připojovací bod musí být umístěn vedle prostoru, který má být napájen, a musí být trvale instalován v uzavřeném prostoru. </w:t>
      </w:r>
    </w:p>
    <w:bookmarkEnd w:id="26"/>
    <w:p w14:paraId="3405740F" w14:textId="77777777" w:rsidR="000760AB" w:rsidRPr="000760AB" w:rsidRDefault="000760AB" w:rsidP="000760AB">
      <w:pPr>
        <w:spacing w:after="160" w:line="259" w:lineRule="auto"/>
        <w:ind w:left="284"/>
        <w:jc w:val="both"/>
        <w:rPr>
          <w:rFonts w:ascii="Calibri" w:eastAsia="Calibri" w:hAnsi="Calibri"/>
          <w:color w:val="FF0000"/>
          <w:sz w:val="22"/>
          <w:szCs w:val="22"/>
        </w:rPr>
      </w:pPr>
      <w:r>
        <w:rPr>
          <w:rFonts w:ascii="Calibri" w:hAnsi="Calibri"/>
          <w:sz w:val="22"/>
        </w:rPr>
        <w:t xml:space="preserve">Minimální montážní výška pro zásuvky a konektory musí být 60 cm nad zemí. </w:t>
      </w:r>
      <w:bookmarkStart w:id="27" w:name="_Hlk81468224"/>
      <w:r>
        <w:rPr>
          <w:rFonts w:ascii="Calibri" w:hAnsi="Calibri"/>
          <w:sz w:val="22"/>
        </w:rPr>
        <w:t>Pokud je dobíjecí stanice určena pro veřejné použití, musí být maximální výška 120 cm. Na přístupných parkovacích místech musí zásuvky a konektory být v barevném kontrastu s okolím, musí být umístěny ve výšce 80 až 120 cm a vzdálenost od rohů musí být nejméně 35 cm.“</w:t>
      </w:r>
      <w:bookmarkEnd w:id="27"/>
    </w:p>
    <w:p w14:paraId="50422323"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Druhé závěrečné ustanovení. </w:t>
      </w:r>
      <w:r>
        <w:rPr>
          <w:rFonts w:ascii="Calibri" w:hAnsi="Calibri"/>
          <w:i/>
          <w:sz w:val="22"/>
        </w:rPr>
        <w:t>Provádění právních předpisů Evropské unie.</w:t>
      </w:r>
    </w:p>
    <w:p w14:paraId="144ADEB1"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Tímto královským výnosem se provádí do španělského práva čl. 8 odst. 2, 4, 5 a 6 směrnice Evropského parlamentu a Rady 2010/31/EU o energetické náročnosti budov, ve znění směrnice Evropského parlamentu a Rady (EU) 2018/844 ze dne 30. května 2018, kterou se mění směrnice 2010/31/EU</w:t>
      </w:r>
      <w:r>
        <w:t xml:space="preserve"> </w:t>
      </w:r>
      <w:bookmarkStart w:id="28" w:name="_Hlk92814279"/>
      <w:r>
        <w:rPr>
          <w:rFonts w:ascii="Calibri" w:hAnsi="Calibri"/>
          <w:sz w:val="22"/>
        </w:rPr>
        <w:t>o energetické náročnosti budov</w:t>
      </w:r>
      <w:r>
        <w:t xml:space="preserve"> </w:t>
      </w:r>
      <w:bookmarkEnd w:id="28"/>
      <w:r>
        <w:t xml:space="preserve"> </w:t>
      </w:r>
      <w:r>
        <w:rPr>
          <w:rFonts w:ascii="Calibri" w:hAnsi="Calibri"/>
          <w:sz w:val="22"/>
        </w:rPr>
        <w:t>a směrnice 2012/27/EU o energetické účinnosti.</w:t>
      </w:r>
    </w:p>
    <w:p w14:paraId="174DF223"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Třetí závěrečné ustanovení. </w:t>
      </w:r>
      <w:r>
        <w:rPr>
          <w:rFonts w:ascii="Calibri" w:hAnsi="Calibri"/>
          <w:i/>
          <w:sz w:val="22"/>
        </w:rPr>
        <w:t>Nabytí účinnosti.</w:t>
      </w:r>
    </w:p>
    <w:p w14:paraId="244EE748"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lastRenderedPageBreak/>
        <w:t>Tento královský výnos nabývá účinnosti dnem následujícím po dni jeho vyhlášení v Úředním věstníku.</w:t>
      </w:r>
    </w:p>
    <w:p w14:paraId="020B8256" w14:textId="77777777" w:rsidR="000760AB" w:rsidRPr="000760AB" w:rsidRDefault="000760AB" w:rsidP="000760AB">
      <w:pPr>
        <w:spacing w:after="160" w:line="259" w:lineRule="auto"/>
        <w:jc w:val="both"/>
        <w:rPr>
          <w:rFonts w:ascii="Calibri" w:eastAsia="Calibri" w:hAnsi="Calibri" w:cs="Calibri"/>
          <w:sz w:val="20"/>
          <w:szCs w:val="20"/>
          <w:lang w:eastAsia="en-US"/>
        </w:rPr>
      </w:pPr>
    </w:p>
    <w:p w14:paraId="05F24353" w14:textId="77777777" w:rsidR="001F7365" w:rsidRPr="00081F25" w:rsidRDefault="001F7365" w:rsidP="001F7365">
      <w:pPr>
        <w:autoSpaceDE w:val="0"/>
        <w:autoSpaceDN w:val="0"/>
        <w:adjustRightInd w:val="0"/>
        <w:jc w:val="center"/>
        <w:rPr>
          <w:rFonts w:asciiTheme="minorHAnsi" w:hAnsiTheme="minorHAnsi" w:cstheme="minorHAnsi"/>
          <w:sz w:val="22"/>
          <w:szCs w:val="22"/>
        </w:rPr>
      </w:pPr>
      <w:r>
        <w:rPr>
          <w:rFonts w:asciiTheme="minorHAnsi" w:hAnsiTheme="minorHAnsi"/>
          <w:sz w:val="22"/>
        </w:rPr>
        <w:t>BUDE PŘEDLOŽEN RADĚ MINISTRŮ</w:t>
      </w:r>
    </w:p>
    <w:p w14:paraId="3A0D8D70" w14:textId="77777777" w:rsidR="001F7365" w:rsidRPr="00081F25" w:rsidRDefault="001F7365" w:rsidP="001F7365">
      <w:pPr>
        <w:autoSpaceDE w:val="0"/>
        <w:autoSpaceDN w:val="0"/>
        <w:adjustRightInd w:val="0"/>
        <w:jc w:val="center"/>
        <w:rPr>
          <w:rFonts w:asciiTheme="minorHAnsi" w:hAnsiTheme="minorHAnsi" w:cstheme="minorHAnsi"/>
          <w:sz w:val="22"/>
          <w:szCs w:val="22"/>
        </w:rPr>
      </w:pPr>
    </w:p>
    <w:p w14:paraId="34F7C3B3" w14:textId="77777777" w:rsidR="001F7365" w:rsidRPr="00081F25" w:rsidRDefault="001F7365" w:rsidP="001F7365">
      <w:pPr>
        <w:autoSpaceDE w:val="0"/>
        <w:autoSpaceDN w:val="0"/>
        <w:adjustRightInd w:val="0"/>
        <w:jc w:val="center"/>
        <w:rPr>
          <w:rFonts w:asciiTheme="minorHAnsi" w:hAnsiTheme="minorHAnsi" w:cstheme="minorHAnsi"/>
          <w:sz w:val="22"/>
          <w:szCs w:val="22"/>
        </w:rPr>
      </w:pPr>
      <w:r>
        <w:rPr>
          <w:rFonts w:asciiTheme="minorHAnsi" w:hAnsiTheme="minorHAnsi"/>
          <w:sz w:val="22"/>
        </w:rPr>
        <w:t>V Madridu, dne</w:t>
      </w:r>
      <w:r>
        <w:rPr>
          <w:rFonts w:asciiTheme="minorHAnsi" w:hAnsiTheme="minorHAnsi"/>
          <w:sz w:val="22"/>
        </w:rPr>
        <w:tab/>
      </w:r>
      <w:r>
        <w:rPr>
          <w:rFonts w:asciiTheme="minorHAnsi" w:hAnsiTheme="minorHAnsi"/>
          <w:sz w:val="22"/>
        </w:rPr>
        <w:tab/>
        <w:t>2022</w:t>
      </w:r>
    </w:p>
    <w:p w14:paraId="201B84D8" w14:textId="77777777" w:rsidR="001F7365" w:rsidRPr="00081F25" w:rsidRDefault="001F7365" w:rsidP="001F7365">
      <w:pPr>
        <w:spacing w:after="160" w:line="259" w:lineRule="auto"/>
        <w:jc w:val="both"/>
        <w:rPr>
          <w:rFonts w:asciiTheme="minorHAnsi" w:eastAsia="Calibri" w:hAnsiTheme="minorHAnsi" w:cstheme="minorHAnsi"/>
          <w:sz w:val="20"/>
          <w:szCs w:val="20"/>
          <w:lang w:eastAsia="en-US"/>
        </w:rPr>
      </w:pPr>
    </w:p>
    <w:p w14:paraId="5AC40BA3" w14:textId="77777777" w:rsidR="001F7365" w:rsidRPr="00081F25" w:rsidRDefault="001F7365" w:rsidP="001F7365">
      <w:pPr>
        <w:spacing w:after="160" w:line="259" w:lineRule="auto"/>
        <w:jc w:val="both"/>
        <w:rPr>
          <w:rFonts w:asciiTheme="minorHAnsi" w:eastAsia="Calibri" w:hAnsiTheme="minorHAnsi" w:cstheme="minorHAnsi"/>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1"/>
        <w:gridCol w:w="5141"/>
      </w:tblGrid>
      <w:tr w:rsidR="001F7365" w:rsidRPr="00081F25" w14:paraId="26BBB77F" w14:textId="77777777" w:rsidTr="000D4A40">
        <w:trPr>
          <w:trHeight w:val="2150"/>
        </w:trPr>
        <w:tc>
          <w:tcPr>
            <w:tcW w:w="5141" w:type="dxa"/>
            <w:tcBorders>
              <w:top w:val="nil"/>
              <w:left w:val="nil"/>
              <w:bottom w:val="nil"/>
              <w:right w:val="nil"/>
            </w:tcBorders>
            <w:shd w:val="clear" w:color="auto" w:fill="auto"/>
          </w:tcPr>
          <w:p w14:paraId="2DFF5CC2" w14:textId="77777777" w:rsidR="001F7365" w:rsidRPr="00081F25" w:rsidRDefault="001F7365" w:rsidP="000D4A40">
            <w:pPr>
              <w:autoSpaceDE w:val="0"/>
              <w:autoSpaceDN w:val="0"/>
              <w:adjustRightInd w:val="0"/>
              <w:jc w:val="center"/>
              <w:rPr>
                <w:rFonts w:asciiTheme="minorHAnsi" w:hAnsiTheme="minorHAnsi" w:cstheme="minorHAnsi"/>
                <w:sz w:val="22"/>
                <w:szCs w:val="22"/>
              </w:rPr>
            </w:pPr>
            <w:r>
              <w:rPr>
                <w:rFonts w:asciiTheme="minorHAnsi" w:hAnsiTheme="minorHAnsi"/>
                <w:sz w:val="22"/>
              </w:rPr>
              <w:t>MINISTRYNĚ DOPRAVY, MOBILITY A MĚSTSKÉ AGENDY</w:t>
            </w:r>
          </w:p>
          <w:p w14:paraId="38965193" w14:textId="77777777" w:rsidR="001F7365" w:rsidRPr="00081F25" w:rsidRDefault="001F7365" w:rsidP="000D4A40">
            <w:pPr>
              <w:autoSpaceDE w:val="0"/>
              <w:autoSpaceDN w:val="0"/>
              <w:adjustRightInd w:val="0"/>
              <w:jc w:val="center"/>
              <w:rPr>
                <w:rFonts w:asciiTheme="minorHAnsi" w:hAnsiTheme="minorHAnsi" w:cstheme="minorHAnsi"/>
                <w:sz w:val="22"/>
                <w:szCs w:val="22"/>
              </w:rPr>
            </w:pPr>
          </w:p>
          <w:p w14:paraId="79C438BC" w14:textId="77777777" w:rsidR="001F7365" w:rsidRPr="00081F25" w:rsidRDefault="001F7365" w:rsidP="000D4A40">
            <w:pPr>
              <w:autoSpaceDE w:val="0"/>
              <w:autoSpaceDN w:val="0"/>
              <w:adjustRightInd w:val="0"/>
              <w:jc w:val="center"/>
              <w:rPr>
                <w:rFonts w:asciiTheme="minorHAnsi" w:hAnsiTheme="minorHAnsi" w:cstheme="minorHAnsi"/>
                <w:sz w:val="22"/>
                <w:szCs w:val="22"/>
              </w:rPr>
            </w:pPr>
          </w:p>
          <w:p w14:paraId="77C1774F" w14:textId="77777777" w:rsidR="001F7365" w:rsidRPr="00081F25" w:rsidRDefault="001F7365" w:rsidP="000D4A40">
            <w:pPr>
              <w:autoSpaceDE w:val="0"/>
              <w:autoSpaceDN w:val="0"/>
              <w:adjustRightInd w:val="0"/>
              <w:jc w:val="center"/>
              <w:rPr>
                <w:rFonts w:asciiTheme="minorHAnsi" w:hAnsiTheme="minorHAnsi" w:cstheme="minorHAnsi"/>
                <w:sz w:val="22"/>
                <w:szCs w:val="22"/>
              </w:rPr>
            </w:pPr>
          </w:p>
          <w:p w14:paraId="540B0B02" w14:textId="77777777" w:rsidR="001F7365" w:rsidRPr="00081F25" w:rsidRDefault="001F7365" w:rsidP="000D4A40">
            <w:pPr>
              <w:autoSpaceDE w:val="0"/>
              <w:autoSpaceDN w:val="0"/>
              <w:adjustRightInd w:val="0"/>
              <w:jc w:val="center"/>
              <w:rPr>
                <w:rFonts w:asciiTheme="minorHAnsi" w:hAnsiTheme="minorHAnsi" w:cstheme="minorHAnsi"/>
                <w:sz w:val="22"/>
                <w:szCs w:val="22"/>
              </w:rPr>
            </w:pPr>
          </w:p>
          <w:p w14:paraId="46B22890" w14:textId="77777777" w:rsidR="001F7365" w:rsidRPr="00081F25" w:rsidRDefault="001F7365" w:rsidP="000D4A40">
            <w:pPr>
              <w:autoSpaceDE w:val="0"/>
              <w:autoSpaceDN w:val="0"/>
              <w:adjustRightInd w:val="0"/>
              <w:jc w:val="center"/>
              <w:rPr>
                <w:rFonts w:asciiTheme="minorHAnsi" w:hAnsiTheme="minorHAnsi" w:cstheme="minorHAnsi"/>
                <w:sz w:val="22"/>
                <w:szCs w:val="22"/>
              </w:rPr>
            </w:pPr>
          </w:p>
          <w:p w14:paraId="3BCAF82D" w14:textId="77777777" w:rsidR="001F7365" w:rsidRPr="00081F25" w:rsidRDefault="001F7365" w:rsidP="000D4A40">
            <w:pPr>
              <w:autoSpaceDE w:val="0"/>
              <w:autoSpaceDN w:val="0"/>
              <w:adjustRightInd w:val="0"/>
              <w:jc w:val="center"/>
              <w:rPr>
                <w:rFonts w:asciiTheme="minorHAnsi" w:hAnsiTheme="minorHAnsi" w:cstheme="minorHAnsi"/>
                <w:sz w:val="22"/>
                <w:szCs w:val="22"/>
              </w:rPr>
            </w:pPr>
            <w:r>
              <w:rPr>
                <w:rFonts w:asciiTheme="minorHAnsi" w:hAnsiTheme="minorHAnsi"/>
                <w:sz w:val="22"/>
              </w:rPr>
              <w:t>Raquel Sánchez Jiménez</w:t>
            </w:r>
          </w:p>
        </w:tc>
        <w:tc>
          <w:tcPr>
            <w:tcW w:w="5141" w:type="dxa"/>
            <w:tcBorders>
              <w:top w:val="nil"/>
              <w:left w:val="nil"/>
              <w:bottom w:val="nil"/>
              <w:right w:val="nil"/>
            </w:tcBorders>
          </w:tcPr>
          <w:p w14:paraId="749FA458" w14:textId="77777777" w:rsidR="001F7365" w:rsidRPr="004A2722" w:rsidRDefault="001F7365" w:rsidP="000D4A40">
            <w:pPr>
              <w:autoSpaceDE w:val="0"/>
              <w:autoSpaceDN w:val="0"/>
              <w:adjustRightInd w:val="0"/>
              <w:jc w:val="center"/>
              <w:rPr>
                <w:rFonts w:asciiTheme="minorHAnsi" w:hAnsiTheme="minorHAnsi" w:cstheme="minorHAnsi"/>
                <w:sz w:val="22"/>
                <w:szCs w:val="22"/>
              </w:rPr>
            </w:pPr>
            <w:r>
              <w:rPr>
                <w:rFonts w:asciiTheme="minorHAnsi" w:hAnsiTheme="minorHAnsi"/>
                <w:sz w:val="22"/>
              </w:rPr>
              <w:t>TŘETÍ MÍSTOPŘEDSEDKYNĚ VLÁDY A MINISTRYNĚ PRO EKOLOGICKOU TRANSFORMACI A DEMOGRAFICKOU VÝZVU</w:t>
            </w:r>
          </w:p>
          <w:p w14:paraId="2B70C78B" w14:textId="77777777" w:rsidR="001F7365" w:rsidRPr="004A2722" w:rsidRDefault="001F7365" w:rsidP="000D4A40">
            <w:pPr>
              <w:autoSpaceDE w:val="0"/>
              <w:autoSpaceDN w:val="0"/>
              <w:adjustRightInd w:val="0"/>
              <w:rPr>
                <w:rFonts w:asciiTheme="minorHAnsi" w:hAnsiTheme="minorHAnsi" w:cstheme="minorHAnsi"/>
                <w:sz w:val="22"/>
                <w:szCs w:val="22"/>
                <w:lang w:val="es-ES_tradnl"/>
              </w:rPr>
            </w:pPr>
          </w:p>
          <w:p w14:paraId="20A3F7D7" w14:textId="77777777" w:rsidR="001F7365" w:rsidRPr="004A2722" w:rsidRDefault="001F7365" w:rsidP="000D4A40">
            <w:pPr>
              <w:autoSpaceDE w:val="0"/>
              <w:autoSpaceDN w:val="0"/>
              <w:adjustRightInd w:val="0"/>
              <w:rPr>
                <w:rFonts w:asciiTheme="minorHAnsi" w:hAnsiTheme="minorHAnsi" w:cstheme="minorHAnsi"/>
                <w:sz w:val="22"/>
                <w:szCs w:val="22"/>
                <w:lang w:val="es-ES_tradnl"/>
              </w:rPr>
            </w:pPr>
          </w:p>
          <w:p w14:paraId="4D67AC80" w14:textId="77777777" w:rsidR="001F7365" w:rsidRPr="004A2722" w:rsidRDefault="001F7365" w:rsidP="000D4A40">
            <w:pPr>
              <w:autoSpaceDE w:val="0"/>
              <w:autoSpaceDN w:val="0"/>
              <w:adjustRightInd w:val="0"/>
              <w:rPr>
                <w:rFonts w:asciiTheme="minorHAnsi" w:hAnsiTheme="minorHAnsi" w:cstheme="minorHAnsi"/>
                <w:sz w:val="22"/>
                <w:szCs w:val="22"/>
                <w:lang w:val="es-ES_tradnl"/>
              </w:rPr>
            </w:pPr>
          </w:p>
          <w:p w14:paraId="1D518996" w14:textId="77777777" w:rsidR="001F7365" w:rsidRPr="004A2722" w:rsidRDefault="001F7365" w:rsidP="000D4A40">
            <w:pPr>
              <w:autoSpaceDE w:val="0"/>
              <w:autoSpaceDN w:val="0"/>
              <w:adjustRightInd w:val="0"/>
              <w:rPr>
                <w:rFonts w:asciiTheme="minorHAnsi" w:hAnsiTheme="minorHAnsi" w:cstheme="minorHAnsi"/>
                <w:sz w:val="22"/>
                <w:szCs w:val="22"/>
                <w:lang w:val="es-ES_tradnl"/>
              </w:rPr>
            </w:pPr>
          </w:p>
          <w:p w14:paraId="5C180639" w14:textId="77777777" w:rsidR="001F7365" w:rsidRPr="004A2722" w:rsidRDefault="001F7365" w:rsidP="000D4A40">
            <w:pPr>
              <w:autoSpaceDE w:val="0"/>
              <w:autoSpaceDN w:val="0"/>
              <w:adjustRightInd w:val="0"/>
              <w:rPr>
                <w:rFonts w:asciiTheme="minorHAnsi" w:hAnsiTheme="minorHAnsi" w:cstheme="minorHAnsi"/>
                <w:sz w:val="22"/>
                <w:szCs w:val="22"/>
                <w:lang w:val="es-ES_tradnl"/>
              </w:rPr>
            </w:pPr>
          </w:p>
          <w:p w14:paraId="20B3A488" w14:textId="77777777" w:rsidR="001F7365" w:rsidRPr="00081F25" w:rsidRDefault="001F7365" w:rsidP="000D4A40">
            <w:pPr>
              <w:autoSpaceDE w:val="0"/>
              <w:autoSpaceDN w:val="0"/>
              <w:adjustRightInd w:val="0"/>
              <w:jc w:val="center"/>
              <w:rPr>
                <w:rFonts w:asciiTheme="minorHAnsi" w:hAnsiTheme="minorHAnsi" w:cstheme="minorHAnsi"/>
                <w:sz w:val="22"/>
                <w:szCs w:val="22"/>
              </w:rPr>
            </w:pPr>
            <w:r>
              <w:rPr>
                <w:rFonts w:asciiTheme="minorHAnsi" w:hAnsiTheme="minorHAnsi"/>
                <w:sz w:val="22"/>
              </w:rPr>
              <w:t>Teresa Ribera Rodríguez</w:t>
            </w:r>
          </w:p>
        </w:tc>
      </w:tr>
    </w:tbl>
    <w:p w14:paraId="15FD4F10" w14:textId="77777777" w:rsidR="008577E8" w:rsidRDefault="008577E8" w:rsidP="008577E8">
      <w:pPr>
        <w:pStyle w:val="FootnoteText"/>
        <w:tabs>
          <w:tab w:val="left" w:pos="-3969"/>
        </w:tabs>
        <w:spacing w:after="120"/>
        <w:ind w:left="567" w:right="55" w:firstLine="533"/>
        <w:jc w:val="both"/>
        <w:rPr>
          <w:rFonts w:ascii="Arial" w:hAnsi="Arial" w:cs="Arial"/>
          <w:sz w:val="24"/>
          <w:szCs w:val="24"/>
          <w:lang w:val="es-ES"/>
        </w:rPr>
      </w:pPr>
    </w:p>
    <w:sectPr w:rsidR="008577E8">
      <w:headerReference w:type="default" r:id="rId7"/>
      <w:footerReference w:type="even" r:id="rId8"/>
      <w:footerReference w:type="default" r:id="rId9"/>
      <w:headerReference w:type="first" r:id="rId10"/>
      <w:pgSz w:w="11906" w:h="16838" w:code="9"/>
      <w:pgMar w:top="1701" w:right="737" w:bottom="726" w:left="737" w:header="567"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3317D" w14:textId="77777777" w:rsidR="00E3004D" w:rsidRDefault="00E3004D">
      <w:r>
        <w:separator/>
      </w:r>
    </w:p>
  </w:endnote>
  <w:endnote w:type="continuationSeparator" w:id="0">
    <w:p w14:paraId="5DA34E81" w14:textId="77777777" w:rsidR="00E3004D" w:rsidRDefault="00E30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Noto Sans CJK SC Regular">
    <w:altName w:val="Times New Roman"/>
    <w:panose1 w:val="00000000000000000000"/>
    <w:charset w:val="00"/>
    <w:family w:val="roman"/>
    <w:notTrueType/>
    <w:pitch w:val="default"/>
  </w:font>
  <w:font w:name="Gill Sans MT">
    <w:altName w:val="Gill Sans MT"/>
    <w:charset w:val="EE"/>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31ADC" w14:textId="77777777" w:rsidR="00C93CCC" w:rsidRDefault="00C93C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DA43C3" w14:textId="77777777" w:rsidR="00C93CCC" w:rsidRDefault="00C93CC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7B7FA" w14:textId="7ED610BC" w:rsidR="00C93CCC" w:rsidRDefault="00C93C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C3417">
      <w:rPr>
        <w:rStyle w:val="PageNumber"/>
      </w:rPr>
      <w:t>2</w:t>
    </w:r>
    <w:r>
      <w:rPr>
        <w:rStyle w:val="PageNumber"/>
      </w:rPr>
      <w:fldChar w:fldCharType="end"/>
    </w:r>
  </w:p>
  <w:p w14:paraId="7719E668" w14:textId="77777777" w:rsidR="00C93CCC" w:rsidRDefault="00C93CC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7A354" w14:textId="77777777" w:rsidR="00E3004D" w:rsidRDefault="00E3004D">
      <w:r>
        <w:separator/>
      </w:r>
    </w:p>
  </w:footnote>
  <w:footnote w:type="continuationSeparator" w:id="0">
    <w:p w14:paraId="0E07F827" w14:textId="77777777" w:rsidR="00E3004D" w:rsidRDefault="00E300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70" w:type="dxa"/>
        <w:right w:w="70" w:type="dxa"/>
      </w:tblCellMar>
      <w:tblLook w:val="0000" w:firstRow="0" w:lastRow="0" w:firstColumn="0" w:lastColumn="0" w:noHBand="0" w:noVBand="0"/>
    </w:tblPr>
    <w:tblGrid>
      <w:gridCol w:w="1346"/>
      <w:gridCol w:w="7726"/>
      <w:gridCol w:w="1843"/>
    </w:tblGrid>
    <w:tr w:rsidR="00C93CCC" w14:paraId="19D5BC5E" w14:textId="77777777">
      <w:trPr>
        <w:cantSplit/>
        <w:trHeight w:val="991"/>
        <w:jc w:val="center"/>
      </w:trPr>
      <w:tc>
        <w:tcPr>
          <w:tcW w:w="1346" w:type="dxa"/>
        </w:tcPr>
        <w:p w14:paraId="7D1E4812" w14:textId="77777777" w:rsidR="00C93CCC" w:rsidRDefault="00C93CCC">
          <w:pPr>
            <w:pStyle w:val="Header"/>
            <w:tabs>
              <w:tab w:val="clear" w:pos="4252"/>
              <w:tab w:val="clear" w:pos="8504"/>
            </w:tabs>
          </w:pPr>
        </w:p>
      </w:tc>
      <w:tc>
        <w:tcPr>
          <w:tcW w:w="7726" w:type="dxa"/>
        </w:tcPr>
        <w:p w14:paraId="0DBFE409" w14:textId="77777777" w:rsidR="00C93CCC" w:rsidRDefault="00C93CCC">
          <w:pPr>
            <w:pStyle w:val="Header"/>
            <w:tabs>
              <w:tab w:val="clear" w:pos="4252"/>
              <w:tab w:val="left" w:pos="2127"/>
              <w:tab w:val="left" w:pos="6521"/>
            </w:tabs>
          </w:pPr>
        </w:p>
      </w:tc>
      <w:bookmarkStart w:id="29" w:name="_MON_1030527131"/>
      <w:bookmarkEnd w:id="29"/>
      <w:tc>
        <w:tcPr>
          <w:tcW w:w="1843" w:type="dxa"/>
        </w:tcPr>
        <w:p w14:paraId="159BECBD" w14:textId="77777777" w:rsidR="00C93CCC" w:rsidRDefault="00C93CCC">
          <w:pPr>
            <w:pStyle w:val="Header"/>
            <w:tabs>
              <w:tab w:val="clear" w:pos="4252"/>
              <w:tab w:val="left" w:pos="6521"/>
            </w:tabs>
            <w:spacing w:before="120" w:after="120"/>
            <w:jc w:val="right"/>
            <w:rPr>
              <w:rFonts w:ascii="Gill Sans MT" w:hAnsi="Gill Sans MT"/>
              <w:sz w:val="10"/>
            </w:rPr>
          </w:pPr>
          <w:r>
            <w:object w:dxaOrig="1081" w:dyaOrig="1141" w14:anchorId="416483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5pt;height:44.35pt" fillcolor="window">
                <v:imagedata r:id="rId1" o:title=""/>
              </v:shape>
              <o:OLEObject Type="Embed" ProgID="Word.Picture.8" ShapeID="_x0000_i1025" DrawAspect="Content" ObjectID="_1724479254" r:id="rId2"/>
            </w:object>
          </w:r>
        </w:p>
      </w:tc>
    </w:tr>
  </w:tbl>
  <w:p w14:paraId="37A83458" w14:textId="77777777" w:rsidR="00C93CCC" w:rsidRDefault="00C93CCC">
    <w:pPr>
      <w:pStyle w:val="Header"/>
    </w:pPr>
  </w:p>
  <w:p w14:paraId="4AECF7C6" w14:textId="6EDD15A4" w:rsidR="00C93CCC" w:rsidRDefault="00FD453F">
    <w:pPr>
      <w:pStyle w:val="Header"/>
    </w:pPr>
    <w:r>
      <w:rPr>
        <w:noProof/>
        <w:sz w:val="20"/>
      </w:rPr>
      <mc:AlternateContent>
        <mc:Choice Requires="wps">
          <w:drawing>
            <wp:anchor distT="0" distB="0" distL="114300" distR="114300" simplePos="0" relativeHeight="251658240" behindDoc="0" locked="0" layoutInCell="0" allowOverlap="1" wp14:anchorId="4819963E" wp14:editId="4FA1022B">
              <wp:simplePos x="0" y="0"/>
              <wp:positionH relativeFrom="margin">
                <wp:posOffset>-107950</wp:posOffset>
              </wp:positionH>
              <wp:positionV relativeFrom="page">
                <wp:posOffset>1423035</wp:posOffset>
              </wp:positionV>
              <wp:extent cx="6840220" cy="8686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8686800"/>
                      </a:xfrm>
                      <a:prstGeom prst="rect">
                        <a:avLst/>
                      </a:prstGeom>
                      <a:solidFill>
                        <a:srgbClr val="FFFFFF"/>
                      </a:solidFill>
                      <a:ln w="9525">
                        <a:solidFill>
                          <a:srgbClr val="000000"/>
                        </a:solidFill>
                        <a:miter lim="800000"/>
                        <a:headEnd/>
                        <a:tailEnd/>
                      </a:ln>
                    </wps:spPr>
                    <wps:txbx>
                      <w:txbxContent>
                        <w:p w14:paraId="0C89DAC6" w14:textId="77777777" w:rsidR="00C93CCC" w:rsidRDefault="00C93C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19963E" id="_x0000_t202" coordsize="21600,21600" o:spt="202" path="m,l,21600r21600,l21600,xe">
              <v:stroke joinstyle="miter"/>
              <v:path gradientshapeok="t" o:connecttype="rect"/>
            </v:shapetype>
            <v:shape id="Text Box 2" o:spid="_x0000_s1026" type="#_x0000_t202" style="position:absolute;margin-left:-8.5pt;margin-top:112.05pt;width:538.6pt;height:68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" o:allowincell="f">
              <v:textbox>
                <w:txbxContent>
                  <w:p w14:paraId="0C89DAC6" w14:textId="77777777" w:rsidR="00C93CCC" w:rsidRDefault="00C93CCC"/>
                </w:txbxContent>
              </v:textbox>
              <w10:wrap anchorx="margin"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77" w:type="dxa"/>
      <w:jc w:val="center"/>
      <w:tblLayout w:type="fixed"/>
      <w:tblCellMar>
        <w:left w:w="70" w:type="dxa"/>
        <w:right w:w="70" w:type="dxa"/>
      </w:tblCellMar>
      <w:tblLook w:val="0000" w:firstRow="0" w:lastRow="0" w:firstColumn="0" w:lastColumn="0" w:noHBand="0" w:noVBand="0"/>
    </w:tblPr>
    <w:tblGrid>
      <w:gridCol w:w="1357"/>
      <w:gridCol w:w="3728"/>
      <w:gridCol w:w="2020"/>
      <w:gridCol w:w="3772"/>
    </w:tblGrid>
    <w:tr w:rsidR="00546D77" w14:paraId="1E577442" w14:textId="77777777" w:rsidTr="00546D77">
      <w:trPr>
        <w:cantSplit/>
        <w:trHeight w:val="427"/>
        <w:jc w:val="center"/>
      </w:trPr>
      <w:tc>
        <w:tcPr>
          <w:tcW w:w="1357" w:type="dxa"/>
          <w:vMerge w:val="restart"/>
        </w:tcPr>
        <w:p w14:paraId="6CB9E49B" w14:textId="77777777" w:rsidR="00546D77" w:rsidRDefault="00546D77">
          <w:pPr>
            <w:pStyle w:val="Header"/>
            <w:tabs>
              <w:tab w:val="clear" w:pos="4252"/>
              <w:tab w:val="clear" w:pos="8504"/>
            </w:tabs>
            <w:ind w:left="-41" w:right="1318"/>
          </w:pPr>
          <w:r>
            <w:object w:dxaOrig="1081" w:dyaOrig="1141" w14:anchorId="18A5A6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6.95pt;height:59.45pt" fillcolor="window">
                <v:imagedata r:id="rId1" o:title=""/>
              </v:shape>
              <o:OLEObject Type="Embed" ProgID="Word.Picture.8" ShapeID="_x0000_i1026" DrawAspect="Content" ObjectID="_1724479255" r:id="rId2"/>
            </w:object>
          </w:r>
        </w:p>
      </w:tc>
      <w:tc>
        <w:tcPr>
          <w:tcW w:w="3728" w:type="dxa"/>
          <w:vMerge w:val="restart"/>
        </w:tcPr>
        <w:p w14:paraId="6198FA01" w14:textId="77777777" w:rsidR="00546D77" w:rsidRPr="008D3E08" w:rsidRDefault="00546D77">
          <w:pPr>
            <w:pStyle w:val="Header"/>
            <w:tabs>
              <w:tab w:val="clear" w:pos="4252"/>
              <w:tab w:val="left" w:pos="-819"/>
              <w:tab w:val="left" w:pos="6521"/>
            </w:tabs>
            <w:ind w:right="-7"/>
            <w:rPr>
              <w:sz w:val="22"/>
              <w:szCs w:val="22"/>
            </w:rPr>
          </w:pPr>
          <w:r>
            <w:rPr>
              <w:sz w:val="22"/>
            </w:rPr>
            <w:t xml:space="preserve">MINISTERSTVO </w:t>
          </w:r>
        </w:p>
        <w:p w14:paraId="72B91BEF" w14:textId="0FE9D540" w:rsidR="00546D77" w:rsidRPr="008D3E08" w:rsidRDefault="00546D77">
          <w:pPr>
            <w:pStyle w:val="Header"/>
            <w:tabs>
              <w:tab w:val="clear" w:pos="4252"/>
              <w:tab w:val="left" w:pos="-819"/>
              <w:tab w:val="left" w:pos="6521"/>
            </w:tabs>
            <w:ind w:right="-7"/>
            <w:rPr>
              <w:sz w:val="22"/>
              <w:szCs w:val="22"/>
            </w:rPr>
          </w:pPr>
          <w:r>
            <w:rPr>
              <w:sz w:val="22"/>
            </w:rPr>
            <w:t>DOPRAVY, MOBILITY A MĚSTSKÉ AGENDY</w:t>
          </w:r>
        </w:p>
        <w:p w14:paraId="17DC2EEB" w14:textId="77777777" w:rsidR="008D3E08" w:rsidRPr="008D3E08" w:rsidRDefault="008D3E08">
          <w:pPr>
            <w:pStyle w:val="Header"/>
            <w:tabs>
              <w:tab w:val="clear" w:pos="4252"/>
              <w:tab w:val="left" w:pos="-819"/>
              <w:tab w:val="left" w:pos="6521"/>
            </w:tabs>
            <w:ind w:right="-7"/>
            <w:rPr>
              <w:sz w:val="22"/>
              <w:szCs w:val="22"/>
            </w:rPr>
          </w:pPr>
        </w:p>
        <w:p w14:paraId="76421220" w14:textId="2838AE55" w:rsidR="008D3E08" w:rsidRDefault="008D3E08">
          <w:pPr>
            <w:pStyle w:val="Header"/>
            <w:tabs>
              <w:tab w:val="clear" w:pos="4252"/>
              <w:tab w:val="left" w:pos="-819"/>
              <w:tab w:val="left" w:pos="6521"/>
            </w:tabs>
            <w:ind w:right="-7"/>
            <w:rPr>
              <w:rFonts w:ascii="Gill Sans MT" w:hAnsi="Gill Sans MT"/>
              <w:sz w:val="16"/>
            </w:rPr>
          </w:pPr>
          <w:r>
            <w:rPr>
              <w:sz w:val="22"/>
            </w:rPr>
            <w:t>MINISTERSTVO PRO EKOLOGICKOU TRANSFORMACI A DEMOGRAFICKÉ VÝZVY</w:t>
          </w:r>
        </w:p>
      </w:tc>
      <w:tc>
        <w:tcPr>
          <w:tcW w:w="2020" w:type="dxa"/>
          <w:vMerge w:val="restart"/>
        </w:tcPr>
        <w:p w14:paraId="5FBE566D" w14:textId="77777777" w:rsidR="00546D77" w:rsidRDefault="00546D77">
          <w:pPr>
            <w:pStyle w:val="Header"/>
            <w:tabs>
              <w:tab w:val="clear" w:pos="4252"/>
              <w:tab w:val="left" w:pos="-819"/>
              <w:tab w:val="left" w:pos="6521"/>
            </w:tabs>
            <w:rPr>
              <w:rFonts w:ascii="Gill Sans MT" w:hAnsi="Gill Sans MT"/>
              <w:sz w:val="16"/>
            </w:rPr>
          </w:pPr>
        </w:p>
      </w:tc>
      <w:tc>
        <w:tcPr>
          <w:tcW w:w="3772" w:type="dxa"/>
        </w:tcPr>
        <w:p w14:paraId="240676BB" w14:textId="77777777" w:rsidR="00546D77" w:rsidRDefault="00546D77">
          <w:pPr>
            <w:pStyle w:val="Header"/>
            <w:tabs>
              <w:tab w:val="clear" w:pos="4252"/>
              <w:tab w:val="left" w:pos="6521"/>
            </w:tabs>
            <w:spacing w:before="100"/>
          </w:pPr>
        </w:p>
        <w:p w14:paraId="2705A353" w14:textId="77777777" w:rsidR="00546D77" w:rsidRDefault="00546D77">
          <w:pPr>
            <w:pStyle w:val="Header"/>
            <w:tabs>
              <w:tab w:val="clear" w:pos="4252"/>
              <w:tab w:val="left" w:pos="6521"/>
            </w:tabs>
            <w:spacing w:before="100"/>
          </w:pPr>
        </w:p>
      </w:tc>
    </w:tr>
    <w:tr w:rsidR="00546D77" w14:paraId="4DD47A0F" w14:textId="77777777" w:rsidTr="00546D77">
      <w:trPr>
        <w:cantSplit/>
        <w:trHeight w:hRule="exact" w:val="100"/>
        <w:jc w:val="center"/>
      </w:trPr>
      <w:tc>
        <w:tcPr>
          <w:tcW w:w="1357" w:type="dxa"/>
          <w:vMerge/>
        </w:tcPr>
        <w:p w14:paraId="1C13B7EF" w14:textId="77777777" w:rsidR="00546D77" w:rsidRDefault="00546D77">
          <w:pPr>
            <w:pStyle w:val="Header"/>
            <w:tabs>
              <w:tab w:val="clear" w:pos="4252"/>
              <w:tab w:val="clear" w:pos="8504"/>
            </w:tabs>
            <w:ind w:left="-41" w:right="1176"/>
          </w:pPr>
        </w:p>
      </w:tc>
      <w:tc>
        <w:tcPr>
          <w:tcW w:w="3728" w:type="dxa"/>
          <w:vMerge/>
        </w:tcPr>
        <w:p w14:paraId="3B8408E4" w14:textId="77777777" w:rsidR="00546D77" w:rsidRDefault="00546D77">
          <w:pPr>
            <w:pStyle w:val="Header"/>
            <w:tabs>
              <w:tab w:val="clear" w:pos="4252"/>
              <w:tab w:val="left" w:pos="-819"/>
              <w:tab w:val="left" w:pos="6521"/>
            </w:tabs>
            <w:rPr>
              <w:rFonts w:ascii="Gill Sans MT" w:hAnsi="Gill Sans MT"/>
              <w:sz w:val="16"/>
            </w:rPr>
          </w:pPr>
        </w:p>
      </w:tc>
      <w:tc>
        <w:tcPr>
          <w:tcW w:w="2020" w:type="dxa"/>
          <w:vMerge/>
        </w:tcPr>
        <w:p w14:paraId="5355EE17" w14:textId="77777777" w:rsidR="00546D77" w:rsidRDefault="00546D77">
          <w:pPr>
            <w:pStyle w:val="Header"/>
            <w:tabs>
              <w:tab w:val="clear" w:pos="4252"/>
              <w:tab w:val="left" w:pos="-819"/>
              <w:tab w:val="left" w:pos="6521"/>
            </w:tabs>
            <w:rPr>
              <w:rFonts w:ascii="Gill Sans MT" w:hAnsi="Gill Sans MT"/>
              <w:sz w:val="16"/>
            </w:rPr>
          </w:pPr>
        </w:p>
      </w:tc>
      <w:tc>
        <w:tcPr>
          <w:tcW w:w="3772" w:type="dxa"/>
        </w:tcPr>
        <w:p w14:paraId="229BCB56" w14:textId="77777777" w:rsidR="00546D77" w:rsidRDefault="00546D77">
          <w:pPr>
            <w:pStyle w:val="Header"/>
            <w:tabs>
              <w:tab w:val="clear" w:pos="4252"/>
              <w:tab w:val="left" w:pos="6521"/>
            </w:tabs>
            <w:ind w:right="782"/>
            <w:rPr>
              <w:rFonts w:ascii="Gill Sans MT" w:hAnsi="Gill Sans MT"/>
              <w:sz w:val="14"/>
            </w:rPr>
          </w:pPr>
        </w:p>
      </w:tc>
    </w:tr>
    <w:tr w:rsidR="00546D77" w14:paraId="5B3C05C1" w14:textId="77777777" w:rsidTr="00546D77">
      <w:trPr>
        <w:cantSplit/>
        <w:trHeight w:hRule="exact" w:val="427"/>
        <w:jc w:val="center"/>
      </w:trPr>
      <w:tc>
        <w:tcPr>
          <w:tcW w:w="1357" w:type="dxa"/>
          <w:vMerge/>
        </w:tcPr>
        <w:p w14:paraId="6B5B66CA" w14:textId="77777777" w:rsidR="00546D77" w:rsidRDefault="00546D77">
          <w:pPr>
            <w:pStyle w:val="Header"/>
            <w:tabs>
              <w:tab w:val="clear" w:pos="4252"/>
              <w:tab w:val="clear" w:pos="8504"/>
            </w:tabs>
            <w:ind w:left="-41" w:right="1176"/>
          </w:pPr>
        </w:p>
      </w:tc>
      <w:tc>
        <w:tcPr>
          <w:tcW w:w="3728" w:type="dxa"/>
          <w:vMerge/>
        </w:tcPr>
        <w:p w14:paraId="2C834F51" w14:textId="77777777" w:rsidR="00546D77" w:rsidRDefault="00546D77">
          <w:pPr>
            <w:pStyle w:val="Header"/>
            <w:tabs>
              <w:tab w:val="clear" w:pos="4252"/>
              <w:tab w:val="left" w:pos="-819"/>
              <w:tab w:val="left" w:pos="6521"/>
            </w:tabs>
            <w:rPr>
              <w:rFonts w:ascii="Gill Sans MT" w:hAnsi="Gill Sans MT"/>
              <w:sz w:val="16"/>
            </w:rPr>
          </w:pPr>
        </w:p>
      </w:tc>
      <w:tc>
        <w:tcPr>
          <w:tcW w:w="2020" w:type="dxa"/>
          <w:vMerge/>
        </w:tcPr>
        <w:p w14:paraId="44869AAF" w14:textId="77777777" w:rsidR="00546D77" w:rsidRDefault="00546D77">
          <w:pPr>
            <w:pStyle w:val="Header"/>
            <w:tabs>
              <w:tab w:val="clear" w:pos="4252"/>
              <w:tab w:val="left" w:pos="-819"/>
              <w:tab w:val="left" w:pos="6521"/>
            </w:tabs>
            <w:rPr>
              <w:rFonts w:ascii="Gill Sans MT" w:hAnsi="Gill Sans MT"/>
              <w:sz w:val="16"/>
            </w:rPr>
          </w:pPr>
        </w:p>
      </w:tc>
      <w:tc>
        <w:tcPr>
          <w:tcW w:w="3772" w:type="dxa"/>
          <w:tcBorders>
            <w:top w:val="single" w:sz="4" w:space="0" w:color="auto"/>
            <w:left w:val="single" w:sz="4" w:space="0" w:color="auto"/>
            <w:bottom w:val="single" w:sz="4" w:space="0" w:color="auto"/>
            <w:right w:val="single" w:sz="4" w:space="0" w:color="auto"/>
          </w:tcBorders>
        </w:tcPr>
        <w:p w14:paraId="7AE9179E" w14:textId="77777777" w:rsidR="00546D77" w:rsidRDefault="00546D77">
          <w:pPr>
            <w:pStyle w:val="Header"/>
            <w:tabs>
              <w:tab w:val="clear" w:pos="4252"/>
              <w:tab w:val="left" w:pos="6521"/>
            </w:tabs>
            <w:spacing w:before="100"/>
            <w:ind w:right="782"/>
          </w:pPr>
          <w:r>
            <w:rPr>
              <w:rFonts w:ascii="Gill Sans MT" w:hAnsi="Gill Sans MT"/>
              <w:sz w:val="14"/>
            </w:rPr>
            <w:t>REF. Č.:</w:t>
          </w:r>
        </w:p>
      </w:tc>
    </w:tr>
    <w:tr w:rsidR="00546D77" w14:paraId="245FEC80" w14:textId="77777777" w:rsidTr="00546D77">
      <w:trPr>
        <w:cantSplit/>
        <w:trHeight w:hRule="exact" w:val="600"/>
        <w:jc w:val="center"/>
      </w:trPr>
      <w:tc>
        <w:tcPr>
          <w:tcW w:w="1357" w:type="dxa"/>
          <w:vMerge/>
        </w:tcPr>
        <w:p w14:paraId="28B5929C" w14:textId="77777777" w:rsidR="00546D77" w:rsidRDefault="00546D77">
          <w:pPr>
            <w:pStyle w:val="Header"/>
            <w:tabs>
              <w:tab w:val="clear" w:pos="4252"/>
              <w:tab w:val="clear" w:pos="8504"/>
            </w:tabs>
            <w:ind w:left="-41" w:right="1176"/>
          </w:pPr>
        </w:p>
      </w:tc>
      <w:tc>
        <w:tcPr>
          <w:tcW w:w="3728" w:type="dxa"/>
          <w:vMerge/>
        </w:tcPr>
        <w:p w14:paraId="58C627D0" w14:textId="77777777" w:rsidR="00546D77" w:rsidRDefault="00546D77">
          <w:pPr>
            <w:pStyle w:val="Header"/>
            <w:tabs>
              <w:tab w:val="clear" w:pos="4252"/>
              <w:tab w:val="left" w:pos="-819"/>
              <w:tab w:val="left" w:pos="6521"/>
            </w:tabs>
            <w:rPr>
              <w:rFonts w:ascii="Gill Sans MT" w:hAnsi="Gill Sans MT"/>
              <w:sz w:val="16"/>
            </w:rPr>
          </w:pPr>
        </w:p>
      </w:tc>
      <w:tc>
        <w:tcPr>
          <w:tcW w:w="2020" w:type="dxa"/>
          <w:vMerge/>
        </w:tcPr>
        <w:p w14:paraId="44F238CB" w14:textId="77777777" w:rsidR="00546D77" w:rsidRDefault="00546D77">
          <w:pPr>
            <w:pStyle w:val="Header"/>
            <w:tabs>
              <w:tab w:val="clear" w:pos="4252"/>
              <w:tab w:val="left" w:pos="-819"/>
              <w:tab w:val="left" w:pos="6521"/>
            </w:tabs>
            <w:rPr>
              <w:rFonts w:ascii="Gill Sans MT" w:hAnsi="Gill Sans MT"/>
              <w:sz w:val="16"/>
            </w:rPr>
          </w:pPr>
        </w:p>
      </w:tc>
      <w:tc>
        <w:tcPr>
          <w:tcW w:w="3772" w:type="dxa"/>
          <w:tcBorders>
            <w:top w:val="single" w:sz="4" w:space="0" w:color="auto"/>
            <w:left w:val="single" w:sz="4" w:space="0" w:color="auto"/>
            <w:bottom w:val="single" w:sz="4" w:space="0" w:color="auto"/>
            <w:right w:val="single" w:sz="4" w:space="0" w:color="auto"/>
          </w:tcBorders>
        </w:tcPr>
        <w:p w14:paraId="1B79A29C" w14:textId="77777777" w:rsidR="00546D77" w:rsidRDefault="00546D77">
          <w:pPr>
            <w:pStyle w:val="Header"/>
            <w:tabs>
              <w:tab w:val="clear" w:pos="4252"/>
              <w:tab w:val="left" w:pos="6521"/>
            </w:tabs>
            <w:spacing w:before="100"/>
            <w:ind w:right="782"/>
          </w:pPr>
          <w:r>
            <w:rPr>
              <w:rFonts w:ascii="Gill Sans MT" w:hAnsi="Gill Sans MT"/>
              <w:sz w:val="14"/>
            </w:rPr>
            <w:t>REF.C.M.:</w:t>
          </w:r>
        </w:p>
      </w:tc>
    </w:tr>
  </w:tbl>
  <w:p w14:paraId="0F00BC53" w14:textId="5A2A6B0E" w:rsidR="00C93CCC" w:rsidRDefault="00FD453F">
    <w:pPr>
      <w:pStyle w:val="Header"/>
    </w:pPr>
    <w:r>
      <w:rPr>
        <w:noProof/>
        <w:sz w:val="20"/>
      </w:rPr>
      <mc:AlternateContent>
        <mc:Choice Requires="wps">
          <w:drawing>
            <wp:anchor distT="0" distB="0" distL="114300" distR="114300" simplePos="0" relativeHeight="251657216" behindDoc="0" locked="0" layoutInCell="0" allowOverlap="1" wp14:anchorId="25F39437" wp14:editId="6D6516D9">
              <wp:simplePos x="0" y="0"/>
              <wp:positionH relativeFrom="margin">
                <wp:posOffset>-107950</wp:posOffset>
              </wp:positionH>
              <wp:positionV relativeFrom="page">
                <wp:posOffset>5080000</wp:posOffset>
              </wp:positionV>
              <wp:extent cx="6840220" cy="51695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5169535"/>
                      </a:xfrm>
                      <a:prstGeom prst="rect">
                        <a:avLst/>
                      </a:prstGeom>
                      <a:solidFill>
                        <a:srgbClr val="FFFFFF"/>
                      </a:solidFill>
                      <a:ln w="9525">
                        <a:solidFill>
                          <a:srgbClr val="000000"/>
                        </a:solidFill>
                        <a:miter lim="800000"/>
                        <a:headEnd/>
                        <a:tailEnd/>
                      </a:ln>
                    </wps:spPr>
                    <wps:txbx>
                      <w:txbxContent>
                        <w:p w14:paraId="0930644B" w14:textId="77777777" w:rsidR="00C93CCC" w:rsidRDefault="00C93C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F39437" id="_x0000_t202" coordsize="21600,21600" o:spt="202" path="m,l,21600r21600,l21600,xe">
              <v:stroke joinstyle="miter"/>
              <v:path gradientshapeok="t" o:connecttype="rect"/>
            </v:shapetype>
            <v:shape id="Text Box 1" o:spid="_x0000_s1027" type="#_x0000_t202" style="position:absolute;margin-left:-8.5pt;margin-top:400pt;width:538.6pt;height:407.0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" o:allowincell="f">
              <v:textbox>
                <w:txbxContent>
                  <w:p w14:paraId="0930644B" w14:textId="77777777" w:rsidR="00C93CCC" w:rsidRDefault="00C93CCC"/>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6B14"/>
    <w:multiLevelType w:val="hybridMultilevel"/>
    <w:tmpl w:val="542C774E"/>
    <w:lvl w:ilvl="0" w:tplc="B2BAFBE0">
      <w:start w:val="1"/>
      <w:numFmt w:val="decimal"/>
      <w:lvlText w:val="%1"/>
      <w:lvlJc w:val="left"/>
      <w:pPr>
        <w:ind w:left="29115" w:hanging="840"/>
      </w:pPr>
      <w:rPr>
        <w:rFonts w:hint="default"/>
      </w:rPr>
    </w:lvl>
    <w:lvl w:ilvl="1" w:tplc="0C0A0019" w:tentative="1">
      <w:start w:val="1"/>
      <w:numFmt w:val="lowerLetter"/>
      <w:lvlText w:val="%2."/>
      <w:lvlJc w:val="left"/>
      <w:pPr>
        <w:ind w:left="29355" w:hanging="360"/>
      </w:pPr>
    </w:lvl>
    <w:lvl w:ilvl="2" w:tplc="0C0A001B" w:tentative="1">
      <w:start w:val="1"/>
      <w:numFmt w:val="lowerRoman"/>
      <w:lvlText w:val="%3."/>
      <w:lvlJc w:val="right"/>
      <w:pPr>
        <w:ind w:left="30075" w:hanging="180"/>
      </w:pPr>
    </w:lvl>
    <w:lvl w:ilvl="3" w:tplc="0C0A000F" w:tentative="1">
      <w:start w:val="1"/>
      <w:numFmt w:val="decimal"/>
      <w:lvlText w:val="%4."/>
      <w:lvlJc w:val="left"/>
      <w:pPr>
        <w:ind w:left="30795" w:hanging="360"/>
      </w:pPr>
    </w:lvl>
    <w:lvl w:ilvl="4" w:tplc="0C0A0019" w:tentative="1">
      <w:start w:val="1"/>
      <w:numFmt w:val="lowerLetter"/>
      <w:lvlText w:val="%5."/>
      <w:lvlJc w:val="left"/>
      <w:pPr>
        <w:ind w:left="31515" w:hanging="360"/>
      </w:pPr>
    </w:lvl>
    <w:lvl w:ilvl="5" w:tplc="0C0A001B" w:tentative="1">
      <w:start w:val="1"/>
      <w:numFmt w:val="lowerRoman"/>
      <w:lvlText w:val="%6."/>
      <w:lvlJc w:val="right"/>
      <w:pPr>
        <w:ind w:left="32235" w:hanging="180"/>
      </w:pPr>
    </w:lvl>
    <w:lvl w:ilvl="6" w:tplc="0C0A000F" w:tentative="1">
      <w:start w:val="1"/>
      <w:numFmt w:val="decimal"/>
      <w:lvlText w:val="%7."/>
      <w:lvlJc w:val="left"/>
      <w:pPr>
        <w:ind w:left="-32581" w:hanging="360"/>
      </w:pPr>
    </w:lvl>
    <w:lvl w:ilvl="7" w:tplc="0C0A0019" w:tentative="1">
      <w:start w:val="1"/>
      <w:numFmt w:val="lowerLetter"/>
      <w:lvlText w:val="%8."/>
      <w:lvlJc w:val="left"/>
      <w:pPr>
        <w:ind w:left="-31861" w:hanging="360"/>
      </w:pPr>
    </w:lvl>
    <w:lvl w:ilvl="8" w:tplc="0C0A001B" w:tentative="1">
      <w:start w:val="1"/>
      <w:numFmt w:val="lowerRoman"/>
      <w:lvlText w:val="%9."/>
      <w:lvlJc w:val="right"/>
      <w:pPr>
        <w:ind w:left="-31141" w:hanging="180"/>
      </w:pPr>
    </w:lvl>
  </w:abstractNum>
  <w:abstractNum w:abstractNumId="1" w15:restartNumberingAfterBreak="0">
    <w:nsid w:val="037E37B5"/>
    <w:multiLevelType w:val="hybridMultilevel"/>
    <w:tmpl w:val="3EA0DAC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7A45B39"/>
    <w:multiLevelType w:val="hybridMultilevel"/>
    <w:tmpl w:val="C6BEE674"/>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 w15:restartNumberingAfterBreak="0">
    <w:nsid w:val="0885190B"/>
    <w:multiLevelType w:val="hybridMultilevel"/>
    <w:tmpl w:val="EDF21534"/>
    <w:lvl w:ilvl="0" w:tplc="0C0A0017">
      <w:start w:val="1"/>
      <w:numFmt w:val="lowerLetter"/>
      <w:lvlText w:val="%1)"/>
      <w:lvlJc w:val="left"/>
      <w:pPr>
        <w:ind w:left="1776" w:hanging="360"/>
      </w:p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4" w15:restartNumberingAfterBreak="0">
    <w:nsid w:val="0E2128D4"/>
    <w:multiLevelType w:val="hybridMultilevel"/>
    <w:tmpl w:val="76C60B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0106A9D"/>
    <w:multiLevelType w:val="hybridMultilevel"/>
    <w:tmpl w:val="60C833B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1261454"/>
    <w:multiLevelType w:val="hybridMultilevel"/>
    <w:tmpl w:val="131C936C"/>
    <w:lvl w:ilvl="0" w:tplc="2EB8C15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27253EF"/>
    <w:multiLevelType w:val="multilevel"/>
    <w:tmpl w:val="666816CA"/>
    <w:lvl w:ilvl="0">
      <w:start w:val="1"/>
      <w:numFmt w:val="bullet"/>
      <w:lvlText w:val=""/>
      <w:lvlJc w:val="left"/>
      <w:pPr>
        <w:ind w:left="1069" w:hanging="360"/>
      </w:pPr>
      <w:rPr>
        <w:rFonts w:ascii="Symbol" w:hAnsi="Symbol" w:cs="Symbol"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cs="Wingdings" w:hint="default"/>
      </w:rPr>
    </w:lvl>
    <w:lvl w:ilvl="3">
      <w:start w:val="1"/>
      <w:numFmt w:val="bullet"/>
      <w:lvlText w:val=""/>
      <w:lvlJc w:val="left"/>
      <w:pPr>
        <w:ind w:left="3229" w:hanging="360"/>
      </w:pPr>
      <w:rPr>
        <w:rFonts w:ascii="Symbol" w:hAnsi="Symbol" w:cs="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cs="Wingdings" w:hint="default"/>
      </w:rPr>
    </w:lvl>
  </w:abstractNum>
  <w:abstractNum w:abstractNumId="8" w15:restartNumberingAfterBreak="0">
    <w:nsid w:val="19FA4502"/>
    <w:multiLevelType w:val="multilevel"/>
    <w:tmpl w:val="F062902C"/>
    <w:lvl w:ilvl="0">
      <w:start w:val="1"/>
      <w:numFmt w:val="lowerLetter"/>
      <w:lvlText w:val="%1)"/>
      <w:lvlJc w:val="left"/>
      <w:pPr>
        <w:ind w:left="644"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B832F5F"/>
    <w:multiLevelType w:val="hybridMultilevel"/>
    <w:tmpl w:val="C7525166"/>
    <w:lvl w:ilvl="0" w:tplc="9264891E">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10" w15:restartNumberingAfterBreak="0">
    <w:nsid w:val="1DCD7FAC"/>
    <w:multiLevelType w:val="multilevel"/>
    <w:tmpl w:val="768EBD0A"/>
    <w:lvl w:ilvl="0">
      <w:start w:val="15"/>
      <w:numFmt w:val="decimal"/>
      <w:lvlText w:val="%1"/>
      <w:lvlJc w:val="left"/>
      <w:pPr>
        <w:ind w:left="375" w:hanging="375"/>
      </w:pPr>
      <w:rPr>
        <w:rFonts w:hint="default"/>
      </w:rPr>
    </w:lvl>
    <w:lvl w:ilvl="1">
      <w:start w:val="6"/>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1" w15:restartNumberingAfterBreak="0">
    <w:nsid w:val="1FBB6F6B"/>
    <w:multiLevelType w:val="hybridMultilevel"/>
    <w:tmpl w:val="68A05250"/>
    <w:lvl w:ilvl="0" w:tplc="0C0A0017">
      <w:start w:val="1"/>
      <w:numFmt w:val="lowerLetter"/>
      <w:lvlText w:val="%1)"/>
      <w:lvlJc w:val="left"/>
      <w:pPr>
        <w:ind w:left="3337"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3F2211B"/>
    <w:multiLevelType w:val="multilevel"/>
    <w:tmpl w:val="614C401A"/>
    <w:styleLink w:val="WWNum3"/>
    <w:lvl w:ilvl="0">
      <w:start w:val="1"/>
      <w:numFmt w:val="decimal"/>
      <w:lvlText w:val="%1."/>
      <w:lvlJc w:val="left"/>
      <w:pPr>
        <w:ind w:left="360" w:hanging="360"/>
      </w:p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none"/>
      <w:suff w:val="nothing"/>
      <w:lvlText w:val="%5"/>
      <w:lvlJc w:val="left"/>
      <w:pPr>
        <w:ind w:left="2160" w:hanging="360"/>
      </w:p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13" w15:restartNumberingAfterBreak="0">
    <w:nsid w:val="26D74DAF"/>
    <w:multiLevelType w:val="hybridMultilevel"/>
    <w:tmpl w:val="CBD8B54E"/>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4" w15:restartNumberingAfterBreak="0">
    <w:nsid w:val="2D7A4F97"/>
    <w:multiLevelType w:val="hybridMultilevel"/>
    <w:tmpl w:val="CCE87788"/>
    <w:lvl w:ilvl="0" w:tplc="3C366EA8">
      <w:start w:val="1"/>
      <w:numFmt w:val="lowerLetter"/>
      <w:lvlText w:val="%1)"/>
      <w:lvlJc w:val="left"/>
      <w:pPr>
        <w:ind w:left="373" w:hanging="360"/>
      </w:pPr>
      <w:rPr>
        <w:rFonts w:hint="default"/>
      </w:rPr>
    </w:lvl>
    <w:lvl w:ilvl="1" w:tplc="0C0A0019" w:tentative="1">
      <w:start w:val="1"/>
      <w:numFmt w:val="lowerLetter"/>
      <w:lvlText w:val="%2."/>
      <w:lvlJc w:val="left"/>
      <w:pPr>
        <w:ind w:left="1093" w:hanging="360"/>
      </w:pPr>
    </w:lvl>
    <w:lvl w:ilvl="2" w:tplc="0C0A001B" w:tentative="1">
      <w:start w:val="1"/>
      <w:numFmt w:val="lowerRoman"/>
      <w:lvlText w:val="%3."/>
      <w:lvlJc w:val="right"/>
      <w:pPr>
        <w:ind w:left="1813" w:hanging="180"/>
      </w:pPr>
    </w:lvl>
    <w:lvl w:ilvl="3" w:tplc="0C0A000F" w:tentative="1">
      <w:start w:val="1"/>
      <w:numFmt w:val="decimal"/>
      <w:lvlText w:val="%4."/>
      <w:lvlJc w:val="left"/>
      <w:pPr>
        <w:ind w:left="2533" w:hanging="360"/>
      </w:pPr>
    </w:lvl>
    <w:lvl w:ilvl="4" w:tplc="0C0A0019" w:tentative="1">
      <w:start w:val="1"/>
      <w:numFmt w:val="lowerLetter"/>
      <w:lvlText w:val="%5."/>
      <w:lvlJc w:val="left"/>
      <w:pPr>
        <w:ind w:left="3253" w:hanging="360"/>
      </w:pPr>
    </w:lvl>
    <w:lvl w:ilvl="5" w:tplc="0C0A001B" w:tentative="1">
      <w:start w:val="1"/>
      <w:numFmt w:val="lowerRoman"/>
      <w:lvlText w:val="%6."/>
      <w:lvlJc w:val="right"/>
      <w:pPr>
        <w:ind w:left="3973" w:hanging="180"/>
      </w:pPr>
    </w:lvl>
    <w:lvl w:ilvl="6" w:tplc="0C0A000F" w:tentative="1">
      <w:start w:val="1"/>
      <w:numFmt w:val="decimal"/>
      <w:lvlText w:val="%7."/>
      <w:lvlJc w:val="left"/>
      <w:pPr>
        <w:ind w:left="4693" w:hanging="360"/>
      </w:pPr>
    </w:lvl>
    <w:lvl w:ilvl="7" w:tplc="0C0A0019" w:tentative="1">
      <w:start w:val="1"/>
      <w:numFmt w:val="lowerLetter"/>
      <w:lvlText w:val="%8."/>
      <w:lvlJc w:val="left"/>
      <w:pPr>
        <w:ind w:left="5413" w:hanging="360"/>
      </w:pPr>
    </w:lvl>
    <w:lvl w:ilvl="8" w:tplc="0C0A001B" w:tentative="1">
      <w:start w:val="1"/>
      <w:numFmt w:val="lowerRoman"/>
      <w:lvlText w:val="%9."/>
      <w:lvlJc w:val="right"/>
      <w:pPr>
        <w:ind w:left="6133" w:hanging="180"/>
      </w:pPr>
    </w:lvl>
  </w:abstractNum>
  <w:abstractNum w:abstractNumId="15" w15:restartNumberingAfterBreak="0">
    <w:nsid w:val="33EA6229"/>
    <w:multiLevelType w:val="hybridMultilevel"/>
    <w:tmpl w:val="14BCE4D6"/>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6" w15:restartNumberingAfterBreak="0">
    <w:nsid w:val="38E60D7E"/>
    <w:multiLevelType w:val="hybridMultilevel"/>
    <w:tmpl w:val="7400A82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DD4218E"/>
    <w:multiLevelType w:val="hybridMultilevel"/>
    <w:tmpl w:val="B40A7106"/>
    <w:lvl w:ilvl="0" w:tplc="1EEEEE46">
      <w:start w:val="4"/>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15:restartNumberingAfterBreak="0">
    <w:nsid w:val="3F1E1148"/>
    <w:multiLevelType w:val="hybridMultilevel"/>
    <w:tmpl w:val="5922E64A"/>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9" w15:restartNumberingAfterBreak="0">
    <w:nsid w:val="44DF5CF3"/>
    <w:multiLevelType w:val="hybridMultilevel"/>
    <w:tmpl w:val="836675F0"/>
    <w:lvl w:ilvl="0" w:tplc="74E61344">
      <w:start w:val="2"/>
      <w:numFmt w:val="bullet"/>
      <w:lvlText w:val="-"/>
      <w:lvlJc w:val="left"/>
      <w:pPr>
        <w:ind w:left="6456"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5324F99"/>
    <w:multiLevelType w:val="hybridMultilevel"/>
    <w:tmpl w:val="0EB6E110"/>
    <w:lvl w:ilvl="0" w:tplc="10388CB2">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1" w15:restartNumberingAfterBreak="0">
    <w:nsid w:val="46AF73D0"/>
    <w:multiLevelType w:val="hybridMultilevel"/>
    <w:tmpl w:val="4B264938"/>
    <w:lvl w:ilvl="0" w:tplc="0C0A0017">
      <w:start w:val="1"/>
      <w:numFmt w:val="lowerLetter"/>
      <w:lvlText w:val="%1)"/>
      <w:lvlJc w:val="left"/>
      <w:pPr>
        <w:ind w:left="704" w:hanging="42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2" w15:restartNumberingAfterBreak="0">
    <w:nsid w:val="48BD3646"/>
    <w:multiLevelType w:val="hybridMultilevel"/>
    <w:tmpl w:val="EB6644F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AB7108E"/>
    <w:multiLevelType w:val="hybridMultilevel"/>
    <w:tmpl w:val="B512019C"/>
    <w:lvl w:ilvl="0" w:tplc="9F2A7DC0">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B276012"/>
    <w:multiLevelType w:val="hybridMultilevel"/>
    <w:tmpl w:val="264A6ABA"/>
    <w:lvl w:ilvl="0" w:tplc="99B8C12C">
      <w:start w:val="1"/>
      <w:numFmt w:val="decimal"/>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25" w15:restartNumberingAfterBreak="0">
    <w:nsid w:val="54742056"/>
    <w:multiLevelType w:val="hybridMultilevel"/>
    <w:tmpl w:val="E222D0B2"/>
    <w:lvl w:ilvl="0" w:tplc="6FDEFA32">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6" w15:restartNumberingAfterBreak="0">
    <w:nsid w:val="65F81EE4"/>
    <w:multiLevelType w:val="hybridMultilevel"/>
    <w:tmpl w:val="C4CAF34C"/>
    <w:lvl w:ilvl="0" w:tplc="0C0A0017">
      <w:start w:val="1"/>
      <w:numFmt w:val="lowerLetter"/>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8A1395B"/>
    <w:multiLevelType w:val="hybridMultilevel"/>
    <w:tmpl w:val="670A681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975788C"/>
    <w:multiLevelType w:val="hybridMultilevel"/>
    <w:tmpl w:val="CAACE7F4"/>
    <w:lvl w:ilvl="0" w:tplc="4CEAFD42">
      <w:start w:val="1"/>
      <w:numFmt w:val="bullet"/>
      <w:lvlText w:val=""/>
      <w:lvlJc w:val="left"/>
      <w:pPr>
        <w:ind w:left="1004" w:hanging="360"/>
      </w:pPr>
      <w:rPr>
        <w:rFonts w:ascii="Symbol" w:hAnsi="Symbol" w:hint="default"/>
      </w:rPr>
    </w:lvl>
    <w:lvl w:ilvl="1" w:tplc="040A0003" w:tentative="1">
      <w:start w:val="1"/>
      <w:numFmt w:val="bullet"/>
      <w:lvlText w:val="o"/>
      <w:lvlJc w:val="left"/>
      <w:pPr>
        <w:ind w:left="1724" w:hanging="360"/>
      </w:pPr>
      <w:rPr>
        <w:rFonts w:ascii="Courier New" w:hAnsi="Courier New" w:cs="Courier New" w:hint="default"/>
      </w:rPr>
    </w:lvl>
    <w:lvl w:ilvl="2" w:tplc="040A0005" w:tentative="1">
      <w:start w:val="1"/>
      <w:numFmt w:val="bullet"/>
      <w:lvlText w:val=""/>
      <w:lvlJc w:val="left"/>
      <w:pPr>
        <w:ind w:left="2444" w:hanging="360"/>
      </w:pPr>
      <w:rPr>
        <w:rFonts w:ascii="Wingdings" w:hAnsi="Wingdings" w:hint="default"/>
      </w:rPr>
    </w:lvl>
    <w:lvl w:ilvl="3" w:tplc="040A0001" w:tentative="1">
      <w:start w:val="1"/>
      <w:numFmt w:val="bullet"/>
      <w:lvlText w:val=""/>
      <w:lvlJc w:val="left"/>
      <w:pPr>
        <w:ind w:left="3164" w:hanging="360"/>
      </w:pPr>
      <w:rPr>
        <w:rFonts w:ascii="Symbol" w:hAnsi="Symbol" w:hint="default"/>
      </w:rPr>
    </w:lvl>
    <w:lvl w:ilvl="4" w:tplc="040A0003" w:tentative="1">
      <w:start w:val="1"/>
      <w:numFmt w:val="bullet"/>
      <w:lvlText w:val="o"/>
      <w:lvlJc w:val="left"/>
      <w:pPr>
        <w:ind w:left="3884" w:hanging="360"/>
      </w:pPr>
      <w:rPr>
        <w:rFonts w:ascii="Courier New" w:hAnsi="Courier New" w:cs="Courier New" w:hint="default"/>
      </w:rPr>
    </w:lvl>
    <w:lvl w:ilvl="5" w:tplc="040A0005" w:tentative="1">
      <w:start w:val="1"/>
      <w:numFmt w:val="bullet"/>
      <w:lvlText w:val=""/>
      <w:lvlJc w:val="left"/>
      <w:pPr>
        <w:ind w:left="4604" w:hanging="360"/>
      </w:pPr>
      <w:rPr>
        <w:rFonts w:ascii="Wingdings" w:hAnsi="Wingdings" w:hint="default"/>
      </w:rPr>
    </w:lvl>
    <w:lvl w:ilvl="6" w:tplc="040A0001" w:tentative="1">
      <w:start w:val="1"/>
      <w:numFmt w:val="bullet"/>
      <w:lvlText w:val=""/>
      <w:lvlJc w:val="left"/>
      <w:pPr>
        <w:ind w:left="5324" w:hanging="360"/>
      </w:pPr>
      <w:rPr>
        <w:rFonts w:ascii="Symbol" w:hAnsi="Symbol" w:hint="default"/>
      </w:rPr>
    </w:lvl>
    <w:lvl w:ilvl="7" w:tplc="040A0003" w:tentative="1">
      <w:start w:val="1"/>
      <w:numFmt w:val="bullet"/>
      <w:lvlText w:val="o"/>
      <w:lvlJc w:val="left"/>
      <w:pPr>
        <w:ind w:left="6044" w:hanging="360"/>
      </w:pPr>
      <w:rPr>
        <w:rFonts w:ascii="Courier New" w:hAnsi="Courier New" w:cs="Courier New" w:hint="default"/>
      </w:rPr>
    </w:lvl>
    <w:lvl w:ilvl="8" w:tplc="040A0005" w:tentative="1">
      <w:start w:val="1"/>
      <w:numFmt w:val="bullet"/>
      <w:lvlText w:val=""/>
      <w:lvlJc w:val="left"/>
      <w:pPr>
        <w:ind w:left="6764" w:hanging="360"/>
      </w:pPr>
      <w:rPr>
        <w:rFonts w:ascii="Wingdings" w:hAnsi="Wingdings" w:hint="default"/>
      </w:rPr>
    </w:lvl>
  </w:abstractNum>
  <w:abstractNum w:abstractNumId="29" w15:restartNumberingAfterBreak="0">
    <w:nsid w:val="69C14C67"/>
    <w:multiLevelType w:val="hybridMultilevel"/>
    <w:tmpl w:val="3EA0DAC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E93567D"/>
    <w:multiLevelType w:val="hybridMultilevel"/>
    <w:tmpl w:val="76C60B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32804DE"/>
    <w:multiLevelType w:val="hybridMultilevel"/>
    <w:tmpl w:val="043CBBB6"/>
    <w:lvl w:ilvl="0" w:tplc="DD4072F8">
      <w:start w:val="7"/>
      <w:numFmt w:val="bullet"/>
      <w:lvlText w:val="-"/>
      <w:lvlJc w:val="left"/>
      <w:pPr>
        <w:ind w:left="927" w:hanging="360"/>
      </w:pPr>
      <w:rPr>
        <w:rFonts w:ascii="Arial" w:eastAsiaTheme="minorHAnsi" w:hAnsi="Arial" w:cs="Aria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32" w15:restartNumberingAfterBreak="0">
    <w:nsid w:val="74CD22FD"/>
    <w:multiLevelType w:val="multilevel"/>
    <w:tmpl w:val="DFA8C284"/>
    <w:lvl w:ilvl="0">
      <w:start w:val="15"/>
      <w:numFmt w:val="decimal"/>
      <w:lvlText w:val="%1"/>
      <w:lvlJc w:val="left"/>
      <w:pPr>
        <w:ind w:left="375" w:hanging="375"/>
      </w:pPr>
      <w:rPr>
        <w:rFonts w:hint="default"/>
      </w:rPr>
    </w:lvl>
    <w:lvl w:ilvl="1">
      <w:start w:val="6"/>
      <w:numFmt w:val="decimal"/>
      <w:lvlText w:val="%1.%2"/>
      <w:lvlJc w:val="left"/>
      <w:pPr>
        <w:ind w:left="1317" w:hanging="375"/>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546" w:hanging="72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5790" w:hanging="1080"/>
      </w:pPr>
      <w:rPr>
        <w:rFonts w:hint="default"/>
      </w:rPr>
    </w:lvl>
    <w:lvl w:ilvl="6">
      <w:start w:val="1"/>
      <w:numFmt w:val="decimal"/>
      <w:lvlText w:val="%1.%2.%3.%4.%5.%6.%7"/>
      <w:lvlJc w:val="left"/>
      <w:pPr>
        <w:ind w:left="7092" w:hanging="1440"/>
      </w:pPr>
      <w:rPr>
        <w:rFonts w:hint="default"/>
      </w:rPr>
    </w:lvl>
    <w:lvl w:ilvl="7">
      <w:start w:val="1"/>
      <w:numFmt w:val="decimal"/>
      <w:lvlText w:val="%1.%2.%3.%4.%5.%6.%7.%8"/>
      <w:lvlJc w:val="left"/>
      <w:pPr>
        <w:ind w:left="8034" w:hanging="1440"/>
      </w:pPr>
      <w:rPr>
        <w:rFonts w:hint="default"/>
      </w:rPr>
    </w:lvl>
    <w:lvl w:ilvl="8">
      <w:start w:val="1"/>
      <w:numFmt w:val="decimal"/>
      <w:lvlText w:val="%1.%2.%3.%4.%5.%6.%7.%8.%9"/>
      <w:lvlJc w:val="left"/>
      <w:pPr>
        <w:ind w:left="8976" w:hanging="1440"/>
      </w:pPr>
      <w:rPr>
        <w:rFonts w:hint="default"/>
      </w:rPr>
    </w:lvl>
  </w:abstractNum>
  <w:abstractNum w:abstractNumId="33" w15:restartNumberingAfterBreak="0">
    <w:nsid w:val="7BBB7816"/>
    <w:multiLevelType w:val="hybridMultilevel"/>
    <w:tmpl w:val="4EE4F858"/>
    <w:lvl w:ilvl="0" w:tplc="0C0A000F">
      <w:start w:val="1"/>
      <w:numFmt w:val="decimal"/>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num w:numId="1" w16cid:durableId="806165444">
    <w:abstractNumId w:val="13"/>
  </w:num>
  <w:num w:numId="2" w16cid:durableId="640647079">
    <w:abstractNumId w:val="3"/>
  </w:num>
  <w:num w:numId="3" w16cid:durableId="776681883">
    <w:abstractNumId w:val="2"/>
  </w:num>
  <w:num w:numId="4" w16cid:durableId="295841785">
    <w:abstractNumId w:val="18"/>
  </w:num>
  <w:num w:numId="5" w16cid:durableId="838276280">
    <w:abstractNumId w:val="28"/>
  </w:num>
  <w:num w:numId="6" w16cid:durableId="571279413">
    <w:abstractNumId w:val="31"/>
  </w:num>
  <w:num w:numId="7" w16cid:durableId="782578975">
    <w:abstractNumId w:val="12"/>
  </w:num>
  <w:num w:numId="8" w16cid:durableId="1270163073">
    <w:abstractNumId w:val="12"/>
    <w:lvlOverride w:ilvl="0">
      <w:startOverride w:val="1"/>
    </w:lvlOverride>
  </w:num>
  <w:num w:numId="9" w16cid:durableId="158887420">
    <w:abstractNumId w:val="1"/>
  </w:num>
  <w:num w:numId="10" w16cid:durableId="1676878742">
    <w:abstractNumId w:val="29"/>
  </w:num>
  <w:num w:numId="11" w16cid:durableId="2055226268">
    <w:abstractNumId w:val="5"/>
  </w:num>
  <w:num w:numId="12" w16cid:durableId="1522432203">
    <w:abstractNumId w:val="20"/>
  </w:num>
  <w:num w:numId="13" w16cid:durableId="291982446">
    <w:abstractNumId w:val="19"/>
  </w:num>
  <w:num w:numId="14" w16cid:durableId="2104302648">
    <w:abstractNumId w:val="0"/>
  </w:num>
  <w:num w:numId="15" w16cid:durableId="594635587">
    <w:abstractNumId w:val="24"/>
  </w:num>
  <w:num w:numId="16" w16cid:durableId="649208695">
    <w:abstractNumId w:val="9"/>
  </w:num>
  <w:num w:numId="17" w16cid:durableId="1010789022">
    <w:abstractNumId w:val="11"/>
  </w:num>
  <w:num w:numId="18" w16cid:durableId="772552138">
    <w:abstractNumId w:val="14"/>
  </w:num>
  <w:num w:numId="19" w16cid:durableId="338392972">
    <w:abstractNumId w:val="16"/>
  </w:num>
  <w:num w:numId="20" w16cid:durableId="677078459">
    <w:abstractNumId w:val="22"/>
  </w:num>
  <w:num w:numId="21" w16cid:durableId="888809413">
    <w:abstractNumId w:val="15"/>
  </w:num>
  <w:num w:numId="22" w16cid:durableId="487944804">
    <w:abstractNumId w:val="10"/>
  </w:num>
  <w:num w:numId="23" w16cid:durableId="1331299523">
    <w:abstractNumId w:val="32"/>
  </w:num>
  <w:num w:numId="24" w16cid:durableId="262542336">
    <w:abstractNumId w:val="6"/>
  </w:num>
  <w:num w:numId="25" w16cid:durableId="669719516">
    <w:abstractNumId w:val="4"/>
  </w:num>
  <w:num w:numId="26" w16cid:durableId="809595804">
    <w:abstractNumId w:val="17"/>
  </w:num>
  <w:num w:numId="27" w16cid:durableId="940382160">
    <w:abstractNumId w:val="30"/>
  </w:num>
  <w:num w:numId="28" w16cid:durableId="644630731">
    <w:abstractNumId w:val="27"/>
  </w:num>
  <w:num w:numId="29" w16cid:durableId="43845050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65157183">
    <w:abstractNumId w:val="26"/>
  </w:num>
  <w:num w:numId="31" w16cid:durableId="681014506">
    <w:abstractNumId w:val="33"/>
  </w:num>
  <w:num w:numId="32" w16cid:durableId="82923998">
    <w:abstractNumId w:val="8"/>
  </w:num>
  <w:num w:numId="33" w16cid:durableId="609434477">
    <w:abstractNumId w:val="7"/>
  </w:num>
  <w:num w:numId="34" w16cid:durableId="1394111462">
    <w:abstractNumId w:val="23"/>
  </w:num>
  <w:num w:numId="35" w16cid:durableId="581530033">
    <w:abstractNumId w:val="25"/>
  </w:num>
  <w:num w:numId="36" w16cid:durableId="9846294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CCC"/>
    <w:rsid w:val="000370F1"/>
    <w:rsid w:val="000760AB"/>
    <w:rsid w:val="000C089F"/>
    <w:rsid w:val="001F7365"/>
    <w:rsid w:val="002A5CC6"/>
    <w:rsid w:val="002B64A6"/>
    <w:rsid w:val="004D344F"/>
    <w:rsid w:val="00513973"/>
    <w:rsid w:val="00546D77"/>
    <w:rsid w:val="00717198"/>
    <w:rsid w:val="007C6042"/>
    <w:rsid w:val="008577E8"/>
    <w:rsid w:val="008D3E08"/>
    <w:rsid w:val="00991C0F"/>
    <w:rsid w:val="009B305A"/>
    <w:rsid w:val="00B00277"/>
    <w:rsid w:val="00B369EC"/>
    <w:rsid w:val="00BC3417"/>
    <w:rsid w:val="00C93CCC"/>
    <w:rsid w:val="00CE0018"/>
    <w:rsid w:val="00D60A1D"/>
    <w:rsid w:val="00E3004D"/>
    <w:rsid w:val="00E379B2"/>
    <w:rsid w:val="00E605F9"/>
    <w:rsid w:val="00EA33B6"/>
    <w:rsid w:val="00EB4797"/>
    <w:rsid w:val="00F00583"/>
    <w:rsid w:val="00F34379"/>
    <w:rsid w:val="00F43C1F"/>
    <w:rsid w:val="00F96586"/>
    <w:rsid w:val="00FD45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DB9D97"/>
  <w15:chartTrackingRefBased/>
  <w15:docId w15:val="{D5C0325E-C9FD-4E76-A1D4-6A1D1B83B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0760AB"/>
    <w:pPr>
      <w:keepNext/>
      <w:spacing w:before="240" w:after="60"/>
      <w:outlineLvl w:val="0"/>
    </w:pPr>
    <w:rPr>
      <w:rFonts w:ascii="Calibri Light" w:hAnsi="Calibri Light"/>
      <w:color w:val="2E74B5"/>
      <w:sz w:val="32"/>
      <w:szCs w:val="32"/>
    </w:rPr>
  </w:style>
  <w:style w:type="paragraph" w:styleId="Heading2">
    <w:name w:val="heading 2"/>
    <w:basedOn w:val="Normal"/>
    <w:next w:val="Normal"/>
    <w:link w:val="Heading2Char"/>
    <w:uiPriority w:val="9"/>
    <w:semiHidden/>
    <w:unhideWhenUsed/>
    <w:qFormat/>
    <w:rsid w:val="000760AB"/>
    <w:pPr>
      <w:keepNext/>
      <w:spacing w:before="240" w:after="60"/>
      <w:outlineLvl w:val="1"/>
    </w:pPr>
    <w:rPr>
      <w:rFonts w:ascii="Calibri Light" w:hAnsi="Calibri Light"/>
      <w:color w:val="2E74B5"/>
      <w:sz w:val="26"/>
      <w:szCs w:val="26"/>
    </w:rPr>
  </w:style>
  <w:style w:type="paragraph" w:styleId="Heading4">
    <w:name w:val="heading 4"/>
    <w:basedOn w:val="Normal"/>
    <w:next w:val="Normal"/>
    <w:link w:val="Heading4Char"/>
    <w:uiPriority w:val="9"/>
    <w:unhideWhenUsed/>
    <w:qFormat/>
    <w:rsid w:val="000760AB"/>
    <w:pPr>
      <w:keepNext/>
      <w:suppressAutoHyphens/>
      <w:spacing w:before="240" w:after="60"/>
      <w:outlineLvl w:val="3"/>
    </w:pPr>
    <w:rPr>
      <w:rFonts w:ascii="Calibri" w:hAnsi="Calibri"/>
      <w:b/>
      <w:bCs/>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252"/>
        <w:tab w:val="right" w:pos="8504"/>
      </w:tabs>
    </w:pPr>
  </w:style>
  <w:style w:type="paragraph" w:styleId="Footer">
    <w:name w:val="footer"/>
    <w:basedOn w:val="Normal"/>
    <w:link w:val="FooterChar"/>
    <w:uiPriority w:val="99"/>
    <w:pPr>
      <w:tabs>
        <w:tab w:val="center" w:pos="4252"/>
        <w:tab w:val="right" w:pos="8504"/>
      </w:tabs>
    </w:pPr>
  </w:style>
  <w:style w:type="character" w:styleId="PageNumber">
    <w:name w:val="page number"/>
    <w:basedOn w:val="DefaultParagraphFont"/>
  </w:style>
  <w:style w:type="paragraph" w:styleId="BlockText">
    <w:name w:val="Block Text"/>
    <w:basedOn w:val="Normal"/>
    <w:pPr>
      <w:ind w:left="540" w:right="892"/>
      <w:jc w:val="both"/>
    </w:pPr>
    <w:rPr>
      <w:rFonts w:ascii="Arial" w:hAnsi="Arial"/>
      <w:sz w:val="28"/>
    </w:rPr>
  </w:style>
  <w:style w:type="paragraph" w:styleId="FootnoteText">
    <w:name w:val="footnote text"/>
    <w:basedOn w:val="Normal"/>
    <w:link w:val="FootnoteTextChar"/>
    <w:rsid w:val="008577E8"/>
    <w:rPr>
      <w:sz w:val="20"/>
      <w:szCs w:val="20"/>
    </w:rPr>
  </w:style>
  <w:style w:type="character" w:customStyle="1" w:styleId="FootnoteTextChar">
    <w:name w:val="Footnote Text Char"/>
    <w:link w:val="FootnoteText"/>
    <w:rsid w:val="008577E8"/>
    <w:rPr>
      <w:lang w:val="cs-CZ" w:eastAsia="es-ES" w:bidi="ar-SA"/>
    </w:rPr>
  </w:style>
  <w:style w:type="paragraph" w:customStyle="1" w:styleId="Ttulo11">
    <w:name w:val="Título 11"/>
    <w:basedOn w:val="Normal"/>
    <w:next w:val="Normal"/>
    <w:uiPriority w:val="9"/>
    <w:qFormat/>
    <w:rsid w:val="000760AB"/>
    <w:pPr>
      <w:keepNext/>
      <w:keepLines/>
      <w:spacing w:before="240" w:line="259" w:lineRule="auto"/>
      <w:outlineLvl w:val="0"/>
    </w:pPr>
    <w:rPr>
      <w:rFonts w:ascii="Calibri Light" w:hAnsi="Calibri Light"/>
      <w:color w:val="2E74B5"/>
      <w:sz w:val="32"/>
      <w:szCs w:val="32"/>
      <w:lang w:eastAsia="en-US"/>
    </w:rPr>
  </w:style>
  <w:style w:type="paragraph" w:customStyle="1" w:styleId="Ttulo21">
    <w:name w:val="Título 21"/>
    <w:basedOn w:val="Normal"/>
    <w:next w:val="Normal"/>
    <w:uiPriority w:val="9"/>
    <w:semiHidden/>
    <w:unhideWhenUsed/>
    <w:qFormat/>
    <w:rsid w:val="000760AB"/>
    <w:pPr>
      <w:keepNext/>
      <w:keepLines/>
      <w:spacing w:before="40" w:line="259" w:lineRule="auto"/>
      <w:outlineLvl w:val="1"/>
    </w:pPr>
    <w:rPr>
      <w:rFonts w:ascii="Calibri Light" w:hAnsi="Calibri Light"/>
      <w:color w:val="2E74B5"/>
      <w:sz w:val="26"/>
      <w:szCs w:val="26"/>
      <w:lang w:eastAsia="en-US"/>
    </w:rPr>
  </w:style>
  <w:style w:type="character" w:customStyle="1" w:styleId="Heading4Char">
    <w:name w:val="Heading 4 Char"/>
    <w:basedOn w:val="DefaultParagraphFont"/>
    <w:link w:val="Heading4"/>
    <w:uiPriority w:val="9"/>
    <w:rsid w:val="000760AB"/>
    <w:rPr>
      <w:rFonts w:ascii="Calibri" w:hAnsi="Calibri"/>
      <w:b/>
      <w:bCs/>
      <w:sz w:val="28"/>
      <w:szCs w:val="28"/>
      <w:lang w:eastAsia="zh-CN"/>
    </w:rPr>
  </w:style>
  <w:style w:type="numbering" w:customStyle="1" w:styleId="Sinlista1">
    <w:name w:val="Sin lista1"/>
    <w:next w:val="NoList"/>
    <w:uiPriority w:val="99"/>
    <w:semiHidden/>
    <w:unhideWhenUsed/>
    <w:rsid w:val="000760AB"/>
  </w:style>
  <w:style w:type="character" w:customStyle="1" w:styleId="Heading1Char">
    <w:name w:val="Heading 1 Char"/>
    <w:link w:val="Heading1"/>
    <w:uiPriority w:val="9"/>
    <w:rsid w:val="000760AB"/>
    <w:rPr>
      <w:rFonts w:ascii="Calibri Light" w:eastAsia="Times New Roman" w:hAnsi="Calibri Light" w:cs="Times New Roman"/>
      <w:color w:val="2E74B5"/>
      <w:sz w:val="32"/>
      <w:szCs w:val="32"/>
    </w:rPr>
  </w:style>
  <w:style w:type="character" w:customStyle="1" w:styleId="Heading2Char">
    <w:name w:val="Heading 2 Char"/>
    <w:link w:val="Heading2"/>
    <w:uiPriority w:val="9"/>
    <w:semiHidden/>
    <w:rsid w:val="000760AB"/>
    <w:rPr>
      <w:rFonts w:ascii="Calibri Light" w:eastAsia="Times New Roman" w:hAnsi="Calibri Light" w:cs="Times New Roman"/>
      <w:color w:val="2E74B5"/>
      <w:sz w:val="26"/>
      <w:szCs w:val="26"/>
    </w:rPr>
  </w:style>
  <w:style w:type="paragraph" w:customStyle="1" w:styleId="Prrafodelista1">
    <w:name w:val="Párrafo de lista1"/>
    <w:basedOn w:val="Normal"/>
    <w:next w:val="ListParagraph"/>
    <w:uiPriority w:val="34"/>
    <w:qFormat/>
    <w:rsid w:val="000760AB"/>
    <w:pPr>
      <w:spacing w:after="160" w:line="259" w:lineRule="auto"/>
      <w:ind w:left="720"/>
      <w:contextualSpacing/>
    </w:pPr>
    <w:rPr>
      <w:rFonts w:ascii="Calibri" w:eastAsia="Calibri" w:hAnsi="Calibri"/>
      <w:sz w:val="22"/>
      <w:szCs w:val="22"/>
      <w:lang w:eastAsia="en-US"/>
    </w:rPr>
  </w:style>
  <w:style w:type="character" w:styleId="CommentReference">
    <w:name w:val="annotation reference"/>
    <w:unhideWhenUsed/>
    <w:rsid w:val="000760AB"/>
    <w:rPr>
      <w:sz w:val="16"/>
      <w:szCs w:val="16"/>
    </w:rPr>
  </w:style>
  <w:style w:type="paragraph" w:customStyle="1" w:styleId="Textocomentario1">
    <w:name w:val="Texto comentario1"/>
    <w:basedOn w:val="Normal"/>
    <w:next w:val="CommentText"/>
    <w:link w:val="TextocomentarioCar"/>
    <w:unhideWhenUsed/>
    <w:qFormat/>
    <w:rsid w:val="000760AB"/>
    <w:pPr>
      <w:spacing w:after="160"/>
    </w:pPr>
    <w:rPr>
      <w:sz w:val="20"/>
      <w:szCs w:val="20"/>
    </w:rPr>
  </w:style>
  <w:style w:type="character" w:customStyle="1" w:styleId="TextocomentarioCar">
    <w:name w:val="Texto comentario Car"/>
    <w:link w:val="Textocomentario1"/>
    <w:rsid w:val="000760AB"/>
    <w:rPr>
      <w:sz w:val="20"/>
      <w:szCs w:val="20"/>
    </w:rPr>
  </w:style>
  <w:style w:type="paragraph" w:customStyle="1" w:styleId="Textodeglobo1">
    <w:name w:val="Texto de globo1"/>
    <w:basedOn w:val="Normal"/>
    <w:next w:val="BalloonText"/>
    <w:link w:val="TextodegloboCar"/>
    <w:uiPriority w:val="99"/>
    <w:semiHidden/>
    <w:unhideWhenUsed/>
    <w:rsid w:val="000760AB"/>
    <w:rPr>
      <w:rFonts w:ascii="Segoe UI" w:hAnsi="Segoe UI" w:cs="Segoe UI"/>
      <w:sz w:val="18"/>
      <w:szCs w:val="18"/>
    </w:rPr>
  </w:style>
  <w:style w:type="character" w:customStyle="1" w:styleId="TextodegloboCar">
    <w:name w:val="Texto de globo Car"/>
    <w:link w:val="Textodeglobo1"/>
    <w:uiPriority w:val="99"/>
    <w:semiHidden/>
    <w:rsid w:val="000760AB"/>
    <w:rPr>
      <w:rFonts w:ascii="Segoe UI" w:hAnsi="Segoe UI" w:cs="Segoe UI"/>
      <w:sz w:val="18"/>
      <w:szCs w:val="18"/>
    </w:rPr>
  </w:style>
  <w:style w:type="paragraph" w:customStyle="1" w:styleId="Asuntodelcomentario1">
    <w:name w:val="Asunto del comentario1"/>
    <w:basedOn w:val="CommentText"/>
    <w:next w:val="CommentText"/>
    <w:uiPriority w:val="99"/>
    <w:semiHidden/>
    <w:unhideWhenUsed/>
    <w:rsid w:val="000760AB"/>
    <w:pPr>
      <w:spacing w:after="160"/>
    </w:pPr>
    <w:rPr>
      <w:rFonts w:ascii="Calibri" w:eastAsia="Calibri" w:hAnsi="Calibri"/>
      <w:b/>
      <w:bCs/>
      <w:lang w:eastAsia="en-US"/>
    </w:rPr>
  </w:style>
  <w:style w:type="character" w:customStyle="1" w:styleId="CommentSubjectChar">
    <w:name w:val="Comment Subject Char"/>
    <w:link w:val="CommentSubject"/>
    <w:uiPriority w:val="99"/>
    <w:semiHidden/>
    <w:rsid w:val="000760AB"/>
    <w:rPr>
      <w:b/>
      <w:bCs/>
      <w:sz w:val="20"/>
      <w:szCs w:val="20"/>
    </w:rPr>
  </w:style>
  <w:style w:type="character" w:customStyle="1" w:styleId="HeaderChar">
    <w:name w:val="Header Char"/>
    <w:basedOn w:val="DefaultParagraphFont"/>
    <w:link w:val="Header"/>
    <w:uiPriority w:val="99"/>
    <w:rsid w:val="000760AB"/>
    <w:rPr>
      <w:sz w:val="24"/>
      <w:szCs w:val="24"/>
    </w:rPr>
  </w:style>
  <w:style w:type="character" w:customStyle="1" w:styleId="FooterChar">
    <w:name w:val="Footer Char"/>
    <w:basedOn w:val="DefaultParagraphFont"/>
    <w:link w:val="Footer"/>
    <w:uiPriority w:val="99"/>
    <w:rsid w:val="000760AB"/>
    <w:rPr>
      <w:sz w:val="24"/>
      <w:szCs w:val="24"/>
    </w:rPr>
  </w:style>
  <w:style w:type="table" w:customStyle="1" w:styleId="Tablaconcuadrcula1">
    <w:name w:val="Tabla con cuadrícula1"/>
    <w:basedOn w:val="TableNormal"/>
    <w:next w:val="TableGrid"/>
    <w:uiPriority w:val="39"/>
    <w:rsid w:val="000760A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760AB"/>
    <w:pPr>
      <w:autoSpaceDE w:val="0"/>
      <w:autoSpaceDN w:val="0"/>
      <w:adjustRightInd w:val="0"/>
    </w:pPr>
    <w:rPr>
      <w:rFonts w:ascii="Arial" w:eastAsia="Calibri" w:hAnsi="Arial" w:cs="Arial"/>
      <w:color w:val="000000"/>
      <w:sz w:val="24"/>
      <w:szCs w:val="24"/>
      <w:lang w:eastAsia="en-US"/>
    </w:rPr>
  </w:style>
  <w:style w:type="character" w:customStyle="1" w:styleId="st1">
    <w:name w:val="st1"/>
    <w:basedOn w:val="DefaultParagraphFont"/>
    <w:rsid w:val="000760AB"/>
  </w:style>
  <w:style w:type="paragraph" w:customStyle="1" w:styleId="CTENumeracion">
    <w:name w:val="CTE_Numeracion"/>
    <w:basedOn w:val="Normal"/>
    <w:qFormat/>
    <w:rsid w:val="000760AB"/>
    <w:pPr>
      <w:spacing w:before="60" w:after="60"/>
      <w:ind w:left="357" w:hanging="357"/>
      <w:jc w:val="both"/>
    </w:pPr>
    <w:rPr>
      <w:rFonts w:ascii="Arial" w:hAnsi="Arial"/>
      <w:sz w:val="20"/>
    </w:rPr>
  </w:style>
  <w:style w:type="character" w:customStyle="1" w:styleId="CTEModTachaprob">
    <w:name w:val="CTE_Mod_Tach_aprob"/>
    <w:rsid w:val="000760AB"/>
    <w:rPr>
      <w:strike w:val="0"/>
      <w:dstrike w:val="0"/>
      <w:shd w:val="clear" w:color="auto" w:fill="FFFF00"/>
    </w:rPr>
  </w:style>
  <w:style w:type="paragraph" w:styleId="BodyTextIndent2">
    <w:name w:val="Body Text Indent 2"/>
    <w:basedOn w:val="Normal"/>
    <w:link w:val="BodyTextIndent2Char"/>
    <w:uiPriority w:val="99"/>
    <w:unhideWhenUsed/>
    <w:rsid w:val="000760AB"/>
    <w:pPr>
      <w:suppressAutoHyphens/>
      <w:spacing w:after="120" w:line="480" w:lineRule="auto"/>
      <w:ind w:left="283"/>
    </w:pPr>
    <w:rPr>
      <w:sz w:val="20"/>
      <w:szCs w:val="20"/>
      <w:lang w:eastAsia="zh-CN"/>
    </w:rPr>
  </w:style>
  <w:style w:type="character" w:customStyle="1" w:styleId="BodyTextIndent2Char">
    <w:name w:val="Body Text Indent 2 Char"/>
    <w:basedOn w:val="DefaultParagraphFont"/>
    <w:link w:val="BodyTextIndent2"/>
    <w:uiPriority w:val="99"/>
    <w:rsid w:val="000760AB"/>
    <w:rPr>
      <w:lang w:eastAsia="zh-CN"/>
    </w:rPr>
  </w:style>
  <w:style w:type="paragraph" w:customStyle="1" w:styleId="CteTtulo3">
    <w:name w:val="CteTítulo3"/>
    <w:basedOn w:val="Normal"/>
    <w:next w:val="Normal"/>
    <w:autoRedefine/>
    <w:rsid w:val="000760AB"/>
    <w:pPr>
      <w:keepNext/>
      <w:numPr>
        <w:ilvl w:val="2"/>
      </w:numPr>
      <w:spacing w:before="60" w:after="120"/>
      <w:ind w:left="851"/>
      <w:jc w:val="both"/>
      <w:outlineLvl w:val="3"/>
    </w:pPr>
    <w:rPr>
      <w:rFonts w:ascii="Arial" w:hAnsi="Arial"/>
      <w:b/>
      <w:bCs/>
      <w:sz w:val="22"/>
      <w:szCs w:val="22"/>
      <w:lang w:eastAsia="zh-CN"/>
    </w:rPr>
  </w:style>
  <w:style w:type="paragraph" w:customStyle="1" w:styleId="CteAnejo-TituloSeccion">
    <w:name w:val="CteAnejo-TituloSeccion"/>
    <w:basedOn w:val="Normal"/>
    <w:rsid w:val="000760AB"/>
    <w:pPr>
      <w:keepNext/>
      <w:spacing w:before="480" w:after="160"/>
      <w:outlineLvl w:val="0"/>
    </w:pPr>
    <w:rPr>
      <w:rFonts w:ascii="Arial" w:hAnsi="Arial"/>
      <w:b/>
      <w:bCs/>
      <w:sz w:val="32"/>
    </w:rPr>
  </w:style>
  <w:style w:type="character" w:customStyle="1" w:styleId="EstiloCTEModTachaprob16ptNegritaSinTachado">
    <w:name w:val="Estilo CTE_Mod_Tach_aprob + 16 pt Negrita Sin Tachado"/>
    <w:rsid w:val="000760AB"/>
    <w:rPr>
      <w:rFonts w:ascii="Arial" w:hAnsi="Arial"/>
      <w:b/>
      <w:bCs/>
      <w:strike/>
      <w:dstrike w:val="0"/>
      <w:sz w:val="32"/>
      <w:bdr w:val="none" w:sz="0" w:space="0" w:color="auto"/>
      <w:shd w:val="clear" w:color="auto" w:fill="auto"/>
    </w:rPr>
  </w:style>
  <w:style w:type="character" w:customStyle="1" w:styleId="EstiloCTEModTachaprobSinTachado">
    <w:name w:val="Estilo CTE_Mod_Tach_aprob + Sin Tachado"/>
    <w:rsid w:val="000760AB"/>
    <w:rPr>
      <w:strike/>
      <w:dstrike w:val="0"/>
      <w:bdr w:val="none" w:sz="0" w:space="0" w:color="auto"/>
      <w:shd w:val="clear" w:color="auto" w:fill="auto"/>
    </w:rPr>
  </w:style>
  <w:style w:type="paragraph" w:customStyle="1" w:styleId="Textoindependiente1">
    <w:name w:val="Texto independiente1"/>
    <w:basedOn w:val="Normal"/>
    <w:next w:val="BodyText"/>
    <w:link w:val="TextoindependienteCar"/>
    <w:uiPriority w:val="99"/>
    <w:semiHidden/>
    <w:unhideWhenUsed/>
    <w:rsid w:val="000760AB"/>
    <w:pPr>
      <w:spacing w:after="120" w:line="259" w:lineRule="auto"/>
    </w:pPr>
    <w:rPr>
      <w:sz w:val="20"/>
      <w:szCs w:val="20"/>
    </w:rPr>
  </w:style>
  <w:style w:type="character" w:customStyle="1" w:styleId="TextoindependienteCar">
    <w:name w:val="Texto independiente Car"/>
    <w:basedOn w:val="DefaultParagraphFont"/>
    <w:link w:val="Textoindependiente1"/>
    <w:uiPriority w:val="99"/>
    <w:semiHidden/>
    <w:rsid w:val="000760AB"/>
  </w:style>
  <w:style w:type="paragraph" w:customStyle="1" w:styleId="nota">
    <w:name w:val="nota"/>
    <w:basedOn w:val="Normal"/>
    <w:rsid w:val="000760AB"/>
    <w:pPr>
      <w:tabs>
        <w:tab w:val="left" w:pos="1122"/>
        <w:tab w:val="left" w:pos="1309"/>
      </w:tabs>
      <w:jc w:val="both"/>
    </w:pPr>
    <w:rPr>
      <w:rFonts w:ascii="Arial" w:hAnsi="Arial" w:cs="Arial"/>
      <w:bCs/>
      <w:sz w:val="20"/>
    </w:rPr>
  </w:style>
  <w:style w:type="paragraph" w:customStyle="1" w:styleId="Ttulo1CTE">
    <w:name w:val="Título1CTE"/>
    <w:basedOn w:val="Heading1"/>
    <w:next w:val="Normal"/>
    <w:autoRedefine/>
    <w:rsid w:val="000760AB"/>
  </w:style>
  <w:style w:type="paragraph" w:customStyle="1" w:styleId="artculo-tex">
    <w:name w:val="artículo-tex"/>
    <w:basedOn w:val="Normal"/>
    <w:rsid w:val="000760AB"/>
    <w:pPr>
      <w:pBdr>
        <w:top w:val="single" w:sz="4" w:space="1" w:color="00000A"/>
        <w:left w:val="single" w:sz="4" w:space="4" w:color="00000A"/>
        <w:bottom w:val="single" w:sz="4" w:space="1" w:color="00000A"/>
        <w:right w:val="single" w:sz="4" w:space="4" w:color="00000A"/>
      </w:pBdr>
      <w:suppressAutoHyphens/>
      <w:autoSpaceDN w:val="0"/>
      <w:spacing w:before="60" w:after="60"/>
      <w:textAlignment w:val="baseline"/>
    </w:pPr>
    <w:rPr>
      <w:rFonts w:ascii="Arial" w:eastAsia="Arial" w:hAnsi="Arial" w:cs="Arial"/>
      <w:kern w:val="3"/>
      <w:sz w:val="22"/>
      <w:lang w:bidi="hi-IN"/>
    </w:rPr>
  </w:style>
  <w:style w:type="numbering" w:customStyle="1" w:styleId="WWNum3">
    <w:name w:val="WWNum3"/>
    <w:basedOn w:val="NoList"/>
    <w:rsid w:val="000760AB"/>
    <w:pPr>
      <w:numPr>
        <w:numId w:val="7"/>
      </w:numPr>
    </w:pPr>
  </w:style>
  <w:style w:type="paragraph" w:customStyle="1" w:styleId="Revisin1">
    <w:name w:val="Revisión1"/>
    <w:next w:val="Revision"/>
    <w:hidden/>
    <w:uiPriority w:val="99"/>
    <w:semiHidden/>
    <w:rsid w:val="000760AB"/>
    <w:rPr>
      <w:rFonts w:ascii="Calibri" w:eastAsia="Calibri" w:hAnsi="Calibri"/>
      <w:sz w:val="22"/>
      <w:szCs w:val="22"/>
      <w:lang w:eastAsia="en-US"/>
    </w:rPr>
  </w:style>
  <w:style w:type="paragraph" w:customStyle="1" w:styleId="NormalWeb1">
    <w:name w:val="Normal (Web)1"/>
    <w:basedOn w:val="Normal"/>
    <w:next w:val="NormalWeb"/>
    <w:uiPriority w:val="99"/>
    <w:semiHidden/>
    <w:unhideWhenUsed/>
    <w:rsid w:val="000760AB"/>
    <w:pPr>
      <w:spacing w:before="100" w:beforeAutospacing="1" w:after="100" w:afterAutospacing="1"/>
    </w:pPr>
    <w:rPr>
      <w:rFonts w:eastAsia="Calibri"/>
    </w:rPr>
  </w:style>
  <w:style w:type="paragraph" w:customStyle="1" w:styleId="CTENormal">
    <w:name w:val="CTE_Normal"/>
    <w:basedOn w:val="Normal"/>
    <w:qFormat/>
    <w:rsid w:val="000760AB"/>
    <w:pPr>
      <w:spacing w:before="200" w:after="100"/>
    </w:pPr>
    <w:rPr>
      <w:rFonts w:ascii="Arial" w:eastAsia="Arial" w:hAnsi="Arial" w:cs="Arial"/>
      <w:kern w:val="2"/>
      <w:sz w:val="22"/>
      <w:lang w:eastAsia="zh-CN" w:bidi="hi-IN"/>
    </w:rPr>
  </w:style>
  <w:style w:type="paragraph" w:customStyle="1" w:styleId="CteTtulo2">
    <w:name w:val="CteTítulo2"/>
    <w:basedOn w:val="Heading2"/>
    <w:qFormat/>
    <w:rsid w:val="000760AB"/>
  </w:style>
  <w:style w:type="character" w:customStyle="1" w:styleId="Ninguno">
    <w:name w:val="Ninguno"/>
    <w:rsid w:val="000760AB"/>
  </w:style>
  <w:style w:type="character" w:customStyle="1" w:styleId="Ttulo1Car1">
    <w:name w:val="Título 1 Car1"/>
    <w:basedOn w:val="DefaultParagraphFont"/>
    <w:rsid w:val="000760AB"/>
    <w:rPr>
      <w:rFonts w:asciiTheme="majorHAnsi" w:eastAsiaTheme="majorEastAsia" w:hAnsiTheme="majorHAnsi" w:cstheme="majorBidi"/>
      <w:b/>
      <w:bCs/>
      <w:kern w:val="32"/>
      <w:sz w:val="32"/>
      <w:szCs w:val="32"/>
    </w:rPr>
  </w:style>
  <w:style w:type="character" w:customStyle="1" w:styleId="Ttulo2Car1">
    <w:name w:val="Título 2 Car1"/>
    <w:basedOn w:val="DefaultParagraphFont"/>
    <w:semiHidden/>
    <w:rsid w:val="000760AB"/>
    <w:rPr>
      <w:rFonts w:asciiTheme="majorHAnsi" w:eastAsiaTheme="majorEastAsia" w:hAnsiTheme="majorHAnsi" w:cstheme="majorBidi"/>
      <w:b/>
      <w:bCs/>
      <w:i/>
      <w:iCs/>
      <w:sz w:val="28"/>
      <w:szCs w:val="28"/>
    </w:rPr>
  </w:style>
  <w:style w:type="paragraph" w:styleId="ListParagraph">
    <w:name w:val="List Paragraph"/>
    <w:basedOn w:val="Normal"/>
    <w:uiPriority w:val="34"/>
    <w:qFormat/>
    <w:rsid w:val="000760AB"/>
    <w:pPr>
      <w:ind w:left="708"/>
    </w:pPr>
  </w:style>
  <w:style w:type="paragraph" w:styleId="CommentText">
    <w:name w:val="annotation text"/>
    <w:basedOn w:val="Normal"/>
    <w:link w:val="CommentTextChar"/>
    <w:rsid w:val="000760AB"/>
    <w:rPr>
      <w:sz w:val="20"/>
      <w:szCs w:val="20"/>
    </w:rPr>
  </w:style>
  <w:style w:type="character" w:customStyle="1" w:styleId="CommentTextChar">
    <w:name w:val="Comment Text Char"/>
    <w:basedOn w:val="DefaultParagraphFont"/>
    <w:link w:val="CommentText"/>
    <w:rsid w:val="000760AB"/>
  </w:style>
  <w:style w:type="paragraph" w:styleId="BalloonText">
    <w:name w:val="Balloon Text"/>
    <w:basedOn w:val="Normal"/>
    <w:link w:val="BalloonTextChar"/>
    <w:semiHidden/>
    <w:unhideWhenUsed/>
    <w:rsid w:val="000760AB"/>
    <w:rPr>
      <w:rFonts w:ascii="Segoe UI" w:hAnsi="Segoe UI" w:cs="Segoe UI"/>
      <w:sz w:val="18"/>
      <w:szCs w:val="18"/>
    </w:rPr>
  </w:style>
  <w:style w:type="character" w:customStyle="1" w:styleId="BalloonTextChar">
    <w:name w:val="Balloon Text Char"/>
    <w:basedOn w:val="DefaultParagraphFont"/>
    <w:link w:val="BalloonText"/>
    <w:semiHidden/>
    <w:rsid w:val="000760A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760AB"/>
    <w:rPr>
      <w:b/>
      <w:bCs/>
    </w:rPr>
  </w:style>
  <w:style w:type="character" w:customStyle="1" w:styleId="AsuntodelcomentarioCar1">
    <w:name w:val="Asunto del comentario Car1"/>
    <w:basedOn w:val="CommentTextChar"/>
    <w:semiHidden/>
    <w:rsid w:val="000760AB"/>
    <w:rPr>
      <w:b/>
      <w:bCs/>
    </w:rPr>
  </w:style>
  <w:style w:type="table" w:styleId="TableGrid">
    <w:name w:val="Table Grid"/>
    <w:basedOn w:val="TableNormal"/>
    <w:rsid w:val="00076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760AB"/>
    <w:pPr>
      <w:spacing w:after="120"/>
    </w:pPr>
  </w:style>
  <w:style w:type="character" w:customStyle="1" w:styleId="BodyTextChar">
    <w:name w:val="Body Text Char"/>
    <w:basedOn w:val="DefaultParagraphFont"/>
    <w:link w:val="BodyText"/>
    <w:rsid w:val="000760AB"/>
    <w:rPr>
      <w:sz w:val="24"/>
      <w:szCs w:val="24"/>
    </w:rPr>
  </w:style>
  <w:style w:type="paragraph" w:styleId="Revision">
    <w:name w:val="Revision"/>
    <w:hidden/>
    <w:uiPriority w:val="99"/>
    <w:semiHidden/>
    <w:rsid w:val="000760AB"/>
    <w:rPr>
      <w:sz w:val="24"/>
      <w:szCs w:val="24"/>
    </w:rPr>
  </w:style>
  <w:style w:type="paragraph" w:styleId="NormalWeb">
    <w:name w:val="Normal (Web)"/>
    <w:basedOn w:val="Normal"/>
    <w:rsid w:val="00076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PLANTILLAS\R.D.%20BLANC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R.D. BLANCA</Template>
  <TotalTime>0</TotalTime>
  <Pages>16</Pages>
  <Words>6787</Words>
  <Characters>39775</Characters>
  <Application>Microsoft Office Word</Application>
  <DocSecurity>0</DocSecurity>
  <Lines>593</Lines>
  <Paragraphs>287</Paragraphs>
  <ScaleCrop>false</ScaleCrop>
  <HeadingPairs>
    <vt:vector size="2" baseType="variant">
      <vt:variant>
        <vt:lpstr>Título</vt:lpstr>
      </vt:variant>
      <vt:variant>
        <vt:i4>1</vt:i4>
      </vt:variant>
    </vt:vector>
  </HeadingPairs>
  <TitlesOfParts>
    <vt:vector size="1" baseType="lpstr">
      <vt:lpstr>Se propone al Consejo de Ministros la aprobación del siguiente proyecto de disposición:</vt:lpstr>
    </vt:vector>
  </TitlesOfParts>
  <Company/>
  <LinksUpToDate>false</LinksUpToDate>
  <CharactersWithSpaces>46275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propone al Consejo de Ministros la aprobación del siguiente proyecto de disposición:</dc:title>
  <dc:subject/>
  <dc:creator>mlasalgado</dc:creator>
  <cp:keywords>class='Internal'</cp:keywords>
  <dc:description/>
  <cp:lastModifiedBy>Ines Varvodic</cp:lastModifiedBy>
  <cp:revision>2</cp:revision>
  <cp:lastPrinted>2002-07-26T08:33:00Z</cp:lastPrinted>
  <dcterms:created xsi:type="dcterms:W3CDTF">2022-09-12T07:14:00Z</dcterms:created>
  <dcterms:modified xsi:type="dcterms:W3CDTF">2022-09-12T07:14:00Z</dcterms:modified>
</cp:coreProperties>
</file>