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0"/>
      </w:tblGrid>
      <w:tr w:rsidR="00C93CCC" w14:paraId="38FF51DE" w14:textId="77777777" w:rsidTr="00546D77">
        <w:trPr>
          <w:trHeight w:hRule="exact" w:val="1884"/>
          <w:jc w:val="center"/>
        </w:trPr>
        <w:tc>
          <w:tcPr>
            <w:tcW w:w="10820" w:type="dxa"/>
            <w:vAlign w:val="center"/>
          </w:tcPr>
          <w:p w14:paraId="4EB9625C" w14:textId="77777777" w:rsidR="00C93CCC" w:rsidRDefault="00C93CCC">
            <w:pPr>
              <w:pStyle w:val="Header"/>
              <w:tabs>
                <w:tab w:val="clear" w:pos="4252"/>
                <w:tab w:val="clear" w:pos="8504"/>
              </w:tabs>
              <w:ind w:left="360" w:right="17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Javasoljuk a Miniszterek Tanácsának az alábbi rendelkezéstervezet jóváhagyását:</w:t>
            </w:r>
          </w:p>
        </w:tc>
      </w:tr>
    </w:tbl>
    <w:p w14:paraId="35F48173" w14:textId="77777777" w:rsidR="00C93CCC" w:rsidRDefault="00C93CCC">
      <w:pPr>
        <w:pStyle w:val="Header"/>
        <w:tabs>
          <w:tab w:val="clear" w:pos="4252"/>
          <w:tab w:val="clear" w:pos="8504"/>
        </w:tabs>
        <w:ind w:left="360" w:right="172"/>
        <w:rPr>
          <w:rFonts w:ascii="Arial" w:hAnsi="Arial"/>
          <w:spacing w:val="4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C93CCC" w14:paraId="0FABBEB3" w14:textId="77777777" w:rsidTr="00546D77">
        <w:trPr>
          <w:trHeight w:hRule="exact" w:val="2220"/>
          <w:jc w:val="center"/>
        </w:trPr>
        <w:tc>
          <w:tcPr>
            <w:tcW w:w="10773" w:type="dxa"/>
            <w:tcBorders>
              <w:bottom w:val="single" w:sz="4" w:space="0" w:color="auto"/>
            </w:tcBorders>
          </w:tcPr>
          <w:p w14:paraId="0016DD6A" w14:textId="77777777" w:rsidR="00C93CCC" w:rsidRPr="00546D77" w:rsidRDefault="00C93CCC">
            <w:pPr>
              <w:pStyle w:val="Header"/>
              <w:tabs>
                <w:tab w:val="clear" w:pos="4252"/>
                <w:tab w:val="clear" w:pos="8504"/>
              </w:tabs>
              <w:ind w:left="461" w:right="172"/>
              <w:jc w:val="both"/>
              <w:rPr>
                <w:rFonts w:ascii="Arial" w:hAnsi="Arial"/>
              </w:rPr>
            </w:pPr>
          </w:p>
          <w:p w14:paraId="0838EDAC" w14:textId="77777777" w:rsidR="00C93CCC" w:rsidRPr="008577E8" w:rsidRDefault="00C93CCC">
            <w:pPr>
              <w:tabs>
                <w:tab w:val="left" w:pos="1080"/>
              </w:tabs>
              <w:spacing w:line="360" w:lineRule="atLeast"/>
              <w:ind w:left="461" w:right="170"/>
              <w:jc w:val="both"/>
              <w:rPr>
                <w:rFonts w:ascii="Arial" w:hAnsi="Arial"/>
              </w:rPr>
            </w:pPr>
          </w:p>
          <w:p w14:paraId="2F91487E" w14:textId="724261EC" w:rsidR="00FD453F" w:rsidRPr="00FD453F" w:rsidRDefault="00FD453F" w:rsidP="00FD453F">
            <w:pPr>
              <w:ind w:left="247" w:right="183"/>
              <w:jc w:val="both"/>
              <w:rPr>
                <w:rFonts w:cs="Calibri"/>
                <w:b/>
              </w:rPr>
            </w:pPr>
            <w:r>
              <w:rPr>
                <w:b/>
              </w:rPr>
              <w:t>Királyirendelet-tervezet a 2006. március 17-i 314/2006. sz. királyi rendelettel jóváhagyott műszaki építési szabályzat módosításáról.</w:t>
            </w:r>
          </w:p>
          <w:p w14:paraId="0B02A1E0" w14:textId="77777777" w:rsidR="00C93CCC" w:rsidRDefault="00C93CCC">
            <w:pPr>
              <w:tabs>
                <w:tab w:val="left" w:pos="1080"/>
              </w:tabs>
              <w:spacing w:line="360" w:lineRule="atLeast"/>
              <w:ind w:left="461" w:right="170"/>
              <w:jc w:val="both"/>
              <w:rPr>
                <w:rFonts w:ascii="Arial" w:hAnsi="Arial"/>
              </w:rPr>
            </w:pPr>
          </w:p>
          <w:p w14:paraId="7F08CCF5" w14:textId="77777777" w:rsidR="00C93CCC" w:rsidRDefault="00C93CCC">
            <w:pPr>
              <w:tabs>
                <w:tab w:val="left" w:pos="1080"/>
              </w:tabs>
              <w:spacing w:line="360" w:lineRule="atLeast"/>
              <w:ind w:left="357" w:right="170"/>
              <w:jc w:val="both"/>
              <w:rPr>
                <w:rFonts w:ascii="Arial" w:hAnsi="Arial"/>
                <w:b/>
                <w:sz w:val="28"/>
                <w:lang w:val="es-ES_tradnl"/>
              </w:rPr>
            </w:pPr>
          </w:p>
        </w:tc>
      </w:tr>
    </w:tbl>
    <w:p w14:paraId="4ABF8576" w14:textId="77777777" w:rsidR="00C93CCC" w:rsidRDefault="00C93CCC">
      <w:pPr>
        <w:ind w:left="360" w:right="172"/>
        <w:jc w:val="both"/>
      </w:pPr>
    </w:p>
    <w:p w14:paraId="306FCEB1" w14:textId="77777777" w:rsidR="00C93CCC" w:rsidRDefault="00C93CCC">
      <w:pPr>
        <w:spacing w:line="360" w:lineRule="atLeast"/>
        <w:ind w:left="357" w:right="170"/>
        <w:jc w:val="both"/>
      </w:pPr>
    </w:p>
    <w:p w14:paraId="4C593970" w14:textId="77777777" w:rsidR="008577E8" w:rsidRDefault="008577E8" w:rsidP="008577E8">
      <w:pPr>
        <w:pStyle w:val="FootnoteText"/>
        <w:tabs>
          <w:tab w:val="left" w:pos="-3969"/>
        </w:tabs>
        <w:spacing w:after="120"/>
        <w:ind w:left="567" w:right="55" w:firstLine="533"/>
        <w:jc w:val="both"/>
        <w:rPr>
          <w:rFonts w:ascii="Arial" w:hAnsi="Arial" w:cs="Arial"/>
          <w:sz w:val="24"/>
          <w:szCs w:val="24"/>
          <w:lang w:val="es-ES"/>
        </w:rPr>
      </w:pPr>
    </w:p>
    <w:p w14:paraId="59E0450F" w14:textId="63AAAB00" w:rsidR="000760AB" w:rsidRPr="00CE0018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 építési szabályzatról szóló, 1999. november 5-i 38/1999. sz. törvény a műszaki építési szabályzatot (CTE) olyan szabályozási keretként határozza meg, amely meghatározza az épületekre és létesítményeikre vonatkozó alapvető minőségi követelményeket, és lehetővé teszi a 3. cikkben meghatározott alapvető követelményeknek való megfelelést. Az e törvényben előírt műszaki építési szabályzatot (CTE) a 2006. március 17-i 314/2006. sz. királyi rendelet hagyta jóvá. A CTE II. részét alkotó alapdokumentumok meghatározzák és adott esetben számszerűsítik az I. részben meghatározott alapvető követelményeket a teljesítményre vonatkozó célszintek, határértékek vagy egyéb paraméterek meghatározásával. A DB-HE „Energiamegtakarítások” című alapdokumentum meghatározza és számszerűsíti az újépítésű épületek által teljesítendő energiahatékonysági követelményeket, valamint a meglévő épületeken végzett beavatkozásokat.</w:t>
      </w:r>
    </w:p>
    <w:p w14:paraId="0BC63921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2018. május 30-án elfogadták az épületek energiahatékonyságáról szóló 2010/31/EU irányelv és az energiahatékonyságról szóló 2012/27/EU irányelv módosításáról szóló (EU) 2018/844 európai parlamenti és tanácsi irányelvet.</w:t>
      </w:r>
    </w:p>
    <w:p w14:paraId="4E8A50F3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Ez az irányelv ösztönzi az épületek parkolóiban lévő elektromos járműtöltő infrastruktúrák megvalósítására vonatkozó egyedi követelmények bevezetését. Ezért mind az építőipari, mind a mobilitási ágazat a gazdaság általános dekarbonizációjának stratégiai területe, olyan szabályozási kerettel, amelynek célja az innováció, a fenntarthatóság és az energiahatékonyság előmozdítása ezekben az ágazatokban.</w:t>
      </w:r>
    </w:p>
    <w:p w14:paraId="2B504954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 elektromos járművek intelligens töltésére szolgáló infrastruktúra fejlesztése viszont hozzájárul az energiagazdálkodáshoz és a rugalmassághoz, a megújuló energiák felhasználásához és a levegőminőség javításához, az energiahatékonyságot pedig az épületek digitalizálása és az új technológiák beépítése révén optimalizálja.</w:t>
      </w:r>
    </w:p>
    <w:p w14:paraId="4219E732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 Spanyolország által az Európai Bizottsághoz benyújtott, a 2021–2030-as időszakra szóló integrált nemzeti energia- és klímaterv (PNIEC) a maga részéről az energiafogyasztás és a járművek kibocsátásának csökkentésére irányuló intézkedésként tervezi az elektromos mobilitás előmozdítását az európai uniós jog szabályozás kiigazítása és beépítése révén, amely lehetővé teszi az elektromos járművek töltési infrastruktúrájának a járműflotta villamosításának fejlesztésével összhangban történő kiépítését, valamint egyéb ösztönző és támogatási mechanizmusok révén. </w:t>
      </w:r>
    </w:p>
    <w:p w14:paraId="76C72E2C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E célok elérése és az irányelv e tekintetben történő részleges átültetése érdekében ez a királyi rendelet a műszaki építési szabályzatba egy új alapvető energiatakarékossági követelményt vezet be az elektromos járművek töltőinfrastruktúrájának minimális juttatására vonatkozóan, amelyet a DB-HE „Energiatakarékosság” alapdokumentum új, HE 6. „Elektromos járművek töltőinfrastruktúrájának minimális létesítményei” című szakaszában dolgoznak ki. </w:t>
      </w:r>
    </w:p>
    <w:p w14:paraId="524332F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Másrészt meg kell jegyezni, hogy az éghajlatváltozásról és az energiaátalakításról szóló, május 20-i 7/2021. sz. törvény 15. cikkének (10) bekezdése a CTE-re hivatkozik, hogy ez a rendelet meghatározza az elektromos járművek töltésére szolgáló infrastruktúra minimális rendelkezéseit a meglévő, nem magánlakás céljára használt épületek esetében, amelyek húsznál több férőhelyes parkolóval rendelkeznek, akár belterületen, akár kijelölt szabadtéri területen, és ezeknek a rendelkezéseknek 2023. január 1-jéig kell hatályba lépniük. Ezeket a minimális juttatásokat azonban végül a december 21-i 29/2021. sz. királyi törvényerejű rendelet határozta meg, amely sürgős intézkedéseket fogad el az energia területén az elektromos mobilitás, az önfogyasztás és a megújuló energia alkalmazásának előmozdítása érdekében, amely ezt a követelményt a 4. cikkben is tartalmazza. </w:t>
      </w:r>
    </w:p>
    <w:p w14:paraId="7707E80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Az elektromos járművek töltőinfrastruktúráira vonatkozó szabályozás kiegészítése érdekében a december 12-i 1053/2014. sz. királyi rendelet is módosul, amely jóváhagyja az új kiegészítő műszaki utasítás (ITC) BT 52 „Különleges rendeltetésű berendezések. Az elektromos járművek töltésére szolgáló infrastruktúra" című, az augusztus 2-i 842/2002. számú királyi rendelettel jóváhagyott kisfeszültségű elektrotechnikai rendeletet, valamint ugyanezen rendelet egyéb kiegészítő műszaki utasításai módosulnak.</w:t>
      </w:r>
    </w:p>
    <w:p w14:paraId="055E3A41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Ezen túlmenően a PNIEC a megújuló energiák előmozdítására, a termelő ágazatok versenyképességének javítására és a fogyasztók energiagazdálkodásba való fokozottabb bevonására irányuló intézkedésként előirányozza, hogy a lakossági és üzleti területeken a saját fogyasztást megújuló energiával és elosztott termeléssel alakítsák ki. </w:t>
      </w:r>
    </w:p>
    <w:p w14:paraId="0AED8916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 tekintetben a saját villamosenergia-fogyasztás adminisztratív, műszaki és gazdasági feltételeit szabályozó, 2019. április 5-i 244/2019. sz. királyi rendelet jóváhagyása többek között lehetővé tette a kollektív saját villamosenergia-fogyasztást, ugyanakkor csökkentette a saját fogyasztás végrehajtására vonatkozó közigazgatási eljárásokat. Ezért a jelenlegi jogi keret lehetővé teszi a megújuló energiaforrásokból történő minimális villamosenergia-termelésre vonatkozó HE 5 alapkövetelmény hatályának kiszélesítését, egyrészt azáltal, hogy a követelményt a magánlakás céljára szolgáló épületekre is alkalmazni kell, másrészt azáltal, hogy a követelmény hatálya alá tartozó valamennyi rendeltetésű épületben csökkentik a beépített felület küszöbértékét. </w:t>
      </w:r>
    </w:p>
    <w:p w14:paraId="55B0D0AE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Ezenkívül szükségesnek ítélték a DB-HE „Energiatakarékosság” </w:t>
      </w:r>
      <w:bookmarkStart w:id="0" w:name="_Hlk92819359"/>
      <w:bookmarkEnd w:id="0"/>
      <w:r>
        <w:rPr>
          <w:rFonts w:ascii="Calibri" w:hAnsi="Calibri"/>
          <w:sz w:val="22"/>
        </w:rPr>
        <w:t xml:space="preserve"> és a DB-HS „Egészségügy” című alapdokumentumok egyes szakaszainak módosítását, hogy megkönnyítsék alkalmazásukat, valamint a DB-SUA „Használatbiztonság és akadálymentesítés” című alapdokumentum azonnali módosítását, hogy az akadálymentes parkolóhelyeken található töltőállomásokra vonatkozó akadálymentesítési kritériumokat is beépítsék.  </w:t>
      </w:r>
    </w:p>
    <w:p w14:paraId="7B428C2F" w14:textId="1C0D714C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A CTE módosítása az energiatakarékosságról szóló DB-HE alapdokumentum új, HE 6. szakaszának „Az elektromos járművek töltőinfrastruktúrájára vonatkozó minimumkövetelmények” beépítésével kapcsolatban, valamint a december 12-i 1053/2014. számú királyi rendelet módosítása, amely jóváhagyja az első záró rendelkezésben szereplő új kiegészítő műszaki utasítást (ITC), a BT 52-t, a helyreállítási, átalakítási és rugalmassági tervben (PRTR) tervezett szabályozási reformok részét képezi. Különösen a PRTR „Fenntartható, biztonságos és összekapcsolt mobilitási sokkterv városi és nagyvárosi környezetben” című 1. alkotóeleme a fent említett szabályozási reformokat végrehajtó királyi rendelet jóváhagyását írja elő a C1.R1 reformon belül, amelynek címe „A töltőinfrastruktúra kiépítésére és az elektromos járművek népszerűsítésére vonatkozó terv”.  A C1.R1. reformot olyan jogszabályi, szabályozási és stratégiai keretként dolgozták ki, amely megkönnyíti a töltési infrastruktúra kiépítését az elektromos járművek spanyolországi előmozdítása érdekében, és két mérföldkövet tartalmaz. Ezek közül az első az állami utakhoz, a szervizutakhoz és a kiszolgáló létesítmények építéséhez való hozzáférést szabályozó 1997. december 16-i rendelet </w:t>
      </w:r>
      <w:r>
        <w:rPr>
          <w:rFonts w:ascii="Calibri" w:hAnsi="Calibri"/>
          <w:sz w:val="22"/>
        </w:rPr>
        <w:lastRenderedPageBreak/>
        <w:t xml:space="preserve">módosításáról szóló, 2020. február 19-i TMA/178/2020. sz. rendelet, valamint az energetika területén és a gazdasági helyreállítás egyéb területein hozott intézkedések jóváhagyásáról szóló, 2020. június 23-i 23/2020. sz. királyi törvényerejű rendelet. A C1.R1. reform második mérföldköve a műszaki építési szabályzatot módosító ezen királyi rendelet és az új BT 52 kiegészítő műszaki utasítást (ITC) jóváhagyó, 2014. december 12-i 1053/2014. sz. királyi rendelet jóváhagyása.  E reform időbeli kötelezettségvállalásának mérföldköve az azt szabályozó királyi rendelet 2022. június 30. előtti hatálybalépése. A C1.R1. reform a C1.I2. „A töltőpontok létesítésére, az elektromos és üzemanyagcellás járművek beszerzésére, valamint az elektromobilitással, töltéssel és zöld hidrogénnel kapcsolatos innováció ösztönzésére szolgáló terv” elnevezésű beruházáshoz kapcsolódik. Ez a beruházás magában foglalja a töltőállomások létesítésére irányuló, a PRTR keretében az elektromos mobilitáshoz kapcsolódó ösztönző programok (MOVES III) végrehajtásához az autonóm közösségeknek, valamint Ceuta és a Melilla városoknak nyújtott közvetlen támogatás jóváhagyásáról szóló, 2021. április 13-i 266/2021. sz. királyi rendeletben meghatározott támogatási formákat. </w:t>
      </w:r>
    </w:p>
    <w:p w14:paraId="4308D345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Ez a királyi rendelet tiszteletben tartja a PRTR rendelkezéseivel összhangban a jelentős károkozás elkerülésének elvét, valamint az éghajlatvédelemmel és a digitális átállással kapcsolatos címkézés feltételeit, a Helyreállítási és Rezilienciaépítési Eszköz létrehozásáról szóló, 2021. február 12-i (EU) 2021/241 európai parlamenti és tanácsi rendeletet és annak végrehajtási jogszabályait, különösen a „Technikai iránymutatás a jelentős károkozás elkerülését célzó elvnek a Helyreállítási és Rezilienciaépítési Eszközről szóló rendelet keretében történő alkalmazásáról” című bizottsági közleményt, valamint a spanyol helyreállítási, átalakítási és rezilienciaépítési terv értékelésének jóváhagyásáról szóló tanácsi végrehajtási határozat követelményeit. Ez magában foglalja az 1. sz. elemben, valamint a jelen királyi rendelet alapjául szolgáló 1. sz. reformban meghatározott egyedi feltételeknek való megfelelést, mind a jelentős károkozás elkerülését célzó elv, mind pedig az éghajlatvédelemmel és a digitális átállással kapcsolatos címkézés tekintetében, különös tekintettel a PRTR elemeiről szóló dokumentum 3., 6. és 8. szakaszában meghatározottakra. A C1.R1. reformhoz kapcsolódó C1.I2. PRTR-beruházások szintén tiszteletben tartják a jelentős károkozás elkerülésének elvét, valamint az éghajlatvédelemmel és a digitális átállással kapcsolatos címkézés feltételeit. </w:t>
      </w:r>
    </w:p>
    <w:p w14:paraId="449DE2FF" w14:textId="77777777" w:rsidR="000760AB" w:rsidRPr="000760AB" w:rsidRDefault="000760AB" w:rsidP="000760AB">
      <w:pPr>
        <w:spacing w:after="160" w:line="259" w:lineRule="auto"/>
        <w:ind w:left="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Ez a királyi rendelet megfelel a szükségesség, az eredményesség, az arányosság, a jogbiztonság, az átláthatóság és a hatékonyság elvének, amelyet a közigazgatási hatóságok közös közigazgatási eljárásáról szóló, 2015. október 1-jei 39/2015. sz. törvény 129. cikke határoz meg. Ami a szükségesség és a hatékonyság elvét illeti, a törvény eleget tesz az európai irányelvek nemzeti jogba történő átültetésére vonatkozó kötelezettségnek, és összhangban van az olyan általános érdekű célkitűzésekkel, mint az építési infrastruktúra kiigazítása a fenntartható mobilitás és a megújuló energia használatának előmozdítása érdekében. Ez a társadalom jóllétét és a környezet védelmét fogja eredményezni. Ez a királyi rendelet az arányosság elvével is összhangban van, mivel biztosítja az irányelvben előírt jogi felhatalmazás végrehajtásához szükséges és elégséges eszközöket, de nem igényel szükségtelen vagy a jogi követelményeket meghaladó innovációt, és nem vonja maga után a polgárok jogainak korlátozását sem. Ez a rendelet megfelel a jogbiztonság elvének, mivel azt az 1997. november 27-i 50/1997. sz. kormányrendeletben meghatározott eljárásoknak és az átláthatóság elvének megfelelően dolgozták ki, mivel egyértelműen meghatározza célját, és nyilvánosan hozzáférhető indokolása teljes körűen kifejti annak tartalmát. Végezetül megfelel a hatékonyság elvének is, mivel nem jár semmilyen adminisztratív teherrel.</w:t>
      </w:r>
    </w:p>
    <w:p w14:paraId="781A1DCF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Erre az általános rendelkezésre a kormány november 27-i 50/1997. sz. törvényének 26. cikkében meghatározott előzetes nyilvános konzultációs, közmeghallgatási és tájékoztatási eljárás, valamint az információs társadalom szolgáltatásaira vonatkozó műszaki előírások és szabályok területén a 2015. szeptember 9-i (EU) 2015/1535. számú európai parlamenti és tanácsi irányelvben és az 1999. július 31-i 1337/1999. sz. királyi rendeletben előírt tájékoztatási eljárás vonatkozik.</w:t>
      </w:r>
    </w:p>
    <w:p w14:paraId="1CF691DA" w14:textId="0555DF60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Ennek értelmében a közlekedési, mobilitási és városfejlesztési miniszter, valamint az ökológiai átmenetért és a demográfiai kihívásokért felelős miniszter javaslatára, az Államtanáccsal egyetértésben és a Minisztertanácsnak a(z)             napján tartott ülésén folytatott tanácskozását követően</w:t>
      </w:r>
    </w:p>
    <w:p w14:paraId="3A461137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D0F4D96" w14:textId="77777777" w:rsidR="000760AB" w:rsidRPr="000760AB" w:rsidRDefault="000760AB" w:rsidP="000760AB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ELRENDELEM AZ ALÁBBIAKAT:</w:t>
      </w:r>
    </w:p>
    <w:p w14:paraId="3F204ED5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Egyetlen cikk. </w:t>
      </w:r>
      <w:r>
        <w:rPr>
          <w:rFonts w:ascii="Calibri" w:hAnsi="Calibri"/>
          <w:i/>
          <w:sz w:val="22"/>
        </w:rPr>
        <w:t>A 2006. március 17-i 314/2006. sz. királyi rendelettel jóváhagyott műszaki építési szabályzat (CTE) módosítása.</w:t>
      </w:r>
    </w:p>
    <w:p w14:paraId="557D04F7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március 17-i 314/2006. számú királyi rendelettel jóváhagyott Műszaki Építési Szabályzat (CTE) a következőképpen módosul:</w:t>
      </w:r>
    </w:p>
    <w:p w14:paraId="38344B6D" w14:textId="77777777" w:rsidR="000760AB" w:rsidRPr="000760AB" w:rsidRDefault="000760AB" w:rsidP="000760AB">
      <w:pPr>
        <w:spacing w:after="160" w:line="259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Egy. Az I. részben szereplő tárgymutató a következőképpen módosul:</w:t>
      </w:r>
    </w:p>
    <w:p w14:paraId="493E6A51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„15.6. HE 5. alapkövetelmény: Minimális villamosenergia-termelés” szövegrész helyébe a következő szöveg lép:</w:t>
      </w:r>
    </w:p>
    <w:p w14:paraId="7A817778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„15.6. HE 5. alapkövetelmény: Minimális villamosenergia-termelés megújuló forrásokból”</w:t>
      </w:r>
    </w:p>
    <w:p w14:paraId="53D132D3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tárgymutatóban a 15. cikkre való hivatkozás a következő ponttal egészül ki:</w:t>
      </w:r>
    </w:p>
    <w:p w14:paraId="1B97A8CA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„15.7. HE 6. alapkövetelmény: Minimális töltőinfrastruktúra-létesítmények elektromos járművek számára.”</w:t>
      </w:r>
    </w:p>
    <w:p w14:paraId="24330295" w14:textId="77777777" w:rsidR="000760AB" w:rsidRPr="000760AB" w:rsidRDefault="000760AB" w:rsidP="000760AB">
      <w:pPr>
        <w:spacing w:after="160" w:line="259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Kettő. Az I. rész 15. cikke a következőképpen módosul:</w:t>
      </w:r>
    </w:p>
    <w:p w14:paraId="53F6E69E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15.6. pont a következőképpen módosul:</w:t>
      </w:r>
    </w:p>
    <w:p w14:paraId="41FA2918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„15.6. HE 5. alapkövetelmény: Minimális villamosenergia-termelés megújuló energiaforrásokból.</w:t>
      </w:r>
    </w:p>
    <w:p w14:paraId="35075490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 épületeknek saját használatra vagy a hálózat ellátására megújuló energiaforrásokból származó villamosenergia termelésére szolgáló rendszerekkel kell rendelkezniük.”</w:t>
      </w:r>
    </w:p>
    <w:p w14:paraId="7543DFCB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szöveg egy új 15.7. szakasszal egészül ki a következő tartalommal:</w:t>
      </w:r>
    </w:p>
    <w:p w14:paraId="47ED5386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„15.7. HE 6. alapkövetelmény: Minimális töltőinfrastruktúra-létesítmények elektromos járművek számára.</w:t>
      </w:r>
    </w:p>
    <w:p w14:paraId="76AA215B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 épületeknek rendelkezniük kell az elektromos járművek töltését lehetővé tevő minimális infrastruktúrával.”</w:t>
      </w:r>
    </w:p>
    <w:p w14:paraId="77CE8C8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Három. A II. részben szereplő „Energiatakarékosság” című DB-HE alapdokumentum a következő módosításokkal egészül ki:</w:t>
      </w:r>
    </w:p>
    <w:p w14:paraId="49F2FE06" w14:textId="77777777" w:rsidR="000760AB" w:rsidRPr="000760AB" w:rsidRDefault="000760AB" w:rsidP="000760AB">
      <w:pPr>
        <w:numPr>
          <w:ilvl w:val="0"/>
          <w:numId w:val="17"/>
        </w:numPr>
        <w:spacing w:after="162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„Bevezetés” rész „I. Tárgy” szakaszában az első albekezdésben „A DB szakaszai megfelelnek a HE 0 a.-–HE 5. alapkövetelményeknek” mondatban a „HE 5.” helyébe a „HE 6.” szövegrész lép.</w:t>
      </w:r>
    </w:p>
    <w:p w14:paraId="0A080F50" w14:textId="77777777" w:rsidR="000760AB" w:rsidRPr="000760AB" w:rsidRDefault="000760AB" w:rsidP="000760AB">
      <w:pPr>
        <w:numPr>
          <w:ilvl w:val="0"/>
          <w:numId w:val="17"/>
        </w:numPr>
        <w:spacing w:after="162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„Bevezetés” rész I. szakaszában („Tárgy”) a CTE I. részének 15.6. cikkére való hivatkozás a következőképpen módosul:</w:t>
      </w:r>
    </w:p>
    <w:p w14:paraId="72402F73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„15.6. HE 5. alapkövetelmény: Minimális villamosenergia-termelés megújuló energiaforrásokból.</w:t>
      </w:r>
    </w:p>
    <w:p w14:paraId="2369423E" w14:textId="77777777" w:rsidR="000760AB" w:rsidRPr="000760AB" w:rsidRDefault="000760AB" w:rsidP="000760AB">
      <w:pPr>
        <w:spacing w:after="162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 épületeknek saját használatra vagy a hálózat ellátására megújuló energiaforrásokból származó villamosenergia termelésére szolgáló rendszerekkel kell rendelkezniük.”</w:t>
      </w:r>
    </w:p>
    <w:p w14:paraId="181F1AEB" w14:textId="77777777" w:rsidR="000760AB" w:rsidRPr="000760AB" w:rsidRDefault="000760AB" w:rsidP="000760AB">
      <w:pPr>
        <w:numPr>
          <w:ilvl w:val="0"/>
          <w:numId w:val="17"/>
        </w:numPr>
        <w:spacing w:after="162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„Bevezetés” I. szakaszában („Tárgy”) a CTE I. részének 15. cikkére való hivatkozás a CTE végén a következő szöveggel egészül ki:</w:t>
      </w:r>
    </w:p>
    <w:p w14:paraId="7C586D67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„15.7. HE 6. alapkövetelmény: Minimális töltőinfrastruktúra-létesítmények elektromos járművek számára.</w:t>
      </w:r>
    </w:p>
    <w:p w14:paraId="676A05EC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Az épületeknek rendelkezniük kell az </w:t>
      </w:r>
      <w:r>
        <w:rPr>
          <w:rFonts w:ascii="Calibri" w:hAnsi="Calibri"/>
          <w:i/>
          <w:sz w:val="22"/>
        </w:rPr>
        <w:t>elektromos jármű</w:t>
      </w:r>
      <w:r>
        <w:rPr>
          <w:rFonts w:ascii="Calibri" w:hAnsi="Calibri"/>
          <w:sz w:val="22"/>
        </w:rPr>
        <w:t>vek töltését lehetővé tevő minimális infrastruktúrával.”</w:t>
      </w:r>
    </w:p>
    <w:p w14:paraId="69721229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tartalomjegyzékben a HE 5. szakasz címe a következőképpen módosul:</w:t>
      </w:r>
    </w:p>
    <w:p w14:paraId="582FB085" w14:textId="6A9EA674" w:rsid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„HE 5. szakasz: Minimális villamosenergia-termelés megújuló energiaforrásokból.”</w:t>
      </w:r>
    </w:p>
    <w:p w14:paraId="6364AA7F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893C14C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tárgymutatóban a 15. cikkre való hivatkozás a következő ponttal egészül ki:</w:t>
      </w:r>
    </w:p>
    <w:p w14:paraId="176B586E" w14:textId="77777777" w:rsidR="000760AB" w:rsidRPr="000760AB" w:rsidRDefault="000760AB" w:rsidP="000760AB">
      <w:pPr>
        <w:tabs>
          <w:tab w:val="left" w:pos="7938"/>
        </w:tabs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„HE 6. szakasz Elektromos járművek töltőinfrastruktúrájának minimális felszereltsége</w:t>
      </w:r>
    </w:p>
    <w:p w14:paraId="0C2C22F2" w14:textId="77777777" w:rsidR="000760AB" w:rsidRPr="000760AB" w:rsidRDefault="000760AB" w:rsidP="000760AB">
      <w:pPr>
        <w:numPr>
          <w:ilvl w:val="0"/>
          <w:numId w:val="14"/>
        </w:numPr>
        <w:tabs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Hatály</w:t>
      </w:r>
    </w:p>
    <w:p w14:paraId="14454D1F" w14:textId="77777777" w:rsidR="000760AB" w:rsidRPr="000760AB" w:rsidRDefault="000760AB" w:rsidP="000760AB">
      <w:pPr>
        <w:numPr>
          <w:ilvl w:val="0"/>
          <w:numId w:val="14"/>
        </w:numPr>
        <w:tabs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követelmény leírása</w:t>
      </w:r>
    </w:p>
    <w:p w14:paraId="41AC625F" w14:textId="77777777" w:rsidR="000760AB" w:rsidRPr="000760AB" w:rsidRDefault="000760AB" w:rsidP="000760AB">
      <w:pPr>
        <w:numPr>
          <w:ilvl w:val="0"/>
          <w:numId w:val="14"/>
        </w:numPr>
        <w:tabs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követelmény számszerűsítése</w:t>
      </w:r>
    </w:p>
    <w:p w14:paraId="0D46B4A0" w14:textId="77777777" w:rsidR="000760AB" w:rsidRPr="000760AB" w:rsidRDefault="000760AB" w:rsidP="000760AB">
      <w:pPr>
        <w:numPr>
          <w:ilvl w:val="0"/>
          <w:numId w:val="14"/>
        </w:numPr>
        <w:tabs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követelmény indokolása</w:t>
      </w:r>
    </w:p>
    <w:p w14:paraId="6C8C16FE" w14:textId="77777777" w:rsidR="000760AB" w:rsidRPr="000760AB" w:rsidRDefault="000760AB" w:rsidP="000760AB">
      <w:pPr>
        <w:numPr>
          <w:ilvl w:val="0"/>
          <w:numId w:val="14"/>
        </w:numPr>
        <w:tabs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Építés, karbantartás és fenntartás</w:t>
      </w:r>
    </w:p>
    <w:p w14:paraId="555B094E" w14:textId="77777777" w:rsidR="000760AB" w:rsidRPr="000760AB" w:rsidRDefault="000760AB" w:rsidP="000760AB">
      <w:pPr>
        <w:tabs>
          <w:tab w:val="left" w:pos="993"/>
        </w:tabs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5.1.</w:t>
      </w:r>
      <w:r>
        <w:rPr>
          <w:rFonts w:ascii="Calibri" w:hAnsi="Calibri"/>
          <w:sz w:val="22"/>
        </w:rPr>
        <w:tab/>
        <w:t>Kivitelezés</w:t>
      </w:r>
    </w:p>
    <w:p w14:paraId="2080D911" w14:textId="77777777" w:rsidR="000760AB" w:rsidRPr="000760AB" w:rsidRDefault="000760AB" w:rsidP="000760AB">
      <w:pPr>
        <w:tabs>
          <w:tab w:val="left" w:pos="993"/>
        </w:tabs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5.2.</w:t>
      </w:r>
      <w:r>
        <w:rPr>
          <w:rFonts w:ascii="Calibri" w:hAnsi="Calibri"/>
          <w:sz w:val="22"/>
        </w:rPr>
        <w:tab/>
        <w:t>Az építési munkálatok kivitelezésének nyomon követése</w:t>
      </w:r>
    </w:p>
    <w:p w14:paraId="0A1431F4" w14:textId="77777777" w:rsidR="000760AB" w:rsidRPr="000760AB" w:rsidRDefault="000760AB" w:rsidP="000760AB">
      <w:pPr>
        <w:tabs>
          <w:tab w:val="left" w:pos="993"/>
        </w:tabs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5.3.</w:t>
      </w:r>
      <w:r>
        <w:rPr>
          <w:rFonts w:ascii="Calibri" w:hAnsi="Calibri"/>
          <w:sz w:val="22"/>
        </w:rPr>
        <w:tab/>
        <w:t>A befejezett munkálatok ellenőrzése</w:t>
      </w:r>
    </w:p>
    <w:p w14:paraId="43CD09C6" w14:textId="77777777" w:rsidR="000760AB" w:rsidRPr="000760AB" w:rsidRDefault="000760AB" w:rsidP="000760AB">
      <w:pPr>
        <w:tabs>
          <w:tab w:val="left" w:pos="993"/>
        </w:tabs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5.4.</w:t>
      </w:r>
      <w:r>
        <w:rPr>
          <w:rFonts w:ascii="Calibri" w:hAnsi="Calibri"/>
          <w:sz w:val="22"/>
        </w:rPr>
        <w:tab/>
        <w:t>Az épület karbantartása és fenntartása”</w:t>
      </w:r>
    </w:p>
    <w:p w14:paraId="2BFCCA3F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HE 0. szakasz 1. szakaszának [Hatály] (1) bekezdésében a következő szöveg: „...ahol a teljes kiterjesztett hasznos terület meghaladja az 50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-t;” helyébe a „...ha a kiterjesztett hasznos terület meghaladja az 50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-t;” lép.</w:t>
      </w:r>
    </w:p>
    <w:p w14:paraId="1BE79A25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HE 0.szakaszában, a 3. szakasz [A követelmény számszerűsítése], 3.1. szakasza [Nem megújuló primerenergia-fogyasztás]</w:t>
      </w:r>
      <w:bookmarkStart w:id="1" w:name="_Hlk96944651"/>
      <w:r>
        <w:rPr>
          <w:rFonts w:ascii="Calibri" w:hAnsi="Calibri"/>
          <w:sz w:val="22"/>
        </w:rPr>
        <w:t>,</w:t>
      </w:r>
      <w:bookmarkEnd w:id="1"/>
      <w:r>
        <w:rPr>
          <w:rFonts w:ascii="Calibri" w:hAnsi="Calibri"/>
          <w:sz w:val="22"/>
        </w:rPr>
        <w:t xml:space="preserve"> (1) bekezdésében </w:t>
      </w:r>
      <w:bookmarkStart w:id="2" w:name="_Hlk96943118"/>
      <w:r>
        <w:rPr>
          <w:rFonts w:ascii="Calibri" w:hAnsi="Calibri"/>
          <w:sz w:val="22"/>
        </w:rPr>
        <w:t>a „Cep,nren” kifejezés helyébe „C</w:t>
      </w:r>
      <w:r>
        <w:rPr>
          <w:rFonts w:ascii="Calibri" w:hAnsi="Calibri"/>
          <w:sz w:val="22"/>
          <w:vertAlign w:val="subscript"/>
        </w:rPr>
        <w:t>ep,nren</w:t>
      </w:r>
      <w:r>
        <w:rPr>
          <w:rFonts w:ascii="Calibri" w:hAnsi="Calibri"/>
          <w:sz w:val="22"/>
        </w:rPr>
        <w:t>”, a „Cep,nren,lim” kifejezés helyébe a „C</w:t>
      </w:r>
      <w:r>
        <w:rPr>
          <w:rFonts w:ascii="Calibri" w:hAnsi="Calibri"/>
          <w:sz w:val="22"/>
          <w:vertAlign w:val="subscript"/>
        </w:rPr>
        <w:t>ep,nren,lim</w:t>
      </w:r>
      <w:r>
        <w:rPr>
          <w:rFonts w:ascii="Calibri" w:hAnsi="Calibri"/>
          <w:sz w:val="22"/>
        </w:rPr>
        <w:t>” lép.</w:t>
      </w:r>
      <w:bookmarkEnd w:id="2"/>
    </w:p>
    <w:p w14:paraId="1F114D51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HE 0. szakasz 3. szakasza [A követelmény számszerűsítése], 3.1. szakasz (2) bekezdésében a „Cep,nren,lim” kifejezés helyébe a „C</w:t>
      </w:r>
      <w:r>
        <w:rPr>
          <w:rFonts w:ascii="Calibri" w:hAnsi="Calibri"/>
          <w:sz w:val="22"/>
          <w:vertAlign w:val="subscript"/>
        </w:rPr>
        <w:t>ep,nren,lim</w:t>
      </w:r>
      <w:r>
        <w:rPr>
          <w:rFonts w:ascii="Calibri" w:hAnsi="Calibri"/>
          <w:sz w:val="22"/>
        </w:rPr>
        <w:t>” kifejezés lép.</w:t>
      </w:r>
    </w:p>
    <w:p w14:paraId="75CFE807" w14:textId="616002F6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HE 0. szakasz, 3. szakasza [A követelmény számszerűsítése], 3.2. szakasz [Teljes primerenergia-fogyasztás] (1) bekezdésében, a „Cep,tot” kifejezés helyébe a „C</w:t>
      </w:r>
      <w:r>
        <w:rPr>
          <w:rFonts w:ascii="Calibri" w:hAnsi="Calibri"/>
          <w:sz w:val="22"/>
          <w:vertAlign w:val="subscript"/>
        </w:rPr>
        <w:t>ep,tot</w:t>
      </w:r>
      <w:r>
        <w:rPr>
          <w:rFonts w:ascii="Calibri" w:hAnsi="Calibri"/>
          <w:sz w:val="22"/>
        </w:rPr>
        <w:t>” kifejezés lép.</w:t>
      </w:r>
    </w:p>
    <w:p w14:paraId="440538F2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HE 0. szakasz 3. szakaszában [A követelmény számszerűsítése] a 3.2. szakasz [Teljes primerenergia-fogyasztás] (2) bekezdésében a „Cep,tot,lim” kifejezés helyébe a „C</w:t>
      </w:r>
      <w:r>
        <w:rPr>
          <w:rFonts w:ascii="Calibri" w:hAnsi="Calibri"/>
          <w:sz w:val="22"/>
          <w:vertAlign w:val="subscript"/>
        </w:rPr>
        <w:t>ep,tot,lim</w:t>
      </w:r>
      <w:r>
        <w:rPr>
          <w:rFonts w:ascii="Calibri" w:hAnsi="Calibri"/>
          <w:sz w:val="22"/>
        </w:rPr>
        <w:t>” kifejezés lép”.</w:t>
      </w:r>
    </w:p>
    <w:p w14:paraId="1766850B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HE 0. szakasz 3. szakaszában [A követelmény számszerűsítése] a „</w:t>
      </w:r>
      <w:r>
        <w:rPr>
          <w:rFonts w:ascii="Calibri" w:hAnsi="Calibri"/>
          <w:i/>
          <w:sz w:val="22"/>
        </w:rPr>
        <w:t>magánlakás célú felhasználás</w:t>
      </w:r>
      <w:r>
        <w:rPr>
          <w:rFonts w:ascii="Calibri" w:hAnsi="Calibri"/>
          <w:sz w:val="22"/>
        </w:rPr>
        <w:t>” kifejezést dőlt betűvel kell szedni.</w:t>
      </w:r>
    </w:p>
    <w:p w14:paraId="530AA467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HE 0. szakasz 4.1. szakaszában [Számítási eljárás] a (9) bekezdésben az „elismert dokumentum” szavak helyébe az „Elismert épületenergetikai tanúsító dokumentum” szavak lépnek.</w:t>
      </w:r>
    </w:p>
    <w:p w14:paraId="5A51E01A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hanging="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HE 0. szakasz 4.1. szakaszában [Számítási eljárás] a (9) bekezdés (11) bekezdéssé válik, és a következő albekezdésekkel egészül ki:</w:t>
      </w:r>
    </w:p>
    <w:p w14:paraId="120F39BD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„9.</w:t>
      </w:r>
      <w:r>
        <w:rPr>
          <w:rFonts w:ascii="Calibri" w:hAnsi="Calibri"/>
          <w:sz w:val="22"/>
        </w:rPr>
        <w:tab/>
        <w:t xml:space="preserve">Az e BD követelményeinek ellenőrzéséhez szükséges energiamérleg kiszámítása az UNE-EN ISO 52000-1:2019 szabvány szerint történik: </w:t>
      </w:r>
      <w:r>
        <w:rPr>
          <w:rFonts w:ascii="Calibri" w:hAnsi="Calibri"/>
          <w:i/>
          <w:sz w:val="22"/>
        </w:rPr>
        <w:t>Az épületek energiahatékonyságának átfogó értékelése. 1. rész: általános keret és eljárások</w:t>
      </w:r>
      <w:r>
        <w:rPr>
          <w:rFonts w:ascii="Calibri" w:hAnsi="Calibri"/>
          <w:sz w:val="22"/>
        </w:rPr>
        <w:t>, K</w:t>
      </w:r>
      <w:r>
        <w:rPr>
          <w:rFonts w:ascii="Calibri" w:hAnsi="Calibri"/>
          <w:sz w:val="22"/>
          <w:vertAlign w:val="subscript"/>
        </w:rPr>
        <w:t>exp</w:t>
      </w:r>
      <w:r>
        <w:rPr>
          <w:rFonts w:ascii="Calibri" w:hAnsi="Calibri"/>
          <w:sz w:val="22"/>
        </w:rPr>
        <w:t xml:space="preserve"> = 0 exporttényező alkalmazásával.”</w:t>
      </w:r>
    </w:p>
    <w:p w14:paraId="6D26B789" w14:textId="3B1081FB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„10.</w:t>
      </w:r>
      <w:r>
        <w:rPr>
          <w:rFonts w:ascii="Calibri" w:hAnsi="Calibri"/>
          <w:sz w:val="22"/>
        </w:rPr>
        <w:tab/>
        <w:t>A különböző szolgáltatások elosztása céljából a helyszínen termelt villamos energia elosztását minden egyes időintervallumban az érintett elektromos fogyasztással (fűtés, hűtés, szellőztetés, ACS és harmadlagos használat, valamint világítás) arányosan kell kiszámítani.”</w:t>
      </w:r>
    </w:p>
    <w:p w14:paraId="015C0599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HE 0. szakasz 4.3. szakaszában [Belső kérelmek és működési feltételek] a (2) bekezdésben a „</w:t>
      </w:r>
      <w:r>
        <w:rPr>
          <w:rFonts w:ascii="Calibri" w:hAnsi="Calibri"/>
          <w:i/>
          <w:sz w:val="22"/>
        </w:rPr>
        <w:t>magánlakás célú felhasználás</w:t>
      </w:r>
      <w:r>
        <w:rPr>
          <w:rFonts w:ascii="Calibri" w:hAnsi="Calibri"/>
          <w:sz w:val="22"/>
        </w:rPr>
        <w:t>” kifejezést dőlt betűvel kell szedni.</w:t>
      </w:r>
    </w:p>
    <w:p w14:paraId="424F77C1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ñ) A HE 0. szakasz 4.5. szakaszában [Magánlakás céljára szolgáló referenciarendszerek] a „</w:t>
      </w:r>
      <w:r>
        <w:rPr>
          <w:rFonts w:ascii="Calibri" w:hAnsi="Calibri"/>
          <w:i/>
          <w:sz w:val="22"/>
        </w:rPr>
        <w:t>magánlakás célú felhasználás</w:t>
      </w:r>
      <w:r>
        <w:rPr>
          <w:rFonts w:ascii="Calibri" w:hAnsi="Calibri"/>
          <w:sz w:val="22"/>
        </w:rPr>
        <w:t>” kifejezést mind a címben, mind az (1) bekezdésben dőlt betűvel kell szedni.</w:t>
      </w:r>
    </w:p>
    <w:p w14:paraId="7DB1F14A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A HE 1. szakasz 3. szakaszában [A követelmény számszerűsítése] a 3.1.1. szakaszban [A </w:t>
      </w:r>
      <w:r>
        <w:rPr>
          <w:rFonts w:ascii="Calibri" w:hAnsi="Calibri"/>
          <w:i/>
          <w:sz w:val="22"/>
        </w:rPr>
        <w:t>hőszigetelő burkolat</w:t>
      </w:r>
      <w:r>
        <w:rPr>
          <w:rFonts w:ascii="Calibri" w:hAnsi="Calibri"/>
          <w:sz w:val="22"/>
        </w:rPr>
        <w:t xml:space="preserve"> áteresztőképessége] a „tömörség” kifejezést a 3.1.1.b-HE1 és a 3.1.1.c-HE1 táblázatokban dőlt betűvel kell szedni.</w:t>
      </w:r>
    </w:p>
    <w:p w14:paraId="2E82A8CF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A HE 1. szakasz 3. szakaszában [A követelmény számszerűsítése] a 3.1.1. szakaszban [A </w:t>
      </w:r>
      <w:r>
        <w:rPr>
          <w:rFonts w:ascii="Calibri" w:hAnsi="Calibri"/>
          <w:i/>
          <w:sz w:val="22"/>
        </w:rPr>
        <w:t>hőszigetelő burkolat</w:t>
      </w:r>
      <w:r>
        <w:rPr>
          <w:rFonts w:ascii="Calibri" w:hAnsi="Calibri"/>
          <w:sz w:val="22"/>
        </w:rPr>
        <w:t xml:space="preserve"> áteresztőképessége] a 3.1.1.b-HE1 és a 3.1.1.c-HE1 táblázat lábjegyzetében a „tömörség” kifejezést, valamint a 3.1.1.c-HE1 táblázat lábjegyzetében a „tömörség” kifejezést dőlt betűvel kell szedni.</w:t>
      </w:r>
    </w:p>
    <w:p w14:paraId="6592C9AA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A HE 1. szakasz 3. szakaszában [A követelmény számszerűsítése] a 3.1.1. szakaszban [A </w:t>
      </w:r>
      <w:r>
        <w:rPr>
          <w:rFonts w:ascii="Calibri" w:hAnsi="Calibri"/>
          <w:i/>
          <w:sz w:val="22"/>
        </w:rPr>
        <w:t>hőszigetelő burkolat</w:t>
      </w:r>
      <w:r>
        <w:rPr>
          <w:rFonts w:ascii="Calibri" w:hAnsi="Calibri"/>
          <w:sz w:val="22"/>
        </w:rPr>
        <w:t xml:space="preserve"> áteresztőképessége], a 3. szakasz (3) bekezdésben és a 3.1.1.b-HE1. táblázatban egyaránt dőlt betűvel kell szedni a „</w:t>
      </w:r>
      <w:r>
        <w:rPr>
          <w:rFonts w:ascii="Calibri" w:hAnsi="Calibri"/>
          <w:i/>
          <w:sz w:val="22"/>
        </w:rPr>
        <w:t>magánlakás célú felhasználás"</w:t>
      </w:r>
      <w:r>
        <w:rPr>
          <w:rFonts w:ascii="Calibri" w:hAnsi="Calibri"/>
          <w:sz w:val="22"/>
        </w:rPr>
        <w:t xml:space="preserve"> kifejezést.</w:t>
      </w:r>
    </w:p>
    <w:p w14:paraId="4B4F6F00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A HE 1. szakasz 3. szakaszában [A követelmény számszerűsítése] a 3.1.1. szakaszban [A </w:t>
      </w:r>
      <w:r>
        <w:rPr>
          <w:rFonts w:ascii="Calibri" w:hAnsi="Calibri"/>
          <w:i/>
          <w:sz w:val="22"/>
        </w:rPr>
        <w:t>hőszigetelő burkolat</w:t>
      </w:r>
      <w:r>
        <w:rPr>
          <w:rFonts w:ascii="Calibri" w:hAnsi="Calibri"/>
          <w:sz w:val="22"/>
        </w:rPr>
        <w:t xml:space="preserve"> áteresztőképessége] a „hőszigetelő burkolat” kifejezést a 3.1.1.b-HE1 és a 3.1.1.c-HE1 táblázatokban dőlt betűvel kell szedni.</w:t>
      </w:r>
    </w:p>
    <w:p w14:paraId="41623096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HE 1. szakasz 3. szakaszában [A követelmény számszerűsítése] a 3.1.1. „</w:t>
      </w:r>
      <w:r>
        <w:rPr>
          <w:rFonts w:ascii="Calibri" w:hAnsi="Calibri"/>
          <w:i/>
          <w:sz w:val="22"/>
        </w:rPr>
        <w:t>A hőszigetelő burkolat áteresztőképessége</w:t>
      </w:r>
      <w:r>
        <w:rPr>
          <w:rFonts w:ascii="Calibri" w:hAnsi="Calibri"/>
          <w:sz w:val="22"/>
        </w:rPr>
        <w:t>" szakasz a következő albekezdéssel egészül ki:</w:t>
      </w:r>
    </w:p>
    <w:p w14:paraId="6EEEBF4F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„6. Alternatívaként az olyan épületek vagy - a meglévő épületeken végzett részleges beavatkozások esetén - olyan épületrészek, amelyeken beavatkozásokat hajtanak végre, és amelyek fűtési és hűtési igénye mindkét esetben kevesebb mint 15 kWh/m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 xml:space="preserve">, kizárhatók a </w:t>
      </w:r>
      <w:r>
        <w:rPr>
          <w:rFonts w:ascii="Calibri" w:hAnsi="Calibri"/>
          <w:i/>
          <w:sz w:val="22"/>
        </w:rPr>
        <w:t>hőszigetelő burkolaton keresztül történő hőátadás teljes együtthatójának</w:t>
      </w:r>
      <w:r>
        <w:rPr>
          <w:rFonts w:ascii="Calibri" w:hAnsi="Calibri"/>
          <w:sz w:val="22"/>
        </w:rPr>
        <w:t xml:space="preserve"> (K) betartása alól.”</w:t>
      </w:r>
    </w:p>
    <w:p w14:paraId="582E2B37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HE 1. szakasz 3. szakaszában [A követelmény számszerűsítése], a 3.1.2. szakaszban [A hőszigetelő burkolat napenergia-szabályozása], a: „3.1.2-HE1. táblázat: A qsol;jul,lim [kWh/m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-mes] napenergia szabályozási paraméter határértéke" szöveg helyébe a következő szöveg lép: „3.1.2-HE1. táblázat: A q</w:t>
      </w:r>
      <w:r>
        <w:rPr>
          <w:rFonts w:ascii="Calibri" w:hAnsi="Calibri"/>
          <w:sz w:val="22"/>
          <w:vertAlign w:val="subscript"/>
        </w:rPr>
        <w:t>sol;jul,lim</w:t>
      </w:r>
      <w:r>
        <w:rPr>
          <w:rFonts w:ascii="Calibri" w:hAnsi="Calibri"/>
          <w:sz w:val="22"/>
        </w:rPr>
        <w:t xml:space="preserve"> [KWh/m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·mes] napenergia szabályozási paraméter határértéke”.</w:t>
      </w:r>
    </w:p>
    <w:p w14:paraId="7E3CBE02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HE 1. szakasz 3. szakaszában [A követelmény számszerűsítése] a 3.1.3. szakaszban [A hőszigetelő burkolat légáteresztő képessége] mind a szakasz címében, mind a 3.1.3.a-HE1. táblázat címében dőlt betűvel kell szedni a „hőszigetelő burkolat” kifejezést.</w:t>
      </w:r>
    </w:p>
    <w:p w14:paraId="7B525B8B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HE 1. szakasz 3. szakaszában [A követelmény számszerűsítése] a 3.1.3. „</w:t>
      </w:r>
      <w:r>
        <w:rPr>
          <w:rFonts w:ascii="Calibri" w:hAnsi="Calibri"/>
          <w:i/>
          <w:sz w:val="22"/>
        </w:rPr>
        <w:t xml:space="preserve">A hőszigetelő burkolat </w:t>
      </w:r>
      <w:r>
        <w:rPr>
          <w:rFonts w:ascii="Calibri" w:hAnsi="Calibri"/>
          <w:sz w:val="22"/>
        </w:rPr>
        <w:t xml:space="preserve"> légáteresztő képessége" szakasz a következő (3) bekezdése egészül ki:</w:t>
      </w:r>
    </w:p>
    <w:p w14:paraId="218ED76A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FEAB0FB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„3. „Módosítások esetén a fenti 3.1.3.a-HE1. táblázat csak a </w:t>
      </w:r>
      <w:r>
        <w:rPr>
          <w:rFonts w:ascii="Calibri" w:hAnsi="Calibri"/>
          <w:i/>
          <w:sz w:val="22"/>
        </w:rPr>
        <w:t>hőszigetelő burkolat</w:t>
      </w:r>
      <w:r>
        <w:rPr>
          <w:rFonts w:ascii="Calibri" w:hAnsi="Calibri"/>
          <w:sz w:val="22"/>
        </w:rPr>
        <w:t xml:space="preserve"> azon elemeire vonatkozik, amelyeket kicserélnek, beépítenek vagy lényegesen módosítanak;”</w:t>
      </w:r>
    </w:p>
    <w:p w14:paraId="69948537" w14:textId="77777777" w:rsidR="000760AB" w:rsidRPr="000760AB" w:rsidRDefault="000760AB" w:rsidP="000760AB">
      <w:pPr>
        <w:spacing w:after="160" w:line="259" w:lineRule="auto"/>
        <w:ind w:left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1C78EE3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 3.1.3. szakasz „A </w:t>
      </w:r>
      <w:r>
        <w:rPr>
          <w:rFonts w:ascii="Calibri" w:hAnsi="Calibri"/>
          <w:i/>
          <w:sz w:val="22"/>
        </w:rPr>
        <w:t>hőszigetelő burkolat</w:t>
      </w:r>
      <w:r>
        <w:rPr>
          <w:rFonts w:ascii="Calibri" w:hAnsi="Calibri"/>
          <w:sz w:val="22"/>
        </w:rPr>
        <w:t xml:space="preserve"> légáteresztő képessége” című jelenlegi (3) és (4) bekezdésének számozása helyébe (4), illetve (5) bekezdés lép.</w:t>
      </w:r>
    </w:p>
    <w:p w14:paraId="5FC15043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A HE 1. szakaszban, a 3. szakaszban [A követelmény számszerűsítése], a 3.1.3. szakaszban [A </w:t>
      </w:r>
      <w:r>
        <w:rPr>
          <w:rFonts w:ascii="Calibri" w:hAnsi="Calibri"/>
          <w:i/>
          <w:sz w:val="22"/>
        </w:rPr>
        <w:t>hőszigetelő burkolat</w:t>
      </w:r>
      <w:r>
        <w:rPr>
          <w:rFonts w:ascii="Calibri" w:hAnsi="Calibri"/>
          <w:sz w:val="22"/>
        </w:rPr>
        <w:t xml:space="preserve"> légáteresztő képessége], a 3.1.3.b-HE1 táblázatban a „tömörség” kifejezés, a 3.1.3.b-HE1 táblázatban a „tömörség” kifejezés és a (3) bekezdésben a „magánlakás célú felhasználás” kifejezés dőlt betűvel szerepeljen.</w:t>
      </w:r>
    </w:p>
    <w:p w14:paraId="16310438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A HE 1. szakaszban, a 3. szakaszban [A követelmény számszerűsítése], a 3.1.3. szakaszban [A </w:t>
      </w:r>
      <w:r>
        <w:rPr>
          <w:rFonts w:ascii="Calibri" w:hAnsi="Calibri"/>
          <w:i/>
          <w:sz w:val="22"/>
        </w:rPr>
        <w:t>hőszigetelő burkolat</w:t>
      </w:r>
      <w:r>
        <w:rPr>
          <w:rFonts w:ascii="Calibri" w:hAnsi="Calibri"/>
          <w:sz w:val="22"/>
        </w:rPr>
        <w:t xml:space="preserve"> légáteresztő képessége], a 3.1.3.b-HE1. táblázatban, ahol a „m</w:t>
      </w:r>
      <w:r>
        <w:rPr>
          <w:rFonts w:ascii="Calibri" w:hAnsi="Calibri"/>
          <w:sz w:val="22"/>
          <w:vertAlign w:val="superscript"/>
        </w:rPr>
        <w:t>3</w:t>
      </w:r>
      <w:r>
        <w:rPr>
          <w:rFonts w:ascii="Calibri" w:hAnsi="Calibri"/>
          <w:sz w:val="22"/>
        </w:rPr>
        <w:t>/m2” szerepel, „m</w:t>
      </w:r>
      <w:r>
        <w:rPr>
          <w:rFonts w:ascii="Calibri" w:hAnsi="Calibri"/>
          <w:sz w:val="22"/>
          <w:vertAlign w:val="superscript"/>
        </w:rPr>
        <w:t>3</w:t>
      </w:r>
      <w:r>
        <w:rPr>
          <w:rFonts w:ascii="Calibri" w:hAnsi="Calibri"/>
          <w:sz w:val="22"/>
        </w:rPr>
        <w:t>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 xml:space="preserve">" kell, hogy legyen, a 2-t pedig felső indexként kell írni. </w:t>
      </w:r>
    </w:p>
    <w:p w14:paraId="717B95B5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HE 1. szakasz 4. szakaszában (A követelmény indokolása) a 4.1.b) pontban a „tömörség” kifejezést és a 4.1.g) pontban a „magánlakás-célú felhasználás” kifejezést dőlt betűvel szedve kell feltüntetni.</w:t>
      </w:r>
    </w:p>
    <w:p w14:paraId="2D2B37E4" w14:textId="77777777" w:rsidR="000760AB" w:rsidRPr="000760AB" w:rsidRDefault="000760AB" w:rsidP="000760AB">
      <w:pPr>
        <w:numPr>
          <w:ilvl w:val="0"/>
          <w:numId w:val="17"/>
        </w:numPr>
        <w:spacing w:after="160" w:line="257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HE 3. szakaszban, a 3.1-HE3. táblázatban a Létesítmény hatékonysági határérték (VEEI</w:t>
      </w:r>
      <w:r>
        <w:rPr>
          <w:rFonts w:ascii="Calibri" w:hAnsi="Calibri"/>
          <w:sz w:val="22"/>
          <w:vertAlign w:val="subscript"/>
        </w:rPr>
        <w:t>lim</w:t>
      </w:r>
      <w:r>
        <w:rPr>
          <w:rFonts w:ascii="Calibri" w:hAnsi="Calibri"/>
          <w:sz w:val="22"/>
        </w:rPr>
        <w:t>) helyébe az „Üzletek és kisboltok” szavak helyébe az „Üzletek és kisboltok</w:t>
      </w:r>
      <w:r>
        <w:rPr>
          <w:rFonts w:ascii="Calibri" w:hAnsi="Calibri"/>
          <w:sz w:val="22"/>
          <w:vertAlign w:val="superscript"/>
        </w:rPr>
        <w:t xml:space="preserve"> (10)</w:t>
      </w:r>
      <w:r>
        <w:rPr>
          <w:rFonts w:ascii="Calibri" w:hAnsi="Calibri"/>
          <w:sz w:val="22"/>
        </w:rPr>
        <w:t>” szavak lépnek, és a szöveg a következő lábjegyzettel egészül ki:</w:t>
      </w:r>
    </w:p>
    <w:p w14:paraId="6E0BF879" w14:textId="77777777" w:rsidR="000760AB" w:rsidRPr="000760AB" w:rsidRDefault="000760AB" w:rsidP="000760AB">
      <w:pPr>
        <w:spacing w:after="160" w:line="257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„</w:t>
      </w:r>
      <w:r>
        <w:rPr>
          <w:rFonts w:ascii="Calibri" w:hAnsi="Calibri"/>
          <w:sz w:val="22"/>
          <w:vertAlign w:val="superscript"/>
        </w:rPr>
        <w:t>(10)</w:t>
      </w:r>
      <w:r>
        <w:rPr>
          <w:rFonts w:ascii="Calibri" w:hAnsi="Calibri"/>
          <w:sz w:val="22"/>
        </w:rPr>
        <w:t xml:space="preserve"> A bolt kifejezés mind a kisméretű független üzletekre, mind a kereskedelmi használatra szánt részre vonatkozik, amelyet a bevásárlóközpontokban általában nem használnak.”</w:t>
      </w:r>
    </w:p>
    <w:p w14:paraId="5C482135" w14:textId="77777777" w:rsidR="000760AB" w:rsidRPr="000760AB" w:rsidRDefault="000760AB" w:rsidP="000760AB">
      <w:pPr>
        <w:numPr>
          <w:ilvl w:val="0"/>
          <w:numId w:val="17"/>
        </w:numPr>
        <w:spacing w:after="160" w:line="257" w:lineRule="auto"/>
        <w:ind w:left="284" w:firstLine="0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A HE 3. szakasz 3.3. szakaszában [Ellenőrzési és szabályozási rendszerek] a (2) bekezdés, amelynek szövege a következő: „... helyébe a következő két lehetőség egyike léphet: </w:t>
      </w:r>
    </w:p>
    <w:p w14:paraId="562ED3C8" w14:textId="77777777" w:rsidR="000760AB" w:rsidRPr="000760AB" w:rsidRDefault="000760AB" w:rsidP="000760AB">
      <w:pPr>
        <w:spacing w:after="160" w:line="257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– az aktiválás és a deaktiválás szabályozása időzített jelenlét-érzékelő rendszerrel; vagy </w:t>
      </w:r>
    </w:p>
    <w:p w14:paraId="5D7F7E37" w14:textId="77777777" w:rsidR="000760AB" w:rsidRPr="000760AB" w:rsidRDefault="000760AB" w:rsidP="000760AB">
      <w:pPr>
        <w:spacing w:line="257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– időzített nyomógombos rendszerrel.”</w:t>
      </w:r>
    </w:p>
    <w:p w14:paraId="7F19E6A8" w14:textId="77777777" w:rsidR="000760AB" w:rsidRPr="000760AB" w:rsidRDefault="000760AB" w:rsidP="000760AB">
      <w:pPr>
        <w:spacing w:line="257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helyesen: „... helyébe a következő két lehetőség egyike léphet: </w:t>
      </w:r>
    </w:p>
    <w:p w14:paraId="1FB2C3B4" w14:textId="77777777" w:rsidR="000760AB" w:rsidRPr="000760AB" w:rsidRDefault="000760AB" w:rsidP="000760AB">
      <w:pPr>
        <w:spacing w:line="257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– az aktiválás és a deaktiválás </w:t>
      </w:r>
      <w:r>
        <w:rPr>
          <w:rFonts w:ascii="Calibri" w:hAnsi="Calibri"/>
          <w:i/>
          <w:sz w:val="22"/>
        </w:rPr>
        <w:t>időzített jelenlét-érzékelő rendszerrel</w:t>
      </w:r>
      <w:r>
        <w:rPr>
          <w:rFonts w:ascii="Calibri" w:hAnsi="Calibri"/>
          <w:sz w:val="22"/>
        </w:rPr>
        <w:t xml:space="preserve">, vagy </w:t>
      </w:r>
    </w:p>
    <w:p w14:paraId="280A8FDB" w14:textId="77777777" w:rsidR="000760AB" w:rsidRPr="000760AB" w:rsidRDefault="000760AB" w:rsidP="000760AB">
      <w:pPr>
        <w:spacing w:line="257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– </w:t>
      </w:r>
      <w:r>
        <w:rPr>
          <w:rFonts w:ascii="Calibri" w:hAnsi="Calibri"/>
          <w:i/>
          <w:sz w:val="22"/>
        </w:rPr>
        <w:t>időzítőrendszerrel</w:t>
      </w:r>
      <w:r>
        <w:rPr>
          <w:rFonts w:ascii="Calibri" w:hAnsi="Calibri"/>
          <w:sz w:val="22"/>
        </w:rPr>
        <w:t xml:space="preserve"> nyomógomb segítségével.”</w:t>
      </w:r>
    </w:p>
    <w:p w14:paraId="383D98A1" w14:textId="77777777" w:rsidR="000760AB" w:rsidRPr="000760AB" w:rsidRDefault="000760AB" w:rsidP="000760AB">
      <w:pPr>
        <w:spacing w:line="257" w:lineRule="auto"/>
        <w:ind w:left="284"/>
        <w:jc w:val="both"/>
        <w:rPr>
          <w:rFonts w:ascii="Calibri" w:eastAsia="Arial" w:hAnsi="Calibri" w:cs="Calibri"/>
          <w:kern w:val="2"/>
          <w:sz w:val="22"/>
          <w:lang w:eastAsia="zh-CN" w:bidi="hi-IN"/>
        </w:rPr>
      </w:pPr>
    </w:p>
    <w:p w14:paraId="2E152AB0" w14:textId="77777777" w:rsidR="000760AB" w:rsidRPr="000760AB" w:rsidRDefault="000760AB" w:rsidP="000760AB">
      <w:pPr>
        <w:numPr>
          <w:ilvl w:val="0"/>
          <w:numId w:val="17"/>
        </w:numPr>
        <w:spacing w:after="160" w:line="257" w:lineRule="auto"/>
        <w:ind w:left="284" w:firstLine="0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A HE 3. szakasz 4. szakaszának [A követelmény indoklása] (1) bekezdése b) pontjában az „...a felhasznált</w:t>
      </w:r>
      <w:r>
        <w:rPr>
          <w:rFonts w:ascii="Calibri" w:hAnsi="Calibri"/>
          <w:i/>
          <w:sz w:val="22"/>
        </w:rPr>
        <w:t xml:space="preserve"> lámpák</w:t>
      </w:r>
      <w:r>
        <w:rPr>
          <w:rFonts w:ascii="Calibri" w:hAnsi="Calibri"/>
          <w:sz w:val="22"/>
        </w:rPr>
        <w:t xml:space="preserve"> hatékonysága (lum/W-ban kifejezve)" szövegrész helyébe az „...a felhasznált</w:t>
      </w:r>
      <w:r>
        <w:rPr>
          <w:rFonts w:ascii="Calibri" w:hAnsi="Calibri"/>
          <w:i/>
          <w:sz w:val="22"/>
        </w:rPr>
        <w:t xml:space="preserve"> lámpák</w:t>
      </w:r>
      <w:r>
        <w:rPr>
          <w:rFonts w:ascii="Calibri" w:hAnsi="Calibri"/>
          <w:sz w:val="22"/>
        </w:rPr>
        <w:t xml:space="preserve"> hatékonysága (lm/W-ben kifejezve)" szöveg lép”</w:t>
      </w:r>
    </w:p>
    <w:p w14:paraId="7D135F60" w14:textId="77777777" w:rsidR="000760AB" w:rsidRPr="000760AB" w:rsidRDefault="000760AB" w:rsidP="000760AB">
      <w:pPr>
        <w:spacing w:after="160" w:line="257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  <w:lang w:eastAsia="zh-CN" w:bidi="hi-IN"/>
        </w:rPr>
      </w:pPr>
    </w:p>
    <w:p w14:paraId="6B3EE3FA" w14:textId="77777777" w:rsidR="000760AB" w:rsidRPr="000760AB" w:rsidRDefault="000760AB" w:rsidP="000760AB">
      <w:pPr>
        <w:numPr>
          <w:ilvl w:val="0"/>
          <w:numId w:val="17"/>
        </w:numPr>
        <w:spacing w:after="160" w:line="257" w:lineRule="auto"/>
        <w:ind w:left="284" w:firstLine="0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A HE 4. szakasz 2. szakaszának [A követelmény leírása] (1) bekezdése a következőképpen szól:</w:t>
      </w:r>
    </w:p>
    <w:p w14:paraId="66BCE2A2" w14:textId="77777777" w:rsidR="000760AB" w:rsidRPr="000760AB" w:rsidRDefault="000760AB" w:rsidP="000760AB">
      <w:pPr>
        <w:spacing w:after="160" w:line="257" w:lineRule="auto"/>
        <w:ind w:left="709"/>
        <w:contextualSpacing/>
        <w:jc w:val="both"/>
        <w:rPr>
          <w:rFonts w:ascii="Calibri" w:eastAsia="Arial" w:hAnsi="Calibri" w:cs="Calibri"/>
          <w:kern w:val="2"/>
          <w:sz w:val="22"/>
          <w:lang w:eastAsia="zh-CN" w:bidi="hi-IN"/>
        </w:rPr>
      </w:pPr>
    </w:p>
    <w:p w14:paraId="774F4195" w14:textId="77777777" w:rsidR="000760AB" w:rsidRPr="000760AB" w:rsidRDefault="000760AB" w:rsidP="000760AB">
      <w:pPr>
        <w:spacing w:after="160" w:line="257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„1. Az épületek a használati melegvíz- és a fűtött beltéri medencék vízmelegítési igényét nagymértékben </w:t>
      </w:r>
      <w:r>
        <w:rPr>
          <w:rFonts w:ascii="Calibri" w:hAnsi="Calibri"/>
          <w:i/>
          <w:sz w:val="22"/>
        </w:rPr>
        <w:t>megújuló forrásokból</w:t>
      </w:r>
      <w:r>
        <w:rPr>
          <w:rFonts w:ascii="Calibri" w:hAnsi="Calibri"/>
          <w:sz w:val="22"/>
        </w:rPr>
        <w:t xml:space="preserve"> vagy megújuló kapcsolt energiatermelési folyamatokból származó energia felhasználásával fedezik; amelyet magában az épületben, vagy a </w:t>
      </w:r>
      <w:r>
        <w:rPr>
          <w:rFonts w:ascii="Calibri" w:hAnsi="Calibri"/>
          <w:i/>
          <w:sz w:val="22"/>
        </w:rPr>
        <w:t>távfűtési rendszerhez</w:t>
      </w:r>
      <w:r>
        <w:rPr>
          <w:rFonts w:ascii="Calibri" w:hAnsi="Calibri"/>
          <w:sz w:val="22"/>
        </w:rPr>
        <w:t xml:space="preserve"> való csatlakozáson keresztül fejlesztenek.”</w:t>
      </w:r>
    </w:p>
    <w:p w14:paraId="3693DE13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 A HE 4. szakasz 3. szakaszában [A követelmény számszerűsítése] a 3.1. szakasz [A használati melegvíz és/vagy medencefűtés megújuló energiaforrásokból történő minimális hozzájárulása] (4) bekezdésében a: </w:t>
      </w:r>
      <w:bookmarkStart w:id="3" w:name="_Hlk96945986"/>
      <w:r>
        <w:rPr>
          <w:rFonts w:ascii="Calibri" w:hAnsi="Calibri"/>
          <w:sz w:val="22"/>
        </w:rPr>
        <w:t xml:space="preserve">„... </w:t>
      </w:r>
      <w:bookmarkEnd w:id="3"/>
      <w:r>
        <w:rPr>
          <w:rFonts w:ascii="Calibri" w:hAnsi="Calibri"/>
          <w:sz w:val="22"/>
        </w:rPr>
        <w:t>2,5-nél nagyobb, ha elektromos működtetésű, és 1,15-nél nagyobb, ha hőenergiával működtetik...” szöveg helyébe a „... 2,5-nél nagyobb vagy azzal egyenlő, ha elektromos működtetésű, és 1,15-nél nagyobb vagy azzal egyenlő, ha hőenergiával működtetik...” szöveg lép.</w:t>
      </w:r>
    </w:p>
    <w:p w14:paraId="61BB5CF0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A HE 4. szakasz 3. szakaszában [A követelmény számszerűsítése] a 3.1. szakasz [A használati melegvíz és/vagy medencefűtés megújuló energiaforrásokból történő minimális hozzájárulása] (5) bekezdésében a: „... lakóépületek...” szövegrész helyébe a következő szöveg lép: „... épületek </w:t>
      </w:r>
      <w:r>
        <w:rPr>
          <w:rFonts w:ascii="Calibri" w:hAnsi="Calibri"/>
          <w:i/>
          <w:sz w:val="22"/>
        </w:rPr>
        <w:t>magánlakás célú felhasználásra</w:t>
      </w:r>
      <w:r>
        <w:rPr>
          <w:rFonts w:ascii="Calibri" w:hAnsi="Calibri"/>
          <w:sz w:val="22"/>
        </w:rPr>
        <w:t>...”.</w:t>
      </w:r>
    </w:p>
    <w:p w14:paraId="6BE93B73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 HE 4. szakaszban, az „5.1. szakasz „Végrehajtás” szakasz elé az alábbi címet kell beilleszteni: „5. Építés, karbantartás és fenntartás”. </w:t>
      </w:r>
    </w:p>
    <w:p w14:paraId="6D9AA9EE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A HE 5. szakaszban a „HE 5. szakasz [Minimális villamosenergia-termelés]” cím helyébe a „HE 5. szakasz </w:t>
      </w:r>
      <w:bookmarkStart w:id="4" w:name="_Hlk92123384"/>
      <w:r>
        <w:rPr>
          <w:rFonts w:ascii="Calibri" w:hAnsi="Calibri"/>
          <w:sz w:val="22"/>
        </w:rPr>
        <w:t>Minimális villamosenergia-termelés</w:t>
      </w:r>
      <w:bookmarkEnd w:id="4"/>
      <w:r>
        <w:t xml:space="preserve"> </w:t>
      </w:r>
      <w:r>
        <w:rPr>
          <w:rFonts w:ascii="Calibri" w:hAnsi="Calibri"/>
          <w:sz w:val="22"/>
        </w:rPr>
        <w:t>megújuló energiaforrásokból.” cím lép.</w:t>
      </w:r>
    </w:p>
    <w:p w14:paraId="6175F2BD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 HE 5. szakasz „Hatály” című (1) bekezdésének szövege a következőképpen módosul: </w:t>
      </w:r>
    </w:p>
    <w:p w14:paraId="04EE306E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„1. Ez a szakasz a következő esetekben alkalmazandó: </w:t>
      </w:r>
    </w:p>
    <w:p w14:paraId="40C4916D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a) új építésű épületek, amennyiben meghaladják az 1 000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 xml:space="preserve"> beépített területet;</w:t>
      </w:r>
    </w:p>
    <w:p w14:paraId="500BD58B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b) meglévő épületek bővítése, ha a beépített terület több mint 1 000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-rel nő.</w:t>
      </w:r>
    </w:p>
    <w:p w14:paraId="710C1241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c) meglévő épületek, amelyeket teljesen felújítottak, vagy amelyek használati jellemzői megváltoztak, ha a beépített terület meghaladja az 1 000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-t.</w:t>
      </w:r>
    </w:p>
    <w:p w14:paraId="772542DE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Úgy kell tekinteni, hogy a beépített terület magában foglalja az épületen belüli parkolók területét, és nem foglalja magában a közös szabadtéri területeket.” </w:t>
      </w:r>
    </w:p>
    <w:p w14:paraId="6B833735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HE 5. szakaszban a 2. szakasz „A követelmény jellemzése” című első albekezdésének szövege a következőképpen módosul:</w:t>
      </w:r>
    </w:p>
    <w:p w14:paraId="23E9D023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„1. Az épületeknek saját használatra vagy a hálózat ellátására megújuló energiaforrásokból származó villamosenergia termelésére szolgáló rendszerekkel kell rendelkezniük.”</w:t>
      </w:r>
    </w:p>
    <w:p w14:paraId="5BE28722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 A HE 5. szakasz (3) bekezdésének „A követelmény számszerűsítése” szövege a következőképpen módosul:</w:t>
      </w:r>
    </w:p>
    <w:p w14:paraId="1C671AF1" w14:textId="77777777" w:rsidR="000760AB" w:rsidRPr="000760AB" w:rsidRDefault="000760AB" w:rsidP="000760AB">
      <w:pPr>
        <w:spacing w:before="60"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„1. A </w:t>
      </w:r>
      <w:r>
        <w:rPr>
          <w:rFonts w:ascii="Calibri" w:hAnsi="Calibri"/>
          <w:i/>
          <w:sz w:val="22"/>
        </w:rPr>
        <w:t>minimálisan beépítendő teljesítmény</w:t>
      </w:r>
      <w:r>
        <w:rPr>
          <w:rFonts w:ascii="Calibri" w:hAnsi="Calibri"/>
          <w:sz w:val="22"/>
        </w:rPr>
        <w:t xml:space="preserve"> P</w:t>
      </w:r>
      <w:r>
        <w:rPr>
          <w:rFonts w:ascii="Calibri" w:hAnsi="Calibri"/>
          <w:sz w:val="22"/>
          <w:vertAlign w:val="subscript"/>
        </w:rPr>
        <w:t>min</w:t>
      </w:r>
      <w:r>
        <w:rPr>
          <w:rFonts w:ascii="Calibri" w:hAnsi="Calibri"/>
          <w:sz w:val="22"/>
        </w:rPr>
        <w:t xml:space="preserve"> a következő két egyenlet eredményei közül a legkisebb: </w:t>
      </w:r>
    </w:p>
    <w:p w14:paraId="3A813F22" w14:textId="77777777" w:rsidR="000760AB" w:rsidRPr="000760AB" w:rsidRDefault="000760AB" w:rsidP="000760AB">
      <w:pPr>
        <w:spacing w:before="60"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P</w:t>
      </w:r>
      <w:r>
        <w:rPr>
          <w:rFonts w:ascii="Calibri" w:hAnsi="Calibri"/>
          <w:sz w:val="22"/>
          <w:vertAlign w:val="subscript"/>
        </w:rPr>
        <w:t>1</w:t>
      </w:r>
      <w:r>
        <w:rPr>
          <w:rFonts w:ascii="Calibri" w:hAnsi="Calibri"/>
          <w:sz w:val="22"/>
        </w:rPr>
        <w:t xml:space="preserve"> = F</w:t>
      </w:r>
      <w:r>
        <w:rPr>
          <w:rFonts w:ascii="Calibri" w:hAnsi="Calibri"/>
          <w:sz w:val="22"/>
          <w:vertAlign w:val="subscript"/>
        </w:rPr>
        <w:t>pr;el</w:t>
      </w:r>
      <w:r>
        <w:rPr>
          <w:rFonts w:ascii="Calibri" w:hAnsi="Calibri"/>
          <w:sz w:val="22"/>
        </w:rPr>
        <w:t>·  S</w:t>
      </w:r>
    </w:p>
    <w:p w14:paraId="0B5FBBF1" w14:textId="77777777" w:rsidR="000760AB" w:rsidRPr="000760AB" w:rsidRDefault="000760AB" w:rsidP="000760AB">
      <w:pPr>
        <w:spacing w:before="60"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P</w:t>
      </w:r>
      <w:r>
        <w:rPr>
          <w:rFonts w:ascii="Calibri" w:hAnsi="Calibri"/>
          <w:sz w:val="22"/>
          <w:vertAlign w:val="subscript"/>
        </w:rPr>
        <w:t>2</w:t>
      </w:r>
      <w:r>
        <w:rPr>
          <w:rFonts w:ascii="Calibri" w:hAnsi="Calibri"/>
          <w:sz w:val="22"/>
        </w:rPr>
        <w:t xml:space="preserve"> = 0,1 · (0,5 · S</w:t>
      </w:r>
      <w:r>
        <w:rPr>
          <w:rFonts w:ascii="Calibri" w:hAnsi="Calibri"/>
          <w:sz w:val="22"/>
          <w:vertAlign w:val="subscript"/>
        </w:rPr>
        <w:t>c</w:t>
      </w:r>
      <w:r>
        <w:rPr>
          <w:rFonts w:ascii="Calibri" w:hAnsi="Calibri"/>
          <w:sz w:val="22"/>
        </w:rPr>
        <w:t xml:space="preserve"> - S</w:t>
      </w:r>
      <w:r>
        <w:rPr>
          <w:rFonts w:ascii="Calibri" w:hAnsi="Calibri"/>
          <w:sz w:val="22"/>
          <w:vertAlign w:val="subscript"/>
        </w:rPr>
        <w:t>oc</w:t>
      </w:r>
      <w:r>
        <w:rPr>
          <w:rFonts w:ascii="Calibri" w:hAnsi="Calibri"/>
          <w:sz w:val="22"/>
        </w:rPr>
        <w:t xml:space="preserve"> )</w:t>
      </w:r>
    </w:p>
    <w:p w14:paraId="72B9D60D" w14:textId="77777777" w:rsidR="000760AB" w:rsidRPr="000760AB" w:rsidRDefault="000760AB" w:rsidP="000760AB">
      <w:pPr>
        <w:spacing w:before="60"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ahol:</w:t>
      </w:r>
    </w:p>
    <w:p w14:paraId="5E55B831" w14:textId="77777777" w:rsidR="000760AB" w:rsidRPr="000760AB" w:rsidRDefault="000760AB" w:rsidP="000760AB">
      <w:pPr>
        <w:spacing w:before="60" w:after="160" w:line="259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P</w:t>
      </w:r>
      <w:r>
        <w:rPr>
          <w:rFonts w:ascii="Calibri" w:hAnsi="Calibri"/>
          <w:sz w:val="22"/>
          <w:vertAlign w:val="subscript"/>
        </w:rPr>
        <w:t>min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i/>
          <w:sz w:val="22"/>
        </w:rPr>
        <w:t>beépítendő teljesítmény</w:t>
      </w:r>
      <w:r>
        <w:rPr>
          <w:rFonts w:ascii="Calibri" w:hAnsi="Calibri"/>
          <w:sz w:val="22"/>
        </w:rPr>
        <w:t xml:space="preserve"> [kW];</w:t>
      </w:r>
    </w:p>
    <w:p w14:paraId="1988193A" w14:textId="77777777" w:rsidR="000760AB" w:rsidRPr="000760AB" w:rsidRDefault="000760AB" w:rsidP="000760AB">
      <w:pPr>
        <w:spacing w:before="60" w:after="160" w:line="259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F</w:t>
      </w:r>
      <w:r>
        <w:rPr>
          <w:rFonts w:ascii="Calibri" w:hAnsi="Calibri"/>
          <w:sz w:val="22"/>
          <w:vertAlign w:val="subscript"/>
        </w:rPr>
        <w:t>pr;e</w:t>
      </w:r>
      <w:r>
        <w:rPr>
          <w:rFonts w:ascii="Calibri" w:hAnsi="Calibri"/>
          <w:sz w:val="22"/>
        </w:rPr>
        <w:t>l</w:t>
      </w:r>
      <w:r>
        <w:rPr>
          <w:rFonts w:ascii="Calibri" w:hAnsi="Calibri"/>
          <w:sz w:val="22"/>
        </w:rPr>
        <w:tab/>
        <w:t>energiatermelési tényező, amely magánlakások esetében 0,005, egyéb felhasználások esetében 0,010 értéket vesz fel [kW/m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];</w:t>
      </w:r>
    </w:p>
    <w:p w14:paraId="153C8F5A" w14:textId="77777777" w:rsidR="000760AB" w:rsidRPr="000760AB" w:rsidRDefault="000760AB" w:rsidP="000760AB">
      <w:pPr>
        <w:spacing w:before="60" w:after="160" w:line="259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ab/>
        <w:t>az épület beépített területének felülete [m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];</w:t>
      </w:r>
    </w:p>
    <w:p w14:paraId="4F543BE6" w14:textId="77777777" w:rsidR="000760AB" w:rsidRPr="000760AB" w:rsidRDefault="000760AB" w:rsidP="000760AB">
      <w:pPr>
        <w:spacing w:before="60"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S</w:t>
      </w:r>
      <w:r>
        <w:rPr>
          <w:rFonts w:ascii="Calibri" w:hAnsi="Calibri"/>
          <w:sz w:val="22"/>
          <w:vertAlign w:val="subscript"/>
        </w:rPr>
        <w:t>c</w:t>
      </w:r>
      <w:r>
        <w:rPr>
          <w:rFonts w:ascii="Calibri" w:hAnsi="Calibri"/>
          <w:sz w:val="22"/>
        </w:rPr>
        <w:tab/>
        <w:t>a nem közlekedésre szolgáló tető felülete vagy a tető csak fenntartás céljából hozzáférhető felülete [m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];</w:t>
      </w:r>
    </w:p>
    <w:p w14:paraId="6D8AB5FA" w14:textId="77777777" w:rsidR="000760AB" w:rsidRPr="000760AB" w:rsidRDefault="000760AB" w:rsidP="000760AB">
      <w:pPr>
        <w:spacing w:before="60"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S</w:t>
      </w:r>
      <w:r>
        <w:rPr>
          <w:rFonts w:ascii="Calibri" w:hAnsi="Calibri"/>
          <w:sz w:val="22"/>
          <w:vertAlign w:val="subscript"/>
        </w:rPr>
        <w:t>oc</w:t>
      </w:r>
      <w:r>
        <w:rPr>
          <w:rFonts w:ascii="Calibri" w:hAnsi="Calibri"/>
          <w:sz w:val="22"/>
        </w:rPr>
        <w:tab/>
        <w:t>a nem közlekedésre szolgáló tető felülete vagy a tető csak fenntartás céljából hozzáférhető, termikus napkollektorok által elfoglalt területe [m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].</w:t>
      </w:r>
    </w:p>
    <w:p w14:paraId="7D742656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 xml:space="preserve">Azokban az épületekben, ahol városfejlesztési vagy építészeti okokból, vagy mert hivatalosan védett épületekről van szó, amennyiben a hivatalos védelmet megadó hatóság határozza meg a megváltoztathatatlan elemeket, a minimális </w:t>
      </w:r>
      <w:r>
        <w:rPr>
          <w:rFonts w:ascii="Calibri" w:hAnsi="Calibri"/>
          <w:i/>
          <w:sz w:val="22"/>
        </w:rPr>
        <w:t>telepítési teljesítmény</w:t>
      </w:r>
      <w:r>
        <w:rPr>
          <w:rFonts w:ascii="Calibri" w:hAnsi="Calibri"/>
          <w:sz w:val="22"/>
        </w:rPr>
        <w:t xml:space="preserve"> nem érhető el, ezt a tényt a különböző alternatívák elemzésével kell indokolni, és a lehető legnagyobb telepített teljesítményt elérő megoldást kell elfogadni.”</w:t>
      </w:r>
    </w:p>
    <w:p w14:paraId="6BEFAE72" w14:textId="77777777" w:rsidR="000760AB" w:rsidRPr="000760AB" w:rsidRDefault="000760AB" w:rsidP="000760AB">
      <w:pPr>
        <w:numPr>
          <w:ilvl w:val="0"/>
          <w:numId w:val="17"/>
        </w:numPr>
        <w:spacing w:before="60" w:after="160" w:line="259" w:lineRule="auto"/>
        <w:ind w:left="284" w:firstLine="0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A HE 5. szakasz „A követelmény indoklása” című (4) bekezdése a következővel egészül ki:</w:t>
      </w:r>
    </w:p>
    <w:p w14:paraId="65043955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c) adott esetben azok az okok, amelyek megakadályozzák az előírt minimális </w:t>
      </w:r>
      <w:r>
        <w:rPr>
          <w:rFonts w:ascii="Calibri" w:hAnsi="Calibri"/>
          <w:i/>
          <w:sz w:val="22"/>
        </w:rPr>
        <w:t>telepítési teljesítmény</w:t>
      </w:r>
      <w:r>
        <w:rPr>
          <w:rFonts w:ascii="Calibri" w:hAnsi="Calibri"/>
          <w:sz w:val="22"/>
        </w:rPr>
        <w:t xml:space="preserve"> elérését, az alternatívák elemzése és a lehető legnagyobb telepített teljesítmény elérése érdekében elfogadott megoldás.”</w:t>
      </w:r>
    </w:p>
    <w:p w14:paraId="6E185DB3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ll) A DB-HE „Energiatakarékosság” alapdokumentum a HE 6. szakasszal egészül ki „</w:t>
      </w:r>
      <w:r>
        <w:rPr>
          <w:rFonts w:ascii="Calibri" w:hAnsi="Calibri"/>
          <w:i/>
          <w:sz w:val="22"/>
        </w:rPr>
        <w:t>Elektromos járművek minimális töltőinfrastruktúra-létesítményei</w:t>
      </w:r>
      <w:r>
        <w:rPr>
          <w:rFonts w:ascii="Calibri" w:hAnsi="Calibri"/>
          <w:sz w:val="22"/>
        </w:rPr>
        <w:t xml:space="preserve">” címmel és a következő tartalommal: </w:t>
      </w:r>
    </w:p>
    <w:p w14:paraId="1807669A" w14:textId="77FE9144" w:rsidR="000760AB" w:rsidRPr="000760AB" w:rsidRDefault="000760AB" w:rsidP="000760AB">
      <w:pPr>
        <w:keepNext/>
        <w:ind w:left="284"/>
        <w:outlineLvl w:val="0"/>
        <w:rPr>
          <w:rFonts w:ascii="Calibri" w:eastAsia="Arial" w:hAnsi="Calibri" w:cs="Calibri"/>
          <w:kern w:val="2"/>
          <w:sz w:val="22"/>
          <w:szCs w:val="22"/>
        </w:rPr>
      </w:pPr>
      <w:bookmarkStart w:id="5" w:name="_Toc530396161"/>
      <w:bookmarkStart w:id="6" w:name="_Toc530395282"/>
      <w:r>
        <w:rPr>
          <w:rFonts w:ascii="Calibri" w:hAnsi="Calibri"/>
          <w:sz w:val="22"/>
        </w:rPr>
        <w:lastRenderedPageBreak/>
        <w:t xml:space="preserve">„HE 6. szakasz </w:t>
      </w:r>
      <w:r>
        <w:rPr>
          <w:rFonts w:ascii="Calibri" w:hAnsi="Calibri"/>
          <w:sz w:val="22"/>
        </w:rPr>
        <w:br/>
      </w:r>
      <w:r>
        <w:rPr>
          <w:rFonts w:ascii="Calibri" w:hAnsi="Calibri"/>
          <w:i/>
          <w:sz w:val="22"/>
        </w:rPr>
        <w:t>Elektromos járművek minimális töltőinfrastruktúra-létesítménye</w:t>
      </w:r>
      <w:r>
        <w:rPr>
          <w:rFonts w:ascii="Calibri" w:hAnsi="Calibri"/>
          <w:sz w:val="22"/>
        </w:rPr>
        <w:br/>
      </w:r>
      <w:bookmarkEnd w:id="5"/>
      <w:bookmarkEnd w:id="6"/>
      <w:r>
        <w:rPr>
          <w:i/>
        </w:rPr>
        <w:t>i</w:t>
      </w:r>
    </w:p>
    <w:p w14:paraId="6EF7E441" w14:textId="77777777" w:rsidR="000760AB" w:rsidRPr="000760AB" w:rsidRDefault="000760AB" w:rsidP="000760AB">
      <w:pPr>
        <w:keepNext/>
        <w:widowControl w:val="0"/>
        <w:suppressAutoHyphens/>
        <w:spacing w:before="300" w:after="100"/>
        <w:ind w:left="284"/>
        <w:textAlignment w:val="baseline"/>
        <w:outlineLvl w:val="1"/>
        <w:rPr>
          <w:rFonts w:ascii="Calibri" w:eastAsia="Noto Sans CJK SC Regular" w:hAnsi="Calibri" w:cs="Calibri"/>
          <w:kern w:val="2"/>
          <w:sz w:val="22"/>
          <w:szCs w:val="22"/>
        </w:rPr>
      </w:pPr>
      <w:bookmarkStart w:id="7" w:name="_Toc530396162"/>
      <w:bookmarkStart w:id="8" w:name="_Toc530395283"/>
      <w:r>
        <w:rPr>
          <w:rFonts w:ascii="Calibri" w:hAnsi="Calibri"/>
          <w:sz w:val="22"/>
        </w:rPr>
        <w:t>1 Hatály</w:t>
      </w:r>
      <w:bookmarkEnd w:id="7"/>
      <w:bookmarkEnd w:id="8"/>
    </w:p>
    <w:p w14:paraId="36FC884D" w14:textId="77777777" w:rsidR="000760AB" w:rsidRPr="000760AB" w:rsidRDefault="000760AB" w:rsidP="000760AB">
      <w:pPr>
        <w:spacing w:before="6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>Az ebben a szakaszban meghatározott követelmények a következő esetekben vonatkoznak azokra az épületekre, amelyek az épületen belül vagy kívül parkolóval rendelkeznek:</w:t>
      </w:r>
    </w:p>
    <w:p w14:paraId="1105C106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a) újonnan épített épületek;</w:t>
      </w:r>
    </w:p>
    <w:p w14:paraId="24CACEDC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b) meglévő épületek, a következő esetekben:</w:t>
      </w:r>
    </w:p>
    <w:p w14:paraId="136E92EF" w14:textId="77777777" w:rsidR="000760AB" w:rsidRPr="000760AB" w:rsidRDefault="000760AB" w:rsidP="00FD453F">
      <w:pPr>
        <w:numPr>
          <w:ilvl w:val="0"/>
          <w:numId w:val="33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az épület jellegzetes használatának megváltozása;</w:t>
      </w:r>
    </w:p>
    <w:p w14:paraId="14079978" w14:textId="77777777" w:rsidR="000760AB" w:rsidRPr="000760AB" w:rsidRDefault="000760AB" w:rsidP="00FD453F">
      <w:pPr>
        <w:numPr>
          <w:ilvl w:val="0"/>
          <w:numId w:val="33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bővítések, amennyiben a parkolóba történő beavatkozásra kerül sor, és a beavatkozással érintett egység vagy </w:t>
      </w:r>
      <w:r>
        <w:rPr>
          <w:rFonts w:ascii="Calibri" w:hAnsi="Calibri"/>
          <w:i/>
          <w:sz w:val="22"/>
        </w:rPr>
        <w:t xml:space="preserve"> használati egységek</w:t>
      </w:r>
      <w:r>
        <w:rPr>
          <w:rFonts w:ascii="Calibri" w:hAnsi="Calibri"/>
          <w:sz w:val="22"/>
        </w:rPr>
        <w:t xml:space="preserve"> területe vagy beépített térfogata több mint 10 %-kal nő, és a megnövekedett hasznos terület meghaladja az 50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-t;</w:t>
      </w:r>
    </w:p>
    <w:p w14:paraId="02973E61" w14:textId="77777777" w:rsidR="000760AB" w:rsidRPr="000760AB" w:rsidRDefault="000760AB" w:rsidP="00FD453F">
      <w:pPr>
        <w:numPr>
          <w:ilvl w:val="0"/>
          <w:numId w:val="33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olyan reformok, amelyek a parkolóba történő beavatkozásokat is magukban foglalnak, és amelyek az épület végleges </w:t>
      </w:r>
      <w:r>
        <w:rPr>
          <w:rFonts w:ascii="Calibri" w:hAnsi="Calibri"/>
          <w:i/>
          <w:sz w:val="22"/>
        </w:rPr>
        <w:t>hőszigetelő burkolata</w:t>
      </w:r>
      <w:r>
        <w:rPr>
          <w:rFonts w:ascii="Calibri" w:hAnsi="Calibri"/>
          <w:sz w:val="22"/>
        </w:rPr>
        <w:t xml:space="preserve"> teljes felületének több mint 25 %-át megújítják;</w:t>
      </w:r>
    </w:p>
    <w:p w14:paraId="7F40C209" w14:textId="77777777" w:rsidR="000760AB" w:rsidRPr="000760AB" w:rsidRDefault="000760AB" w:rsidP="00FD453F">
      <w:pPr>
        <w:numPr>
          <w:ilvl w:val="0"/>
          <w:numId w:val="33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az épület elektromos berendezésébe történő beavatkozások, amelyek az épületben a beavatkozást megelőzően beépített teljesítmény több mint 50 %-át érintik, amennyiben a parkoló az épületen belül található,</w:t>
      </w:r>
      <w:r>
        <w:rPr>
          <w:rFonts w:ascii="Calibri" w:hAnsi="Calibri"/>
          <w:sz w:val="22"/>
          <w:u w:color="FF0000"/>
        </w:rPr>
        <w:t>feltéve hogy az ilyen beavatkozást végző építtetőnek a parkoló területén cselekvési joga van</w:t>
      </w:r>
      <w:r>
        <w:rPr>
          <w:rFonts w:ascii="Calibri" w:hAnsi="Calibri"/>
          <w:sz w:val="22"/>
        </w:rPr>
        <w:t>;</w:t>
      </w:r>
    </w:p>
    <w:p w14:paraId="7260D951" w14:textId="77777777" w:rsidR="000760AB" w:rsidRPr="000760AB" w:rsidRDefault="000760AB" w:rsidP="00FD453F">
      <w:pPr>
        <w:numPr>
          <w:ilvl w:val="0"/>
          <w:numId w:val="33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strike/>
          <w:kern w:val="2"/>
          <w:sz w:val="22"/>
          <w:szCs w:val="22"/>
        </w:rPr>
      </w:pPr>
      <w:r>
        <w:rPr>
          <w:rFonts w:ascii="Calibri" w:hAnsi="Calibri"/>
          <w:sz w:val="22"/>
        </w:rPr>
        <w:t>a parkoló elektromos berendezésébe történő beavatkozások, amelyek a parkolóban a beavatkozás előtt beépített teljesítmény több mint 50 %-át érintik.</w:t>
      </w:r>
    </w:p>
    <w:p w14:paraId="087DE78C" w14:textId="77777777" w:rsidR="000760AB" w:rsidRPr="000760AB" w:rsidRDefault="000760AB" w:rsidP="00FD453F">
      <w:pPr>
        <w:numPr>
          <w:ilvl w:val="0"/>
          <w:numId w:val="34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 következők nem tartoznak a hatálya alá:</w:t>
      </w:r>
    </w:p>
    <w:p w14:paraId="6128A7B8" w14:textId="77777777" w:rsidR="000760AB" w:rsidRPr="000760AB" w:rsidRDefault="000760AB" w:rsidP="00FD453F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a) nem magánlakás céljára szolgáló épületek, amelyek parkolóterülete nem haladja meg a 10 parkolóhelyet;</w:t>
      </w:r>
    </w:p>
    <w:p w14:paraId="6FB73115" w14:textId="77777777" w:rsidR="000760AB" w:rsidRPr="000760AB" w:rsidRDefault="000760AB" w:rsidP="00FD453F">
      <w:pPr>
        <w:spacing w:before="6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b) a nem magánlakás céljára szolgáló, legfeljebb 20 parkolóhelyes meglévő épületek és a </w:t>
      </w:r>
      <w:r>
        <w:rPr>
          <w:rFonts w:ascii="Calibri" w:hAnsi="Calibri"/>
          <w:i/>
          <w:sz w:val="22"/>
        </w:rPr>
        <w:t>magánlakás céljára szolgáló</w:t>
      </w:r>
      <w:r>
        <w:rPr>
          <w:rFonts w:ascii="Calibri" w:hAnsi="Calibri"/>
          <w:sz w:val="22"/>
        </w:rPr>
        <w:t>meglévő épületek, amennyiben mindkét esetben az e bekezdésnek való megfelelés költsége meghaladja a megfelelési kötelezettséget kiváltó bővítés, használati mód változtatás vagy felújítási beavatkozás költségeinek 7 %-át. A fent említett beavatkozások költségének meghatározásához azok tényleges költségét kell figyelembe venni, azaz azok fizikai kivitelezési költségét;</w:t>
      </w:r>
    </w:p>
    <w:p w14:paraId="61E2DA67" w14:textId="77777777" w:rsidR="000760AB" w:rsidRPr="000760AB" w:rsidRDefault="000760AB" w:rsidP="00FD453F">
      <w:pPr>
        <w:spacing w:before="6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c) a védetté nyilvánított környezet részeként vagy különleges építészeti vagy történelmi értékük miatt hatóságilag védett épületek nem tartoznak e kötelezettségek hatálya alá, amennyiben az e szakaszban meghatározott követelmények betartása indokolatlanul megváltoztatná jellegüket vagy megjelenésüket, és a hatósági védelem hatósága határozza meg a megváltoztathatatlan elemeket.</w:t>
      </w:r>
      <w:bookmarkStart w:id="9" w:name="_Toc530396163"/>
      <w:bookmarkStart w:id="10" w:name="_Toc530395284"/>
    </w:p>
    <w:p w14:paraId="56E19149" w14:textId="77777777" w:rsidR="000760AB" w:rsidRPr="000760AB" w:rsidRDefault="000760AB" w:rsidP="000760AB">
      <w:pPr>
        <w:spacing w:before="60" w:after="60"/>
        <w:ind w:left="567"/>
        <w:jc w:val="both"/>
        <w:rPr>
          <w:rFonts w:ascii="Calibri" w:hAnsi="Calibri" w:cs="Calibri"/>
          <w:sz w:val="22"/>
          <w:szCs w:val="22"/>
        </w:rPr>
      </w:pPr>
    </w:p>
    <w:p w14:paraId="268F7EA1" w14:textId="77777777" w:rsidR="000760AB" w:rsidRPr="000760AB" w:rsidRDefault="000760AB" w:rsidP="000760AB">
      <w:pPr>
        <w:spacing w:before="6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követelmény leírása</w:t>
      </w:r>
      <w:bookmarkEnd w:id="9"/>
      <w:bookmarkEnd w:id="10"/>
    </w:p>
    <w:p w14:paraId="69F9A98C" w14:textId="77777777" w:rsidR="000760AB" w:rsidRPr="000760AB" w:rsidRDefault="000760AB" w:rsidP="000760AB">
      <w:pPr>
        <w:keepNext/>
        <w:widowControl w:val="0"/>
        <w:tabs>
          <w:tab w:val="left" w:pos="709"/>
        </w:tabs>
        <w:suppressAutoHyphens/>
        <w:spacing w:before="120" w:after="60"/>
        <w:ind w:left="284"/>
        <w:jc w:val="both"/>
        <w:textAlignment w:val="baseline"/>
        <w:outlineLvl w:val="1"/>
        <w:rPr>
          <w:rFonts w:ascii="Calibri" w:eastAsia="Noto Sans CJK SC Regular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 xml:space="preserve">Az épületeknek legalább olyan infrastruktúrával kell rendelkezniük, amely lehetővé teszi az </w:t>
      </w:r>
      <w:r>
        <w:rPr>
          <w:rFonts w:ascii="Calibri" w:hAnsi="Calibri"/>
          <w:i/>
          <w:sz w:val="22"/>
        </w:rPr>
        <w:t>elektromos járművek</w:t>
      </w:r>
      <w:r>
        <w:rPr>
          <w:rFonts w:ascii="Calibri" w:hAnsi="Calibri"/>
          <w:sz w:val="22"/>
        </w:rPr>
        <w:t xml:space="preserve"> töltését.</w:t>
      </w:r>
    </w:p>
    <w:p w14:paraId="29EA4F81" w14:textId="77777777" w:rsidR="000760AB" w:rsidRPr="000760AB" w:rsidRDefault="000760AB" w:rsidP="000760AB">
      <w:pPr>
        <w:keepNext/>
        <w:widowControl w:val="0"/>
        <w:tabs>
          <w:tab w:val="left" w:pos="709"/>
        </w:tabs>
        <w:suppressAutoHyphens/>
        <w:spacing w:before="120" w:after="60"/>
        <w:ind w:left="284"/>
        <w:jc w:val="both"/>
        <w:textAlignment w:val="baseline"/>
        <w:outlineLvl w:val="1"/>
        <w:rPr>
          <w:rFonts w:ascii="Calibri" w:eastAsia="Noto Sans CJK SC Regular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Ez az </w:t>
      </w:r>
      <w:r>
        <w:rPr>
          <w:rFonts w:ascii="Calibri" w:hAnsi="Calibri"/>
          <w:i/>
          <w:sz w:val="22"/>
        </w:rPr>
        <w:t>elektromos járműtöltő infrastruktúra</w:t>
      </w:r>
      <w:r>
        <w:rPr>
          <w:rFonts w:ascii="Calibri" w:hAnsi="Calibri"/>
          <w:sz w:val="22"/>
        </w:rPr>
        <w:t xml:space="preserve"> megfelel a hatályos kisfeszültségű elektrotechnikai rendelet és annak kiegészítő műszaki utasítása (ITC) BT 52 „Különleges rendeltetésű berendezések. Az </w:t>
      </w:r>
      <w:r>
        <w:rPr>
          <w:rFonts w:ascii="Calibri" w:hAnsi="Calibri"/>
          <w:i/>
          <w:sz w:val="22"/>
        </w:rPr>
        <w:t>elektromos járművek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lastRenderedPageBreak/>
        <w:t>feltöltésére szolgáló infrastruktúra” rendelkezéseinek.</w:t>
      </w:r>
      <w:bookmarkStart w:id="11" w:name="_Toc530396164"/>
      <w:bookmarkStart w:id="12" w:name="_Toc530395285"/>
    </w:p>
    <w:p w14:paraId="1CF8D411" w14:textId="77777777" w:rsidR="000760AB" w:rsidRPr="000760AB" w:rsidRDefault="000760AB" w:rsidP="000760AB">
      <w:pPr>
        <w:keepNext/>
        <w:widowControl w:val="0"/>
        <w:tabs>
          <w:tab w:val="left" w:pos="709"/>
        </w:tabs>
        <w:suppressAutoHyphens/>
        <w:spacing w:before="120" w:after="60"/>
        <w:ind w:left="284"/>
        <w:jc w:val="both"/>
        <w:textAlignment w:val="baseline"/>
        <w:outlineLvl w:val="1"/>
        <w:rPr>
          <w:rFonts w:ascii="Calibri" w:eastAsia="Noto Sans CJK SC Regular" w:hAnsi="Calibri" w:cs="Calibri"/>
          <w:kern w:val="2"/>
          <w:sz w:val="22"/>
          <w:szCs w:val="22"/>
          <w:lang w:eastAsia="zh-CN" w:bidi="hi-IN"/>
        </w:rPr>
      </w:pPr>
    </w:p>
    <w:p w14:paraId="10EC5F9A" w14:textId="77777777" w:rsidR="000760AB" w:rsidRPr="000760AB" w:rsidRDefault="000760AB" w:rsidP="000760AB">
      <w:pPr>
        <w:keepNext/>
        <w:widowControl w:val="0"/>
        <w:tabs>
          <w:tab w:val="left" w:pos="709"/>
        </w:tabs>
        <w:suppressAutoHyphens/>
        <w:spacing w:before="120" w:after="60"/>
        <w:ind w:left="284"/>
        <w:jc w:val="both"/>
        <w:textAlignment w:val="baseline"/>
        <w:outlineLvl w:val="1"/>
        <w:rPr>
          <w:rFonts w:ascii="Calibri" w:eastAsia="Noto Sans CJK SC Regular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ab/>
        <w:t>A követelmény számszerűsítése</w:t>
      </w:r>
      <w:bookmarkEnd w:id="11"/>
      <w:bookmarkEnd w:id="12"/>
    </w:p>
    <w:p w14:paraId="571C5F1A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 xml:space="preserve">A </w:t>
      </w:r>
      <w:r>
        <w:rPr>
          <w:rFonts w:ascii="Calibri" w:hAnsi="Calibri"/>
          <w:i/>
          <w:sz w:val="22"/>
        </w:rPr>
        <w:t>magánlakás célú</w:t>
      </w:r>
      <w:r>
        <w:rPr>
          <w:rFonts w:ascii="Calibri" w:hAnsi="Calibri"/>
          <w:sz w:val="22"/>
        </w:rPr>
        <w:t xml:space="preserve"> épületekben olyan vezetékrendszereket telepítenek, amelyek lehetővé teszik a parkolóhelyek 100 %-ának </w:t>
      </w:r>
      <w:r>
        <w:rPr>
          <w:rFonts w:ascii="Calibri" w:hAnsi="Calibri"/>
          <w:i/>
          <w:sz w:val="22"/>
        </w:rPr>
        <w:t>töltőállomásokhoz</w:t>
      </w:r>
      <w:r>
        <w:rPr>
          <w:rFonts w:ascii="Calibri" w:hAnsi="Calibri"/>
          <w:sz w:val="22"/>
        </w:rPr>
        <w:t xml:space="preserve"> való jövőbeli ellátását.</w:t>
      </w:r>
    </w:p>
    <w:p w14:paraId="76793F36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 xml:space="preserve">A nem magánlakás céljára szolgáló épületekben olyan vezetékrendszereket kell kiépíteni, amelyek lehetővé teszik a parkolóhelyek legalább 20 %-ának </w:t>
      </w:r>
      <w:r>
        <w:rPr>
          <w:rFonts w:ascii="Calibri" w:hAnsi="Calibri"/>
          <w:i/>
          <w:sz w:val="22"/>
        </w:rPr>
        <w:t>töltőállomásokhoz</w:t>
      </w:r>
      <w:r>
        <w:rPr>
          <w:rFonts w:ascii="Calibri" w:hAnsi="Calibri"/>
          <w:sz w:val="22"/>
        </w:rPr>
        <w:t xml:space="preserve"> való jövőbeli ellátását.</w:t>
      </w:r>
    </w:p>
    <w:p w14:paraId="247AE17F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Ezenkívül minden 40 parkolóhelyre vagy annak töredékére egy </w:t>
      </w:r>
      <w:r>
        <w:rPr>
          <w:rFonts w:ascii="Calibri" w:hAnsi="Calibri"/>
          <w:i/>
          <w:sz w:val="22"/>
        </w:rPr>
        <w:t>töltőállomást</w:t>
      </w:r>
      <w:r>
        <w:rPr>
          <w:rFonts w:ascii="Calibri" w:hAnsi="Calibri"/>
          <w:sz w:val="22"/>
        </w:rPr>
        <w:t xml:space="preserve"> kell telepíteni.</w:t>
      </w:r>
    </w:p>
    <w:p w14:paraId="192987C0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 általános államigazgatás vagy a hozzá kapcsolódó vagy tőle függő közintézmények tulajdonában lévő, nem magánlakás céljára szolgáló épületekben az általánosan meghatározottnál nagyobb mértékűnek kell lennie, és minden 20 parkolóhelyre vagy annak töredékére</w:t>
      </w:r>
      <w:r>
        <w:rPr>
          <w:rFonts w:ascii="Calibri" w:hAnsi="Calibri"/>
          <w:color w:val="1F497D"/>
          <w:sz w:val="22"/>
        </w:rPr>
        <w:t xml:space="preserve"> </w:t>
      </w:r>
      <w:r>
        <w:rPr>
          <w:rFonts w:ascii="Calibri" w:hAnsi="Calibri"/>
          <w:sz w:val="22"/>
        </w:rPr>
        <w:t xml:space="preserve">egy </w:t>
      </w:r>
      <w:r>
        <w:rPr>
          <w:rFonts w:ascii="Calibri" w:hAnsi="Calibri"/>
          <w:i/>
          <w:sz w:val="22"/>
        </w:rPr>
        <w:t>töltőállomást</w:t>
      </w:r>
      <w:r>
        <w:rPr>
          <w:rFonts w:ascii="Calibri" w:hAnsi="Calibri"/>
          <w:sz w:val="22"/>
        </w:rPr>
        <w:t xml:space="preserve"> kell telepíteni.</w:t>
      </w:r>
    </w:p>
    <w:p w14:paraId="69499695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Az akadálymentes parkolóhelyekkel rendelkező parkolók esetében a használat biztonságáról és akadálymentesítéséről szóló alapdokumentumban (DB SUA) meghatározottak szerint minden 5 akadálymentes parkolóhelyre egy </w:t>
      </w:r>
      <w:r>
        <w:rPr>
          <w:rFonts w:ascii="Calibri" w:hAnsi="Calibri"/>
          <w:i/>
          <w:sz w:val="22"/>
        </w:rPr>
        <w:t>töltőállomást</w:t>
      </w:r>
      <w:r>
        <w:rPr>
          <w:rFonts w:ascii="Calibri" w:hAnsi="Calibri"/>
          <w:sz w:val="22"/>
        </w:rPr>
        <w:t xml:space="preserve"> kell telepíteni. Az ezeken a helyeken lévő </w:t>
      </w:r>
      <w:r>
        <w:rPr>
          <w:rFonts w:ascii="Calibri" w:hAnsi="Calibri"/>
          <w:i/>
          <w:sz w:val="22"/>
        </w:rPr>
        <w:t>töltőállomásokat</w:t>
      </w:r>
      <w:r>
        <w:rPr>
          <w:rFonts w:ascii="Calibri" w:hAnsi="Calibri"/>
          <w:sz w:val="22"/>
        </w:rPr>
        <w:t xml:space="preserve"> a követelmény számszerűsítésének teljesítése céljából számításba kell venni.</w:t>
      </w:r>
    </w:p>
    <w:p w14:paraId="4722B70F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ab/>
        <w:t xml:space="preserve">Azokra az épületekre, amelyekben a </w:t>
      </w:r>
      <w:r>
        <w:rPr>
          <w:rFonts w:ascii="Calibri" w:hAnsi="Calibri"/>
          <w:i/>
          <w:sz w:val="22"/>
        </w:rPr>
        <w:t xml:space="preserve">magánlakás </w:t>
      </w:r>
      <w:r>
        <w:rPr>
          <w:rFonts w:ascii="Calibri" w:hAnsi="Calibri"/>
          <w:sz w:val="22"/>
        </w:rPr>
        <w:t>céljára szolgáló egységek és a más célú használatra szolgáló egységek együtt vannak, és ahol az egyes használatokhoz kapcsolódó parkolóhelyek nincsenek egyértelműen elkülönítve, az épület jellegzetes használatára vonatkozó kritériumot kell alkalmazni.</w:t>
      </w:r>
      <w:bookmarkStart w:id="13" w:name="_Toc530396167"/>
      <w:bookmarkStart w:id="14" w:name="_Toc530395288"/>
    </w:p>
    <w:p w14:paraId="19D587A1" w14:textId="77777777" w:rsidR="000760AB" w:rsidRPr="000760AB" w:rsidRDefault="000760AB" w:rsidP="000760AB">
      <w:pPr>
        <w:spacing w:before="120" w:after="60"/>
        <w:ind w:left="567"/>
        <w:jc w:val="both"/>
        <w:rPr>
          <w:rFonts w:ascii="Calibri" w:hAnsi="Calibri" w:cs="Calibri"/>
          <w:sz w:val="22"/>
          <w:szCs w:val="22"/>
        </w:rPr>
      </w:pPr>
    </w:p>
    <w:p w14:paraId="2FC0E269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4</w:t>
      </w:r>
      <w:r>
        <w:rPr>
          <w:rFonts w:ascii="Calibri" w:hAnsi="Calibri"/>
          <w:sz w:val="22"/>
        </w:rPr>
        <w:tab/>
        <w:t>A követelmény indokolása</w:t>
      </w:r>
      <w:bookmarkEnd w:id="13"/>
      <w:bookmarkEnd w:id="14"/>
    </w:p>
    <w:p w14:paraId="15BAB575" w14:textId="77777777" w:rsidR="000760AB" w:rsidRPr="000760AB" w:rsidRDefault="000760AB" w:rsidP="000760AB">
      <w:pPr>
        <w:spacing w:before="24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>Annak igazolására, hogy egy épület megfelel ezen alapdokumentum követelményeinek, a tervdokumentációnak tartalmaznia kell az épületre vagy annak megfelelő részére vonatkozó alábbi információkat:</w:t>
      </w:r>
    </w:p>
    <w:p w14:paraId="36CFFEC7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a) a méretezéshez használt kapcsolási rajz, a Kisfeszültségű Elektrotechnikai Szabályzatban leírtak szerint;</w:t>
      </w:r>
    </w:p>
    <w:p w14:paraId="646DF7C0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b) a gerincvezeték és az előkészített vezetékek leírása, feltüntetve a vezetékes rendszerű parkolóhelyek százalékos arányát és a minimálisan szükséges százalékos arányt;</w:t>
      </w:r>
    </w:p>
    <w:p w14:paraId="69C66A52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c) a telepített </w:t>
      </w:r>
      <w:r>
        <w:rPr>
          <w:rFonts w:ascii="Calibri" w:hAnsi="Calibri"/>
          <w:i/>
          <w:sz w:val="22"/>
        </w:rPr>
        <w:t>töltőállomások</w:t>
      </w:r>
      <w:r>
        <w:rPr>
          <w:rFonts w:ascii="Calibri" w:hAnsi="Calibri"/>
          <w:sz w:val="22"/>
        </w:rPr>
        <w:t xml:space="preserve"> száma és az igény számszerűsítéséből adódó minimális szám;</w:t>
      </w:r>
    </w:p>
    <w:p w14:paraId="7BE9C95E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d) a </w:t>
      </w:r>
      <w:r>
        <w:rPr>
          <w:rFonts w:ascii="Calibri" w:hAnsi="Calibri"/>
          <w:i/>
          <w:sz w:val="22"/>
        </w:rPr>
        <w:t>töltőállomások</w:t>
      </w:r>
      <w:r>
        <w:rPr>
          <w:rFonts w:ascii="Calibri" w:hAnsi="Calibri"/>
          <w:sz w:val="22"/>
        </w:rPr>
        <w:t xml:space="preserve"> típusai és teljesítményük.</w:t>
      </w:r>
      <w:bookmarkStart w:id="15" w:name="_Toc530396168"/>
      <w:bookmarkStart w:id="16" w:name="_Toc530395289"/>
    </w:p>
    <w:p w14:paraId="52DF0579" w14:textId="77777777" w:rsidR="000760AB" w:rsidRPr="000760AB" w:rsidRDefault="000760AB" w:rsidP="000760AB">
      <w:pPr>
        <w:suppressAutoHyphens/>
        <w:spacing w:before="60" w:after="60"/>
        <w:ind w:left="567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  <w:lang w:eastAsia="zh-CN" w:bidi="hi-IN"/>
        </w:rPr>
      </w:pPr>
    </w:p>
    <w:p w14:paraId="50E1C334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ab/>
        <w:t>Építés, karbantartás és fenntartás</w:t>
      </w:r>
      <w:bookmarkEnd w:id="15"/>
      <w:bookmarkEnd w:id="16"/>
    </w:p>
    <w:p w14:paraId="000A9057" w14:textId="77777777" w:rsidR="000760AB" w:rsidRPr="000760AB" w:rsidRDefault="000760AB" w:rsidP="000760AB">
      <w:pPr>
        <w:keepNext/>
        <w:spacing w:before="200" w:after="100"/>
        <w:ind w:left="284"/>
        <w:jc w:val="both"/>
        <w:outlineLvl w:val="2"/>
        <w:rPr>
          <w:rFonts w:ascii="Calibri" w:eastAsia="Arial" w:hAnsi="Calibri" w:cs="Calibri"/>
          <w:kern w:val="2"/>
          <w:sz w:val="22"/>
          <w:szCs w:val="22"/>
        </w:rPr>
      </w:pPr>
      <w:bookmarkStart w:id="17" w:name="_Toc530396169"/>
      <w:bookmarkStart w:id="18" w:name="_Toc530395290"/>
      <w:r>
        <w:rPr>
          <w:rFonts w:ascii="Calibri" w:hAnsi="Calibri"/>
          <w:sz w:val="22"/>
        </w:rPr>
        <w:t>5.1. Kivitelezés</w:t>
      </w:r>
      <w:bookmarkEnd w:id="17"/>
      <w:bookmarkEnd w:id="18"/>
    </w:p>
    <w:p w14:paraId="3050030B" w14:textId="77777777" w:rsidR="000760AB" w:rsidRPr="000760AB" w:rsidRDefault="000760AB" w:rsidP="000760AB">
      <w:pPr>
        <w:spacing w:before="6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 xml:space="preserve">Az épület kivitelezési munkálatait a projektnek és annak az építésvezető által engedélyezett módosításainak megfelelően kell elvégezni, a projektgazda beleegyezése, az alkalmazandó jogszabályok, a Kisfeszültségű Elektrotechnikai Szabályzat előírásai és az ITC BT-52 „Különleges célú berendezések. Az </w:t>
      </w:r>
      <w:r>
        <w:rPr>
          <w:rFonts w:ascii="Calibri" w:hAnsi="Calibri"/>
          <w:i/>
          <w:sz w:val="22"/>
        </w:rPr>
        <w:t>elektromos járművek</w:t>
      </w:r>
      <w:r>
        <w:rPr>
          <w:rFonts w:ascii="Calibri" w:hAnsi="Calibri"/>
          <w:sz w:val="22"/>
        </w:rPr>
        <w:t xml:space="preserve"> töltésére szolgáló infrastruktúra” című kiegészítő műszaki utasításban foglaltak szerint, a helyes építési gyakorlat szabványainak, valamint az építésvezető és a projektvégrehajtásért felelős vezető utasításainak megfelelően, a CTE I. részének 7. cikkében említettek szerint.</w:t>
      </w:r>
    </w:p>
    <w:p w14:paraId="089181A3" w14:textId="77777777" w:rsidR="000760AB" w:rsidRPr="000760AB" w:rsidRDefault="000760AB" w:rsidP="000760AB">
      <w:pPr>
        <w:keepNext/>
        <w:spacing w:before="200" w:after="100"/>
        <w:ind w:left="284"/>
        <w:jc w:val="both"/>
        <w:outlineLvl w:val="2"/>
        <w:rPr>
          <w:rFonts w:ascii="Calibri" w:eastAsia="Arial" w:hAnsi="Calibri" w:cs="Calibri"/>
          <w:kern w:val="2"/>
          <w:sz w:val="22"/>
          <w:szCs w:val="22"/>
        </w:rPr>
      </w:pPr>
      <w:bookmarkStart w:id="19" w:name="_Toc530396170"/>
      <w:bookmarkStart w:id="20" w:name="_Toc530395291"/>
      <w:r>
        <w:rPr>
          <w:rFonts w:ascii="Calibri" w:hAnsi="Calibri"/>
          <w:sz w:val="22"/>
        </w:rPr>
        <w:lastRenderedPageBreak/>
        <w:t>5.2. Az építési munkálatok kivitelezésének nyomon követése</w:t>
      </w:r>
      <w:bookmarkEnd w:id="19"/>
      <w:bookmarkEnd w:id="20"/>
    </w:p>
    <w:p w14:paraId="5126F3A6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 xml:space="preserve">A </w:t>
      </w:r>
      <w:r>
        <w:rPr>
          <w:rFonts w:ascii="Calibri" w:hAnsi="Calibri"/>
          <w:color w:val="FF0000"/>
          <w:sz w:val="22"/>
        </w:rPr>
        <w:t xml:space="preserve"> </w:t>
      </w:r>
      <w:r>
        <w:rPr>
          <w:rFonts w:ascii="Calibri" w:hAnsi="Calibri"/>
          <w:sz w:val="22"/>
        </w:rPr>
        <w:t>munkálatok elvégzését a projektleírás, annak mellékletei és az építésvezető által engedélyezett módosítások, valamint a projekt megvalósításáért felelős vezető utasításai szerint, a Kisfeszültségű Elektrotechnikai Szabályzat előírásait követve, a CTE I. része 7. cikkének (3) bekezdésével és más vonatkozó előírásokkal összhangban kell ellenőrizni.</w:t>
      </w:r>
    </w:p>
    <w:p w14:paraId="5E5E124D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munkálatok elvégzését ellenőrizni kell annak biztosítása érdekében, hogy az ellenőrzéseket a projektspecifikációknak megfelelően az előírt gyakorisággal végezzék el.</w:t>
      </w:r>
    </w:p>
    <w:p w14:paraId="59F0FC7F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ab/>
        <w:t>A kivitelezés során végrehajtott módosításokat a befejezett munkadokumentációban rögzíteni kell, és minden esetben teljesíteni kell az ebben az alapdokumentumban meghatározott minimumfeltételeket.</w:t>
      </w:r>
    </w:p>
    <w:p w14:paraId="0D137CE4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4</w:t>
      </w:r>
      <w:r>
        <w:rPr>
          <w:rFonts w:ascii="Calibri" w:hAnsi="Calibri"/>
          <w:sz w:val="22"/>
        </w:rPr>
        <w:tab/>
        <w:t>Az épületbe beépített termékek, berendezések és rendszerek jellemzőire vonatkozó dokumentációt az Építési Könyvben kell feltüntetni.</w:t>
      </w:r>
    </w:p>
    <w:p w14:paraId="3FAAE7C2" w14:textId="77777777" w:rsidR="000760AB" w:rsidRPr="000760AB" w:rsidRDefault="000760AB" w:rsidP="00FD453F">
      <w:pPr>
        <w:keepNext/>
        <w:spacing w:before="200" w:after="100"/>
        <w:ind w:left="284"/>
        <w:jc w:val="both"/>
        <w:outlineLvl w:val="2"/>
        <w:rPr>
          <w:rFonts w:ascii="Calibri" w:eastAsia="Arial" w:hAnsi="Calibri" w:cs="Calibri"/>
          <w:kern w:val="2"/>
          <w:sz w:val="22"/>
          <w:szCs w:val="22"/>
        </w:rPr>
      </w:pPr>
      <w:bookmarkStart w:id="21" w:name="_Toc530396171"/>
      <w:bookmarkStart w:id="22" w:name="_Toc530395292"/>
      <w:r>
        <w:rPr>
          <w:rFonts w:ascii="Calibri" w:hAnsi="Calibri"/>
          <w:sz w:val="22"/>
        </w:rPr>
        <w:t>5.3. A befejezett munkálatok ellenőrzése</w:t>
      </w:r>
      <w:bookmarkEnd w:id="21"/>
      <w:bookmarkEnd w:id="22"/>
    </w:p>
    <w:p w14:paraId="1A89C868" w14:textId="77777777" w:rsidR="000760AB" w:rsidRPr="000760AB" w:rsidRDefault="000760AB" w:rsidP="00FD453F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>A befejezett munkák ellenőrzésének a CTE I. része 7. cikkének (4) bekezdésében meghatározott kritériumokat kell követnie.</w:t>
      </w:r>
    </w:p>
    <w:p w14:paraId="32DA09D6" w14:textId="77777777" w:rsidR="000760AB" w:rsidRPr="000760AB" w:rsidRDefault="000760AB" w:rsidP="00FD453F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Az alapdokumentum e szakasza nem írja elő a végső vizsgálatokat.</w:t>
      </w:r>
    </w:p>
    <w:p w14:paraId="71B8183A" w14:textId="77777777" w:rsidR="000760AB" w:rsidRPr="000760AB" w:rsidRDefault="000760AB" w:rsidP="00FD453F">
      <w:pPr>
        <w:keepNext/>
        <w:spacing w:before="200" w:after="100"/>
        <w:ind w:left="284"/>
        <w:jc w:val="both"/>
        <w:outlineLvl w:val="2"/>
        <w:rPr>
          <w:rFonts w:ascii="Calibri" w:eastAsia="Arial" w:hAnsi="Calibri" w:cs="Calibri"/>
          <w:kern w:val="2"/>
          <w:sz w:val="22"/>
          <w:szCs w:val="22"/>
        </w:rPr>
      </w:pPr>
      <w:bookmarkStart w:id="23" w:name="_Toc530396172"/>
      <w:bookmarkStart w:id="24" w:name="_Toc530395293"/>
      <w:r>
        <w:rPr>
          <w:rFonts w:ascii="Calibri" w:hAnsi="Calibri"/>
          <w:sz w:val="22"/>
        </w:rPr>
        <w:t>5.4. Az épület karbantartása és fenntartása</w:t>
      </w:r>
      <w:bookmarkEnd w:id="23"/>
      <w:bookmarkEnd w:id="24"/>
    </w:p>
    <w:p w14:paraId="3E865FD5" w14:textId="77777777" w:rsidR="000760AB" w:rsidRPr="000760AB" w:rsidRDefault="000760AB" w:rsidP="00FD453F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 xml:space="preserve">Az Építési Könyvben szereplő karbantartási tervnek tartalmaznia kell az </w:t>
      </w:r>
      <w:r>
        <w:rPr>
          <w:rFonts w:ascii="Calibri" w:hAnsi="Calibri"/>
          <w:i/>
          <w:sz w:val="22"/>
        </w:rPr>
        <w:t>elektromos járműtöltő infrastruktúra</w:t>
      </w:r>
      <w:r>
        <w:rPr>
          <w:rFonts w:ascii="Calibri" w:hAnsi="Calibri"/>
          <w:sz w:val="22"/>
        </w:rPr>
        <w:t xml:space="preserve"> tervezési és teljesítményparamétereinek idővel történő karbantartásához szükséges műveleteket és azok gyakoriságát.</w:t>
      </w:r>
    </w:p>
    <w:p w14:paraId="44174479" w14:textId="77777777" w:rsidR="000760AB" w:rsidRPr="000760AB" w:rsidRDefault="000760AB" w:rsidP="00FD453F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Hasonlóképpen, az Építési Könyv dokumentál minden beavatkozást, legyen az javítás, felújítás vagy rehabilitáció, amelyet az épület teljes élettartama alatt elvégeztek</w:t>
      </w:r>
    </w:p>
    <w:p w14:paraId="4BAAA47B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mm) Az A. mellékletben az „kezdeti megvilágítás” és a „visszaverődés” kifejezést el kell hagyni.</w:t>
      </w:r>
    </w:p>
    <w:p w14:paraId="6C74EA4F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nn) Az A. mellékletben a „</w:t>
      </w:r>
      <w:r>
        <w:rPr>
          <w:rFonts w:ascii="Calibri" w:hAnsi="Calibri"/>
          <w:i/>
          <w:sz w:val="22"/>
        </w:rPr>
        <w:t>Teljes hőátbocsátási együttható (az épület hőszigetelő burkolatán keresztül</w:t>
      </w:r>
      <w:r>
        <w:rPr>
          <w:rFonts w:ascii="Calibri" w:hAnsi="Calibri"/>
          <w:sz w:val="22"/>
        </w:rPr>
        <w:t>) (K)” fogalommeghatározásban, ahol a következő áll: „... K = X Hx/Aint...” szövegrész helyébe a következő lép, a két „x” és az „int” alsó indexbe kerül: „... K = Σ</w:t>
      </w:r>
      <w:r>
        <w:rPr>
          <w:rFonts w:ascii="Calibri" w:hAnsi="Calibri"/>
          <w:sz w:val="22"/>
          <w:vertAlign w:val="subscript"/>
        </w:rPr>
        <w:t>x</w:t>
      </w:r>
      <w:r>
        <w:rPr>
          <w:rFonts w:ascii="Calibri" w:hAnsi="Calibri"/>
          <w:sz w:val="22"/>
        </w:rPr>
        <w:t xml:space="preserve"> H</w:t>
      </w:r>
      <w:r>
        <w:rPr>
          <w:rFonts w:ascii="Calibri" w:hAnsi="Calibri"/>
          <w:sz w:val="22"/>
          <w:vertAlign w:val="subscript"/>
        </w:rPr>
        <w:t>x</w:t>
      </w:r>
      <w:r>
        <w:rPr>
          <w:rFonts w:ascii="Calibri" w:hAnsi="Calibri"/>
          <w:sz w:val="22"/>
        </w:rPr>
        <w:t xml:space="preserve"> / A</w:t>
      </w:r>
      <w:r>
        <w:rPr>
          <w:rFonts w:ascii="Calibri" w:hAnsi="Calibri"/>
          <w:sz w:val="22"/>
          <w:vertAlign w:val="subscript"/>
        </w:rPr>
        <w:t>int</w:t>
      </w:r>
      <w:r>
        <w:rPr>
          <w:rFonts w:ascii="Calibri" w:hAnsi="Calibri"/>
          <w:sz w:val="22"/>
        </w:rPr>
        <w:t>...", a „parietodinamikai falak” és a „Trombe-falak” kifejezéseket dőlt betűvel kell szedni.</w:t>
      </w:r>
    </w:p>
    <w:p w14:paraId="5C4DBA8E" w14:textId="77777777" w:rsidR="000760AB" w:rsidRPr="000760AB" w:rsidRDefault="000760AB" w:rsidP="000760AB">
      <w:pPr>
        <w:spacing w:after="160" w:line="259" w:lineRule="auto"/>
        <w:ind w:left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CFABC1E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ññ) Az A. mellékletben a „Tömörség” meghatározásában a második bekezdésben a „tömörség” szót dőlt betűvel kell szedni.</w:t>
      </w:r>
    </w:p>
    <w:p w14:paraId="2A0F9F45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oo) Az A. mellékletben az „Üzemeltetési feltételek” meghatározásában a „magánlakás célú felhasználás” kifejezést dőlt betűvel kell szedni.</w:t>
      </w:r>
    </w:p>
    <w:p w14:paraId="345DE1C6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pp) Az A. mellékletben a „Nem megújuló primerenergia-fogyasztás” fogalommeghatározásban, ahol a következő áll: „... Nem megújuló primerenergia-fogyasztás...” helyébe a következő lép, és az „ep,nren” alsó indexbe kerül: „... Nem megújuló primerenergia-fogyasztás (C</w:t>
      </w:r>
      <w:r>
        <w:rPr>
          <w:rFonts w:ascii="Calibri" w:hAnsi="Calibri"/>
          <w:sz w:val="22"/>
          <w:vertAlign w:val="subscript"/>
        </w:rPr>
        <w:t>ep,nren</w:t>
      </w:r>
      <w:r>
        <w:rPr>
          <w:rFonts w:ascii="Calibri" w:hAnsi="Calibri"/>
          <w:sz w:val="22"/>
        </w:rPr>
        <w:t>)...”.</w:t>
      </w:r>
    </w:p>
    <w:p w14:paraId="10AB3C41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4333C7E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qq) Az A. mellékletben a „Teljes primerenergia-fogyasztás” fogalommeghatározásban, ahol a következő áll: „... Teljes primerenergia-fogyasztás...” helyébe a következő lép, és az „ep,tot” alsó indexbe kerül: „... Teljes primerenergia-fogyasztás (C</w:t>
      </w:r>
      <w:r>
        <w:rPr>
          <w:rFonts w:ascii="Calibri" w:hAnsi="Calibri"/>
          <w:sz w:val="22"/>
          <w:vertAlign w:val="subscript"/>
        </w:rPr>
        <w:t>ep,tot</w:t>
      </w:r>
      <w:r>
        <w:rPr>
          <w:rFonts w:ascii="Calibri" w:hAnsi="Calibri"/>
          <w:sz w:val="22"/>
        </w:rPr>
        <w:t>)...”.</w:t>
      </w:r>
    </w:p>
    <w:p w14:paraId="0CA46E11" w14:textId="77777777" w:rsidR="000760AB" w:rsidRPr="000760AB" w:rsidRDefault="000760AB" w:rsidP="000760AB">
      <w:pPr>
        <w:spacing w:after="160" w:line="259" w:lineRule="auto"/>
        <w:ind w:left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B1F2FCF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rr) Az A. mellékletben a „napelemes szabályozás (q</w:t>
      </w:r>
      <w:r>
        <w:rPr>
          <w:rFonts w:ascii="Calibri" w:hAnsi="Calibri"/>
          <w:sz w:val="22"/>
          <w:vertAlign w:val="subscript"/>
        </w:rPr>
        <w:t>sol;jul</w:t>
      </w:r>
      <w:r>
        <w:rPr>
          <w:rFonts w:ascii="Calibri" w:hAnsi="Calibri"/>
          <w:sz w:val="22"/>
        </w:rPr>
        <w:t>)” fogalommeghatározásban, ahol a következő áll: „... a helyiségek hasznos felülete...” helyesen: „... a lakóterek hasznos felülete...”. A „Hsol;jul” képlet összetevőjének meghatározása végén lévő pont és új bekezdés helyébe pontosvessző lép, és a képlet egy másik összetevőjének meghatározása a következőképpen egészül ki:</w:t>
      </w:r>
    </w:p>
    <w:p w14:paraId="1679E36E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„A</w:t>
      </w:r>
      <w:r>
        <w:rPr>
          <w:rFonts w:ascii="Calibri" w:hAnsi="Calibri"/>
          <w:sz w:val="22"/>
          <w:vertAlign w:val="subscript"/>
        </w:rPr>
        <w:t>util</w:t>
      </w:r>
      <w:r>
        <w:rPr>
          <w:rFonts w:ascii="Calibri" w:hAnsi="Calibri"/>
          <w:sz w:val="22"/>
        </w:rPr>
        <w:tab/>
        <w:t>olyan terület, amely megfelel a HE 0. 4.6. szakaszának.”</w:t>
      </w:r>
    </w:p>
    <w:p w14:paraId="5D16B486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ss) Az A. mellékletben a „Végső energia” fogalommeghatározásban az „A fogyasztók által közvetlenül felhasznált villamos energia vagy tüzelőanyagok formájában vásárolt energia” kifejezés helyébe az „Az épületrendszerek számára a szolgáltatások nyújtása érdekében szolgáltatott energia” kifejezés lép; ezt jellemzően tüzelőanyagok, helyszíni termelés vagy speciális hálózatok (villamos energia, gáz, távfűtés vagy hűtés stb.) révén biztosítják”.</w:t>
      </w:r>
    </w:p>
    <w:p w14:paraId="4B18500C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tt) Az A. mellékletben a „Kondicionált lakóterület” fogalommeghatározásban a „magáncélú lakáshasználat” kifejezést dőlt betűvel kell szedni.</w:t>
      </w:r>
    </w:p>
    <w:p w14:paraId="7EC3AE41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uu) Az A. mellékletben a „Használati időszak” meghatározásában a második bekezdésben a „magáncélú lakáshasználat" kifejezést dőlt betűvel kell szedni.</w:t>
      </w:r>
    </w:p>
    <w:p w14:paraId="3400E1E9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vv) Az A. mellékletben a „Hőátadás (U-érték)" fogalommeghatározás a következő mondattal egészül ki a fogalommeghatározás végén:</w:t>
      </w:r>
    </w:p>
    <w:p w14:paraId="20E76982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„W/m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K-ban kifejezve.”</w:t>
      </w:r>
    </w:p>
    <w:p w14:paraId="68C76D1A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ww) Az A. mellékletben a „létesítmény energiahatékonysági értéke (VEEI)” fogalommeghatározásban a „magáncélú lakáshasználat” kifejezést dőlt betűvel kell szedni.</w:t>
      </w:r>
    </w:p>
    <w:p w14:paraId="45B16639" w14:textId="77777777" w:rsidR="000760AB" w:rsidRPr="000760AB" w:rsidRDefault="000760AB" w:rsidP="000760AB">
      <w:pPr>
        <w:spacing w:after="160" w:line="259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xx) A következő fogalmakat az A. melléklet „Terminológia” tartalmazza:</w:t>
      </w:r>
    </w:p>
    <w:p w14:paraId="41AB6223" w14:textId="77777777" w:rsidR="000760AB" w:rsidRPr="000760AB" w:rsidRDefault="000760AB" w:rsidP="00FD453F">
      <w:pPr>
        <w:spacing w:before="200" w:after="12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„</w:t>
      </w:r>
      <w:r>
        <w:rPr>
          <w:rFonts w:ascii="Calibri" w:hAnsi="Calibri"/>
          <w:b/>
          <w:i/>
          <w:sz w:val="22"/>
        </w:rPr>
        <w:t>Kiegészítő berendezések</w:t>
      </w:r>
      <w:r>
        <w:rPr>
          <w:rFonts w:ascii="Calibri" w:hAnsi="Calibri"/>
          <w:b/>
          <w:sz w:val="22"/>
        </w:rPr>
        <w:t xml:space="preserve">: </w:t>
      </w:r>
      <w:r>
        <w:rPr>
          <w:rFonts w:ascii="Calibri" w:hAnsi="Calibri"/>
          <w:sz w:val="22"/>
        </w:rPr>
        <w:t>a világításhoz kapcsolódó elektromos vagy elektronikus berendezések, amelyek minden egyes típusú lámpa esetében eltérők, és amelyek funkciója az üzemi feltételek biztosítása és szabályozása. Ezeket a kiegészítő berendezéseket, kivéve, ha elektronikusak, indítószerkezet, ballaszt és kondenzátor kombinációja alkotják.</w:t>
      </w:r>
    </w:p>
    <w:p w14:paraId="66E0B2DA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bCs/>
          <w:iCs/>
          <w:kern w:val="2"/>
          <w:sz w:val="22"/>
          <w:szCs w:val="22"/>
        </w:rPr>
      </w:pPr>
      <w:r>
        <w:rPr>
          <w:rFonts w:ascii="Calibri" w:hAnsi="Calibri"/>
          <w:sz w:val="22"/>
        </w:rPr>
        <w:t>„</w:t>
      </w:r>
      <w:r>
        <w:rPr>
          <w:rFonts w:ascii="Calibri" w:hAnsi="Calibri"/>
          <w:b/>
          <w:i/>
          <w:sz w:val="22"/>
        </w:rPr>
        <w:t>Töltőállomás</w:t>
      </w:r>
      <w:r>
        <w:rPr>
          <w:rFonts w:ascii="Calibri" w:hAnsi="Calibri"/>
          <w:b/>
          <w:sz w:val="22"/>
        </w:rPr>
        <w:t xml:space="preserve">: </w:t>
      </w:r>
      <w:r>
        <w:rPr>
          <w:rFonts w:ascii="Calibri" w:hAnsi="Calibri"/>
          <w:sz w:val="22"/>
        </w:rPr>
        <w:t xml:space="preserve">az elektromos járműnek a töltéshez szükséges helyhez kötött elektromos berendezéshez való csatlakoztatásához szükséges elemek összessége. A </w:t>
      </w:r>
      <w:r>
        <w:rPr>
          <w:rFonts w:ascii="Calibri" w:hAnsi="Calibri"/>
          <w:i/>
          <w:sz w:val="22"/>
        </w:rPr>
        <w:t>töltőállomások</w:t>
      </w:r>
      <w:r>
        <w:rPr>
          <w:rFonts w:ascii="Calibri" w:hAnsi="Calibri"/>
          <w:sz w:val="22"/>
        </w:rPr>
        <w:t xml:space="preserve"> a következő kategóriákba sorolhatók:</w:t>
      </w:r>
    </w:p>
    <w:p w14:paraId="553A42BD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bCs/>
          <w:iCs/>
          <w:kern w:val="2"/>
          <w:sz w:val="22"/>
          <w:szCs w:val="22"/>
        </w:rPr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 xml:space="preserve">Egyetlen töltőpont, amely a szükséges védelmi elemekből, egy vagy több, nem csak egy adott </w:t>
      </w:r>
      <w:r>
        <w:rPr>
          <w:rFonts w:ascii="Calibri" w:hAnsi="Calibri"/>
          <w:i/>
          <w:sz w:val="22"/>
        </w:rPr>
        <w:t>elektromos járműhöz</w:t>
      </w:r>
      <w:r>
        <w:rPr>
          <w:rFonts w:ascii="Calibri" w:hAnsi="Calibri"/>
          <w:sz w:val="22"/>
        </w:rPr>
        <w:t xml:space="preserve"> kialakított aljzatból és adott esetben a burkolatból áll.</w:t>
      </w:r>
    </w:p>
    <w:p w14:paraId="371F3BEE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b/>
          <w:bCs/>
          <w:i/>
          <w:iCs/>
          <w:kern w:val="2"/>
          <w:sz w:val="22"/>
          <w:szCs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 xml:space="preserve">SAVE </w:t>
      </w:r>
      <w:r>
        <w:rPr>
          <w:rFonts w:ascii="Calibri" w:hAnsi="Calibri"/>
          <w:i/>
          <w:sz w:val="22"/>
        </w:rPr>
        <w:t>(Specific Electric Vehicle Power Supply System)</w:t>
      </w:r>
      <w:r>
        <w:rPr>
          <w:rFonts w:ascii="Calibri" w:hAnsi="Calibri"/>
          <w:sz w:val="22"/>
        </w:rPr>
        <w:t xml:space="preserve"> típusú töltőpont.</w:t>
      </w:r>
    </w:p>
    <w:p w14:paraId="444AE92F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„</w:t>
      </w:r>
      <w:r>
        <w:rPr>
          <w:rFonts w:ascii="Calibri" w:hAnsi="Calibri"/>
          <w:b/>
          <w:i/>
          <w:sz w:val="22"/>
        </w:rPr>
        <w:t>Töltőinfrastruktúra elektromos járművek számára</w:t>
      </w:r>
      <w:r>
        <w:rPr>
          <w:rFonts w:ascii="Calibri" w:hAnsi="Calibri"/>
          <w:b/>
          <w:sz w:val="22"/>
        </w:rPr>
        <w:t xml:space="preserve">: </w:t>
      </w:r>
      <w:r>
        <w:rPr>
          <w:rFonts w:ascii="Calibri" w:hAnsi="Calibri"/>
          <w:sz w:val="22"/>
        </w:rPr>
        <w:t xml:space="preserve">az elektromos járművek töltésére szolgáló fizikai és logikai eszközök összessége, amelyek megfelelnek a Kisfeszültségű Elektrotechnikai Rendelet által minden egyes esetre előírt biztonsági és rendelkezésre állási követelményeknek, és képesek teljes körű és átfogó töltési szolgáltatást nyújtani. Ide tartoznak a </w:t>
      </w:r>
      <w:r>
        <w:rPr>
          <w:rFonts w:ascii="Calibri" w:hAnsi="Calibri"/>
          <w:i/>
          <w:sz w:val="22"/>
        </w:rPr>
        <w:t>töltőállomások</w:t>
      </w:r>
      <w:r>
        <w:rPr>
          <w:rFonts w:ascii="Calibri" w:hAnsi="Calibri"/>
          <w:sz w:val="22"/>
        </w:rPr>
        <w:t xml:space="preserve">, a vezérlőrendszer, az elektromos vezetékek, az elektromos vezérlő- és védelmi panelek és a mérőberendezések, amennyiben ezek kizárólag az </w:t>
      </w:r>
      <w:r>
        <w:rPr>
          <w:rFonts w:ascii="Calibri" w:hAnsi="Calibri"/>
          <w:i/>
          <w:sz w:val="22"/>
        </w:rPr>
        <w:t>elektromos járművek</w:t>
      </w:r>
      <w:r>
        <w:rPr>
          <w:rFonts w:ascii="Calibri" w:hAnsi="Calibri"/>
          <w:sz w:val="22"/>
        </w:rPr>
        <w:t xml:space="preserve"> töltésére szolgálnak.”</w:t>
      </w:r>
    </w:p>
    <w:p w14:paraId="08E0941B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„</w:t>
      </w:r>
      <w:r>
        <w:rPr>
          <w:rFonts w:ascii="Calibri" w:hAnsi="Calibri"/>
          <w:b/>
          <w:i/>
          <w:sz w:val="22"/>
        </w:rPr>
        <w:t>Specific Electric Vehicle Power System (SAVE)</w:t>
      </w:r>
      <w:r>
        <w:rPr>
          <w:rFonts w:ascii="Calibri" w:hAnsi="Calibri"/>
          <w:b/>
          <w:sz w:val="22"/>
        </w:rPr>
        <w:t>:</w:t>
      </w:r>
      <w:r>
        <w:rPr>
          <w:rFonts w:ascii="Calibri" w:hAnsi="Calibri"/>
          <w:sz w:val="22"/>
        </w:rPr>
        <w:t xml:space="preserve"> az elektromos jármű töltésére szolgáló villamosenergia-ellátás céljából összeszerelt berendezések összessége, beleértve a töltőállomás védelmi elemeit, a csatlakozókábelt (fázis-, semleges és földelő vezetékekkel), az aljzatot vagy konnektort, valamint adott esetben a váltóáram-egyenáram </w:t>
      </w:r>
      <w:r>
        <w:rPr>
          <w:rFonts w:ascii="Calibri" w:hAnsi="Calibri"/>
          <w:sz w:val="22"/>
        </w:rPr>
        <w:lastRenderedPageBreak/>
        <w:t>átalakítót. Ennek a rendszernek adott esetben lehetővé kell tennie a kommunikációt az</w:t>
      </w:r>
      <w:r>
        <w:rPr>
          <w:rFonts w:ascii="Calibri" w:hAnsi="Calibri"/>
          <w:i/>
          <w:sz w:val="22"/>
        </w:rPr>
        <w:t xml:space="preserve"> elektromos jármű</w:t>
      </w:r>
      <w:r>
        <w:rPr>
          <w:rFonts w:ascii="Calibri" w:hAnsi="Calibri"/>
          <w:sz w:val="22"/>
        </w:rPr>
        <w:t xml:space="preserve"> és a helyhez kötött berendezés között.</w:t>
      </w:r>
    </w:p>
    <w:p w14:paraId="2A9E9618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strike/>
          <w:kern w:val="2"/>
          <w:sz w:val="22"/>
          <w:szCs w:val="22"/>
        </w:rPr>
      </w:pPr>
      <w:r>
        <w:rPr>
          <w:rFonts w:ascii="Calibri" w:hAnsi="Calibri"/>
          <w:b/>
          <w:i/>
          <w:sz w:val="22"/>
        </w:rPr>
        <w:t>Magánlakás-célú felhasználás</w:t>
      </w:r>
      <w:r>
        <w:rPr>
          <w:rFonts w:ascii="Calibri" w:hAnsi="Calibri"/>
          <w:sz w:val="22"/>
        </w:rPr>
        <w:t>: Állandó lakóhely céljára szánt épület vagy terület, függetlenül attól, hogy milyen típusú épületről van szó: családi ház, lakóépület stb., köz- és magánfejlesztés céljából.</w:t>
      </w:r>
    </w:p>
    <w:p w14:paraId="20F0D8BC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b/>
          <w:i/>
          <w:sz w:val="22"/>
        </w:rPr>
        <w:t>Elektromos jármű</w:t>
      </w:r>
      <w:r>
        <w:rPr>
          <w:rFonts w:ascii="Calibri" w:hAnsi="Calibri"/>
          <w:sz w:val="22"/>
        </w:rPr>
        <w:t>: legalább egy, energiaátalakítóként működő, nem perifériás elektromos mechanizmussal rendelkező hajtómű csoporttal felszerelt gépjármű, amely kívülről újratölthető villamosenergia-tároló rendszerrel van felszerelve.”</w:t>
      </w:r>
    </w:p>
    <w:p w14:paraId="52B758BF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yy) A C. mellékletben a címben a „hőszigetelő burkolat” kifejezést és az 1. a) pontban a „nem lakható terek” kifejezést dőlt betűvel kell szedni.</w:t>
      </w:r>
    </w:p>
    <w:p w14:paraId="5ED476EB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zz) A D. mellékletben az „Üzemeltetési feltételek”, a „használati profilok” és a „magáncélú lakáshasználat” kifejezéseket dőlt betűvel kell szedni a címben, a (2) bekezdésben és a D. melléklet a. táblázatában, a D. melléklet b. táblázatában és a D. melléklet c. táblázatában. </w:t>
      </w:r>
    </w:p>
    <w:p w14:paraId="17E305EB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aaa) A D. mellékletben a „2. Az </w:t>
      </w:r>
      <w:r>
        <w:rPr>
          <w:rFonts w:ascii="Calibri" w:hAnsi="Calibri"/>
          <w:i/>
          <w:sz w:val="22"/>
        </w:rPr>
        <w:t>üzemeltetési feltételek</w:t>
      </w:r>
      <w:r>
        <w:rPr>
          <w:rFonts w:ascii="Calibri" w:hAnsi="Calibri"/>
          <w:sz w:val="22"/>
        </w:rPr>
        <w:t xml:space="preserve"> és a </w:t>
      </w:r>
      <w:r>
        <w:rPr>
          <w:rFonts w:ascii="Calibri" w:hAnsi="Calibri"/>
          <w:i/>
          <w:sz w:val="22"/>
        </w:rPr>
        <w:t>használati profil</w:t>
      </w:r>
      <w:r>
        <w:rPr>
          <w:rFonts w:ascii="Calibri" w:hAnsi="Calibri"/>
          <w:sz w:val="22"/>
        </w:rPr>
        <w:t xml:space="preserve">...” bekezdést át kell számozni „3. Az </w:t>
      </w:r>
      <w:r>
        <w:rPr>
          <w:rFonts w:ascii="Calibri" w:hAnsi="Calibri"/>
          <w:i/>
          <w:sz w:val="22"/>
        </w:rPr>
        <w:t>üzemeltetési feltételek</w:t>
      </w:r>
      <w:r>
        <w:rPr>
          <w:rFonts w:ascii="Calibri" w:hAnsi="Calibri"/>
          <w:sz w:val="22"/>
        </w:rPr>
        <w:t xml:space="preserve"> és a </w:t>
      </w:r>
      <w:r>
        <w:rPr>
          <w:rFonts w:ascii="Calibri" w:hAnsi="Calibri"/>
          <w:i/>
          <w:sz w:val="22"/>
        </w:rPr>
        <w:t>használati profil</w:t>
      </w:r>
      <w:r>
        <w:rPr>
          <w:rFonts w:ascii="Calibri" w:hAnsi="Calibri"/>
          <w:sz w:val="22"/>
        </w:rPr>
        <w:t>...” bekezdésre.</w:t>
      </w:r>
    </w:p>
    <w:p w14:paraId="7B66B51A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bbb) A D. melléklet (4) bekezdésében az „Elismert dokumentum” szöveg helyébe az „Épületek energiatanúsítására vonatkozó elismert dokumentum” szöveg lép.</w:t>
      </w:r>
    </w:p>
    <w:p w14:paraId="2E3E9125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ccc) Az E. mellékletben az 1. szakaszban a "magáncélú lakáshasználat" kifejezést dőlt betűvel kell szedni.</w:t>
      </w:r>
    </w:p>
    <w:p w14:paraId="31530518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ddd) Az F. mellékletben a „magáncélú lakáshasználat” kifejezést dőlt betűvel kell szedni mind az 1. szakaszban, mind az F. melléklet a. táblázatában.</w:t>
      </w:r>
    </w:p>
    <w:p w14:paraId="58F73C97" w14:textId="77777777" w:rsidR="000760AB" w:rsidRPr="000760AB" w:rsidRDefault="000760AB" w:rsidP="000760AB">
      <w:pPr>
        <w:spacing w:after="160" w:line="259" w:lineRule="auto"/>
        <w:ind w:left="567" w:hanging="283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eee) A H. melléklet a szakasz címe után a következő szöveggel egészül ki:  </w:t>
      </w:r>
    </w:p>
    <w:p w14:paraId="1FDC42A7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„Az épület </w:t>
      </w:r>
      <w:r>
        <w:rPr>
          <w:rFonts w:ascii="Calibri" w:hAnsi="Calibri"/>
          <w:i/>
          <w:sz w:val="22"/>
        </w:rPr>
        <w:t xml:space="preserve">légáteresztő képességének </w:t>
      </w:r>
      <w:r>
        <w:rPr>
          <w:rFonts w:ascii="Calibri" w:hAnsi="Calibri"/>
          <w:sz w:val="22"/>
        </w:rPr>
        <w:t xml:space="preserve">meghatározását az alábbi módszerek valamelyikével kell elvégezni.” </w:t>
      </w:r>
    </w:p>
    <w:p w14:paraId="5FF5B351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fff) A H. mellékletben az „Az 50 Pa nyomáson mért légcsere arányának értéke, n50, az UNE-EN 13829:2002 Épületek légzáróságának meghatározása című szabvány B. módszere szerinti vizsgálattal kapható meg”. Túlnyomásos eljárás.) B. módszere szerinti vizsgálattal állapítható meg.” szövegrész helyébe a következő szöveg lép: „Az 50 Pa nyomáson mért </w:t>
      </w:r>
      <w:r>
        <w:rPr>
          <w:rFonts w:ascii="Calibri" w:hAnsi="Calibri"/>
          <w:i/>
          <w:sz w:val="22"/>
        </w:rPr>
        <w:t>levegőcsere-arány</w:t>
      </w:r>
      <w:r>
        <w:rPr>
          <w:rFonts w:ascii="Calibri" w:hAnsi="Calibri"/>
          <w:sz w:val="22"/>
        </w:rPr>
        <w:t>, n</w:t>
      </w:r>
      <w:r>
        <w:rPr>
          <w:rFonts w:ascii="Calibri" w:hAnsi="Calibri"/>
          <w:sz w:val="22"/>
          <w:vertAlign w:val="subscript"/>
        </w:rPr>
        <w:t>50</w:t>
      </w:r>
      <w:r>
        <w:rPr>
          <w:rFonts w:ascii="Calibri" w:hAnsi="Calibri"/>
          <w:sz w:val="22"/>
        </w:rPr>
        <w:t xml:space="preserve"> értékét az UNE-EN ISO 9972 szabvány 1. vagy 2. módszere alapján kell meghatározni: 2019 </w:t>
      </w:r>
      <w:r>
        <w:rPr>
          <w:rFonts w:ascii="Calibri" w:hAnsi="Calibri"/>
          <w:i/>
          <w:sz w:val="22"/>
        </w:rPr>
        <w:t>Az épületek hőteljesítménye. Az épületek légáteresztő képességének meghatározása. Ventilátoros nyomáskiegyenlítési módszer.".</w:t>
      </w:r>
    </w:p>
    <w:p w14:paraId="6FED2289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ggg) A H. szakasz 2. szakaszában, ahol a következő áll: „... 2. A levegő 50 Pa nyomáson történő változásának aránya, n</w:t>
      </w:r>
      <w:r>
        <w:rPr>
          <w:rFonts w:ascii="Calibri" w:hAnsi="Calibri"/>
          <w:sz w:val="22"/>
          <w:vertAlign w:val="subscript"/>
        </w:rPr>
        <w:t>50</w:t>
      </w:r>
      <w:r>
        <w:rPr>
          <w:rFonts w:ascii="Calibri" w:hAnsi="Calibri"/>
          <w:sz w:val="22"/>
        </w:rPr>
        <w:t xml:space="preserve">, a következő egyenletből számítható ki:", amely helyesen: „... 1. Az 50 Pa nyomáson történő </w:t>
      </w:r>
      <w:r>
        <w:rPr>
          <w:rFonts w:ascii="Calibri" w:hAnsi="Calibri"/>
          <w:i/>
          <w:sz w:val="22"/>
        </w:rPr>
        <w:t>légcsere arányának</w:t>
      </w:r>
      <w:r>
        <w:rPr>
          <w:rFonts w:ascii="Calibri" w:hAnsi="Calibri"/>
          <w:sz w:val="22"/>
        </w:rPr>
        <w:t xml:space="preserve"> értékét, n</w:t>
      </w:r>
      <w:r>
        <w:rPr>
          <w:rFonts w:ascii="Calibri" w:hAnsi="Calibri"/>
          <w:sz w:val="22"/>
          <w:vertAlign w:val="subscript"/>
        </w:rPr>
        <w:t>50</w:t>
      </w:r>
      <w:r>
        <w:rPr>
          <w:rFonts w:ascii="Calibri" w:hAnsi="Calibri"/>
          <w:sz w:val="22"/>
        </w:rPr>
        <w:t xml:space="preserve"> referenciaértékek szerint a következő kifejezésből kell kiszámítani:” ahol ez a következő: „n</w:t>
      </w:r>
      <w:r>
        <w:rPr>
          <w:rFonts w:ascii="Calibri" w:hAnsi="Calibri"/>
          <w:sz w:val="22"/>
          <w:vertAlign w:val="subscript"/>
        </w:rPr>
        <w:t>50</w:t>
      </w:r>
      <w:r>
        <w:rPr>
          <w:rFonts w:ascii="Calibri" w:hAnsi="Calibri"/>
          <w:sz w:val="22"/>
        </w:rPr>
        <w:t xml:space="preserve"> = 0,629 · (C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· A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+ C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 xml:space="preserve"> · A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>) / V” amely helyesen: „n</w:t>
      </w:r>
      <w:r>
        <w:rPr>
          <w:rFonts w:ascii="Calibri" w:hAnsi="Calibri"/>
          <w:sz w:val="22"/>
          <w:vertAlign w:val="subscript"/>
        </w:rPr>
        <w:t>50</w:t>
      </w:r>
      <w:r>
        <w:rPr>
          <w:rFonts w:ascii="Calibri" w:hAnsi="Calibri"/>
          <w:sz w:val="22"/>
        </w:rPr>
        <w:t xml:space="preserve"> = 0,629 · (C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· A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+ C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 xml:space="preserve"> · A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>) / V</w:t>
      </w:r>
      <w:r>
        <w:rPr>
          <w:rFonts w:ascii="Calibri" w:hAnsi="Calibri"/>
          <w:sz w:val="22"/>
          <w:vertAlign w:val="subscript"/>
        </w:rPr>
        <w:t>int</w:t>
      </w:r>
      <w:r>
        <w:rPr>
          <w:rFonts w:ascii="Calibri" w:hAnsi="Calibri"/>
          <w:sz w:val="22"/>
        </w:rPr>
        <w:t>”, ahol: „V</w:t>
      </w:r>
      <w:r>
        <w:rPr>
          <w:rFonts w:ascii="Calibri" w:hAnsi="Calibri"/>
          <w:sz w:val="22"/>
        </w:rPr>
        <w:tab/>
        <w:t>a hőáramvezérlő réteg belső térfogata, [m</w:t>
      </w:r>
      <w:r>
        <w:rPr>
          <w:rFonts w:ascii="Calibri" w:hAnsi="Calibri"/>
          <w:sz w:val="22"/>
          <w:vertAlign w:val="superscript"/>
        </w:rPr>
        <w:t>3</w:t>
      </w:r>
      <w:r>
        <w:rPr>
          <w:rFonts w:ascii="Calibri" w:hAnsi="Calibri"/>
          <w:sz w:val="22"/>
        </w:rPr>
        <w:t>]-ben” a következőképpen módosul: „V</w:t>
      </w:r>
      <w:r>
        <w:rPr>
          <w:rFonts w:ascii="Calibri" w:hAnsi="Calibri"/>
          <w:sz w:val="22"/>
          <w:vertAlign w:val="subscript"/>
        </w:rPr>
        <w:t>int</w:t>
      </w:r>
      <w:r>
        <w:rPr>
          <w:rFonts w:ascii="Calibri" w:hAnsi="Calibri"/>
          <w:sz w:val="22"/>
        </w:rPr>
        <w:t xml:space="preserve"> a </w:t>
      </w:r>
      <w:r>
        <w:rPr>
          <w:rFonts w:ascii="Calibri" w:hAnsi="Calibri"/>
          <w:i/>
          <w:sz w:val="22"/>
        </w:rPr>
        <w:t>hőszigetelő burkolat</w:t>
      </w:r>
      <w:r>
        <w:rPr>
          <w:rFonts w:ascii="Calibri" w:hAnsi="Calibri"/>
          <w:sz w:val="22"/>
        </w:rPr>
        <w:t xml:space="preserve"> belső légtérfogata [m</w:t>
      </w:r>
      <w:r>
        <w:rPr>
          <w:rFonts w:ascii="Calibri" w:hAnsi="Calibri"/>
          <w:sz w:val="22"/>
          <w:vertAlign w:val="superscript"/>
        </w:rPr>
        <w:t>3</w:t>
      </w:r>
      <w:r>
        <w:rPr>
          <w:rFonts w:ascii="Calibri" w:hAnsi="Calibri"/>
          <w:sz w:val="22"/>
        </w:rPr>
        <w:t>-ben]”, és ahol ez áll: „A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a </w:t>
      </w:r>
      <w:r>
        <w:rPr>
          <w:rFonts w:ascii="Calibri" w:hAnsi="Calibri"/>
          <w:i/>
          <w:sz w:val="22"/>
        </w:rPr>
        <w:t>hőszigetelő burkolat</w:t>
      </w:r>
      <w:r>
        <w:rPr>
          <w:rFonts w:ascii="Calibri" w:hAnsi="Calibri"/>
          <w:sz w:val="22"/>
        </w:rPr>
        <w:t xml:space="preserve"> átlátszatlan részének felülete [m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-ben]”, helyesen: „A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a </w:t>
      </w:r>
      <w:r>
        <w:rPr>
          <w:rFonts w:ascii="Calibri" w:hAnsi="Calibri"/>
          <w:i/>
          <w:sz w:val="22"/>
        </w:rPr>
        <w:t>hőszigetelő burkolat</w:t>
      </w:r>
      <w:r>
        <w:rPr>
          <w:rFonts w:ascii="Calibri" w:hAnsi="Calibri"/>
          <w:sz w:val="22"/>
        </w:rPr>
        <w:t xml:space="preserve"> külső levegővel érintkező átlátszatlan részének felülete [m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 xml:space="preserve">-ben]”. </w:t>
      </w:r>
    </w:p>
    <w:p w14:paraId="7752C220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hhh) A H. mellékletben a „hőszigetelő burkolat” és a „lyukak” kifejezéseket dőlt betűvel kell szedni a C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>, C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>, A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 xml:space="preserve"> kifejezések leírásában és a H. melléklet a. táblázatában.</w:t>
      </w:r>
    </w:p>
    <w:p w14:paraId="3CEE363E" w14:textId="77777777" w:rsidR="000760AB" w:rsidRPr="000760AB" w:rsidRDefault="000760AB" w:rsidP="00FD453F">
      <w:pPr>
        <w:spacing w:after="160" w:line="259" w:lineRule="auto"/>
        <w:ind w:left="13" w:hanging="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Négy.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 xml:space="preserve">A következő módosításokat a Műszaki Építési Szabályzat II. részében szereplő DB-SUA „Használati biztonság és akadálymentesítés” alapdokumentum tartalmazza: </w:t>
      </w:r>
    </w:p>
    <w:p w14:paraId="19A3C2AA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 A. mellékletben az „Akadálymentes parkolóhely” fogalommeghatározás egy kötőjelet tartalmaz a következő szöveggel együtt:</w:t>
      </w:r>
    </w:p>
    <w:p w14:paraId="3A6FBAF1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‘- Abban az esetben, ha az </w:t>
      </w:r>
      <w:r>
        <w:rPr>
          <w:rFonts w:ascii="Calibri" w:hAnsi="Calibri"/>
          <w:i/>
          <w:sz w:val="22"/>
        </w:rPr>
        <w:t>akadálymentes parkolóhelyen</w:t>
      </w:r>
      <w:r>
        <w:rPr>
          <w:rFonts w:ascii="Calibri" w:hAnsi="Calibri"/>
          <w:sz w:val="22"/>
        </w:rPr>
        <w:t xml:space="preserve"> elektromos járműtöltő állomás van, az </w:t>
      </w:r>
      <w:r>
        <w:rPr>
          <w:rFonts w:ascii="Calibri" w:hAnsi="Calibri"/>
          <w:i/>
          <w:sz w:val="22"/>
        </w:rPr>
        <w:t>akadálymentes útvonalnak</w:t>
      </w:r>
      <w:r>
        <w:rPr>
          <w:rFonts w:ascii="Calibri" w:hAnsi="Calibri"/>
          <w:sz w:val="22"/>
        </w:rPr>
        <w:t xml:space="preserve"> ezt a töltőállomást is tartalmaznia kell. E töltőállomások áramkivezetőit és csatlakozóit a környezethez képest kontrasztos színnel megjelölni, 80 és 120 cm közötti magasságban kell elhelyezni, és a sarkoktól mért távolságuknak legalább 35 cm-nek kell lennie.”</w:t>
      </w:r>
    </w:p>
    <w:p w14:paraId="6B637874" w14:textId="77777777" w:rsidR="000760AB" w:rsidRPr="000760AB" w:rsidRDefault="000760AB" w:rsidP="000760AB">
      <w:pPr>
        <w:spacing w:after="160" w:line="259" w:lineRule="auto"/>
        <w:ind w:left="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Öt. A következő módosítások a II. részben szereplő DB-HS „Egészségügy” alapdokumentumban szerepelnek:</w:t>
      </w:r>
    </w:p>
    <w:p w14:paraId="6210F03A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25" w:name="_Hlk103704636"/>
      <w:r>
        <w:rPr>
          <w:rFonts w:ascii="Calibri" w:hAnsi="Calibri"/>
          <w:sz w:val="22"/>
        </w:rPr>
        <w:t>a) A HS 4. szakasz 3.2.2.1. szakaszának 2. pontjában a „napenergia minimális hozzájárulása a használati melegvíz előállításához” mondat helyébe a „megújuló energia minimális hozzájárulása a használati melegvíz-igény fedezéséhez” mondat lép.</w:t>
      </w:r>
    </w:p>
    <w:p w14:paraId="3EDCC51A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b) A HR 4. szakaszának 6.2. pontjában az „e) polivinil-klorid-klórozott (PVC-C) csövek az UNE-EN ISO 15874-1:2013, UNE-EN ISO 15874-2:2013 és UNE-EN ISO 15874-3:2013 szabvány szerint;” betű helyébe az „e) poliklórozott vinil-klorid (PVC-C) csövek az UNE-EN ISO 15877-1:2009 (+UNE-EN ISO 15877-1:2009/A1): 2011), UNE-EN ISO 15877-2:2009 (+UNE-EN ISO 15877-2:2009/A1: 2011) és UNE-EN ISO 15877-3:2009 (+UNE-EN ISO 15877-3:2009/A1: 2011) szabvány szerint;” szövegrész lép.</w:t>
      </w:r>
    </w:p>
    <w:p w14:paraId="36823CBB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c) A HS 4. szakasz 6.2. szakaszában a „h) polibutilén csövek (PB) az UNE-EN ISO 15876-1:2017, UNE-EN ISO 15876-2:2017 és UNE-EN ISO 15876-3:2017 szabvány szerint;” szövegrész helyébe a „h) polibutilén csövek (PB) az UNE-EN ISO 15876-1:2017, UNE-EN ISO 15876-2:2017 és UNE-EN ISO 15876-3:2017 szabvány szerint;” szöveg lép.</w:t>
      </w:r>
    </w:p>
    <w:p w14:paraId="3D6093F2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d) A 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HS 4. szakasz C. függelékében, ahol a következő szöveg szerepel: „Műanyag csővezetékrendszerek meleg és hideg vizes berendezésekhez. Polibutilén (PB). 1. rész: Általános rendelkezések” szövegrész helyébe a következő szöveg lép: „Műanyag csővezetékrendszerek meleg és hideg vizes berendezésekhez. Polibutén (PB). 1. rész: Általános rendelkezések”.</w:t>
      </w:r>
    </w:p>
    <w:p w14:paraId="3D1885BA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e) A 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HS 4. szakasz C. függelékében, ahol a következő szöveg szerepel: „Műanyag csővezetékrendszerek meleg és hideg vizes berendezésekhez. Polibutilén (PB). 2. rész: Csövek” a következőképpen módosul: „Műanyag csővezetékrendszerek meleg és hideg vizes berendezésekhez. Polibutén (PB). 2. rész: Csövek”.</w:t>
      </w:r>
    </w:p>
    <w:p w14:paraId="70CF101A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f) A 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HS 4. szakasz C. függelékében, ahol a következő szöveg szerepel: „Műanyag csővezetékrendszerek meleg és hideg vizes berendezésekhez. Polibutilén (PB). 3. rész: Csőidomok” a következőképpen módosul: „Műanyag csővezetékrendszerek meleg és hideg vizes berendezésekhez. Polibutén (PB). 3. rész: Csőidomok”.</w:t>
      </w:r>
    </w:p>
    <w:p w14:paraId="52A9A5FD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g) A HS 4. szakasz C. függelékében az „UNE-EN ISO 15876-3” szabványra való hivatkozás után a következőket kell beilleszteni: 2017</w:t>
      </w:r>
      <w:r>
        <w:rPr>
          <w:rFonts w:ascii="Calibri" w:hAnsi="Calibri"/>
          <w:sz w:val="22"/>
        </w:rPr>
        <w:tab/>
        <w:t>Műanyag csővezetékrendszerek meleg és hideg vizes berendezésekhez. Polibutén (PB). 3. rész: Csőidomok” az alábbiakat kell beilleszteni:</w:t>
      </w:r>
    </w:p>
    <w:p w14:paraId="5151AE28" w14:textId="77777777" w:rsidR="000760AB" w:rsidRPr="000760AB" w:rsidRDefault="000760AB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„UNE-EN ISO 15877-1:2009 Műanyag csővezetékrendszerek meleg és hideg vizes berendezésekhez. Klórozott poli(vinil-klorid) (PVC-C). 1. rész: Általános előírások (+UNE-EN ISO 15877-1:2009/A1:2011)  </w:t>
      </w:r>
    </w:p>
    <w:p w14:paraId="459306CD" w14:textId="77777777" w:rsidR="000760AB" w:rsidRPr="000760AB" w:rsidRDefault="000760AB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478D13F" w14:textId="77777777" w:rsidR="000760AB" w:rsidRPr="000760AB" w:rsidRDefault="000760AB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UNE-EN ISO 15877-2:2009 Műanyag csővezetékrendszerek meleg és hideg vizes berendezésekhez. Klórozott poli(vinil-klorid) (PVC-C). 2. rész: Csövek. (+UNE-EN ISO 15877-2:2009/A1:2011) </w:t>
      </w:r>
    </w:p>
    <w:p w14:paraId="1A003182" w14:textId="77777777" w:rsidR="000760AB" w:rsidRPr="000760AB" w:rsidRDefault="000760AB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7816FB" w14:textId="3B192627" w:rsidR="000760AB" w:rsidRDefault="000760AB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UNE-EN ISO 15877-3:2009 Műanyag csővezetékrendszerek meleg és hideg vizes berendezésekhez. Klórozott poli(vinil-klorid) (PVC-C). 3. rész: Csőidomok. (+UNE-EN ISO 15877-3:2009/A1:2011)”</w:t>
      </w:r>
    </w:p>
    <w:p w14:paraId="4ED97A3D" w14:textId="77777777" w:rsidR="00FD453F" w:rsidRPr="000760AB" w:rsidRDefault="00FD453F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bookmarkEnd w:id="25"/>
    <w:p w14:paraId="5E164AF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Első átmeneti rendelkezés. </w:t>
      </w:r>
      <w:r>
        <w:rPr>
          <w:rFonts w:ascii="Calibri" w:hAnsi="Calibri"/>
          <w:i/>
          <w:sz w:val="22"/>
        </w:rPr>
        <w:t>E királyi rendelet rendelkezései alól mentesített épületek.</w:t>
      </w:r>
    </w:p>
    <w:p w14:paraId="1847A168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 műszaki építési szabályzatnak (CTE) az e királyi rendelettel elfogadott módosításai nem vonatkoznak az olyan új épületekre vagy meglévő épületeken végzett építési munkálatokra, amelyekre e királyi rendelet hatálybalépésekor már kérelmeztek önkormányzati építési engedélyt. </w:t>
      </w:r>
    </w:p>
    <w:p w14:paraId="0F07CFE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 ilyen építési munkálatokat az említett engedély maximális érvényességi időtartamán belül kell megkezdeni, az erre vonatkozó szabályokkal összhangban, vagy ennek hiányában az engedély megadásától számított hat hónapon belül. Ellenkező esetben, a projekteket hozzá kell igazítani a CTE e királyi rendelettel jóváhagyott módosításaihoz.</w:t>
      </w:r>
    </w:p>
    <w:p w14:paraId="39C072F7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Második átmeneti rendelkezés. </w:t>
      </w:r>
      <w:r>
        <w:rPr>
          <w:rFonts w:ascii="Calibri" w:hAnsi="Calibri"/>
          <w:i/>
          <w:sz w:val="22"/>
        </w:rPr>
        <w:t>Olyan épületek, amelyek esetében e királyi rendelet rendelkezéseinek alkalmazása önkéntes.</w:t>
      </w:r>
    </w:p>
    <w:p w14:paraId="27074C97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 műszaki építési szabályzatnak az e királyi rendelettel jóváhagyott módosításai önkéntesen alkalmazandók az olyan új építési munkálatokra és a meglévő épületeken végzett olyan munkálatokra, amelyek esetében az e királyi rendelet hatálybalépésétől számított hat hónapon belül önkormányzati építési engedélyt kérnek. </w:t>
      </w:r>
    </w:p>
    <w:p w14:paraId="5E12150B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 ilyen építési munkálatokat az említett engedély maximális érvényességi időtartamán belül kell megkezdeni, az erre vonatkozó szabályokkal összhangban, vagy ennek hiányában az engedély megadásától számított hat hónapon belül. Ellenkező esetben, a projekteket hozzá kell igazítani a CTE e királyi rendelettel jóváhagyott módosításaihoz.</w:t>
      </w:r>
    </w:p>
    <w:p w14:paraId="76BE3F2E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Harmadik átmeneti rendelkezés. </w:t>
      </w:r>
      <w:r>
        <w:rPr>
          <w:rFonts w:ascii="Calibri" w:hAnsi="Calibri"/>
          <w:i/>
          <w:sz w:val="22"/>
        </w:rPr>
        <w:t>Olyan épületek, amelyek esetében e királyi rendelet rendelkezéseinek alkalmazása kötelező.</w:t>
      </w:r>
    </w:p>
    <w:p w14:paraId="7B8AAF09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 építési műszaki szabályzat (CTE) az e királyi rendelettel elfogadott módosításainak alkalmazása kötelező az olyan új épületek vagy a meglévő épületeken végzett olyan építési munkálatok esetében, amelyekre e rendelkezés hatálybalépését követő több mint kilenc hónappal kérnek önkormányzati építési engedélyt.</w:t>
      </w:r>
    </w:p>
    <w:p w14:paraId="1269D8B2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Első záró rendelkezés. </w:t>
      </w:r>
      <w:r>
        <w:rPr>
          <w:rFonts w:ascii="Calibri" w:hAnsi="Calibri"/>
          <w:i/>
          <w:sz w:val="22"/>
        </w:rPr>
        <w:t>A kisfeszültségű elektrotechnikai berendezésekről szóló, a 2002. augusztus 2-i 842/2002. sz. királyi rendelettel jóváhagyott rendelet BT 52 „Különleges célú létesítmények. Infrastruktúra elektromos járművek feltöltésére” című új kiegészítő műszaki utasításának (ITC) jóváhagyásáról szóló, 2014. december 12-i 1053/2014. sz. királyi rendelet és egyéb kiegészítő műszaki utasítások módosítása.</w:t>
      </w:r>
    </w:p>
    <w:p w14:paraId="01AAD1DA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A december 12-i 1053/2014. sz. királyi rendelet, amely jóváhagyja az új kiegészítő műszaki utasítás (ITC) BT 52. „Különleges rendeltetésű berendezések. Az elektromos járművek töltésére szolgáló infrastruktúra” című, az augusztus 2-i 842/2002. számú királyi rendelettel jóváhagyott Kisfeszültségű Elektrotechnikai Rendeletet, valamint ugyanezen rendelet egyéb kiegészítő műszaki utasításai a következőképpen módosulnak: </w:t>
      </w:r>
    </w:p>
    <w:p w14:paraId="1141399E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Egy. Az első kiegészítő rendelkezés a következőképpen módosul:</w:t>
      </w:r>
    </w:p>
    <w:p w14:paraId="0E4C1654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t>„Első kiegészítő rendelkezés. Az elektromos járművek töltésére szolgáló minimális létesítmények az épületekhez nem tartozó, újépítésű vagy jelentős felújítás alá vont parkolókban, valamint a közutakon.</w:t>
      </w:r>
    </w:p>
    <w:p w14:paraId="18015A47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1. Az újonnan épített vagy jelentős felújításon áteső, nem épületben vagy épülethez kapcsolódóan elhelyezkedő, tehát a Műszaki Építési Szabályzat Energiatakarékossági Alapdokumentumának (DB HE) hatályán kívül eső parkolókban minden 40 parkolóhelyre vagy annak töredékére legalább egy töltőállomást kell telepíteni. A parkoló akkor tekinthető új építésűnek, ha az építési projektet e királyi rendelet hatálybalépését követően feldolgozás céljából az illetékes közigazgatási szerv elé terjesztik. </w:t>
      </w:r>
    </w:p>
    <w:p w14:paraId="06F10D65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2. Biztosítani kell az önkormányzatok felettes szervei vagy az önkormányzatok által kidolgozott fenntartható mobilitási tervekben előírt, a közutakon az elektromos járművek számára biztosított sávokban található töltőállomások ellátásához szükséges berendezéseket.”</w:t>
      </w:r>
    </w:p>
    <w:p w14:paraId="689B86A0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Kettő. A BT 52 kiegészítő műszaki utasítás (ITC) BT-52 3.2. szakasza a következőképpen módosul:</w:t>
      </w:r>
    </w:p>
    <w:p w14:paraId="3188850A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„3.2. Telepítés parkolókban, vagy közvetlenül épületek vagy épületkomplexumok mellett elhelyezkedő közös parkolóhelyeken. </w:t>
      </w:r>
    </w:p>
    <w:p w14:paraId="5D648D19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Az </w:t>
      </w:r>
      <w:r>
        <w:rPr>
          <w:rFonts w:ascii="Calibri" w:hAnsi="Calibri"/>
          <w:color w:val="000000"/>
          <w:sz w:val="22"/>
        </w:rPr>
        <w:t>elektromos járművek</w:t>
      </w:r>
      <w:r>
        <w:rPr>
          <w:rFonts w:ascii="Calibri" w:hAnsi="Calibri"/>
          <w:sz w:val="22"/>
        </w:rPr>
        <w:t xml:space="preserve"> töltésére szolgáló, parkolókban, vagy épületeken vagy lakóparkokon belül vagy közvetlenül azok mellett elhelyezkedő parkolóhelyeken található elektromos berendezéseknek követniük kell a fent leírt rendszerek bármelyikét.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sz w:val="22"/>
        </w:rPr>
        <w:t>Ugyanazon az épületen belül különböző rendszerek is alkalmazhatók, feltéve hogy a jelen (ITC) BT-52 dokumentumban meghatározott valamennyi követelmény teljesül.</w:t>
      </w:r>
    </w:p>
    <w:p w14:paraId="7585E852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4a. rendszer esetében a töltőáramkörnek a BT-15 kiegészítő műszaki utasításban (ITC) leírt telepítési feltételeket kell követnie, olyan kábeleket és vezetékendszereket használva, amelyek ugyanolyan típusúak és jellemzőkkel bírnak, mint egy egyedi megkerülő vezeték esetében, és a kábelszakaszt ezen ITC 5. szakaszának általános követelményeivel összhangban kell kiszámítani. Az alkalmazandó vezetékrendszer átmérőjének vagy keresztirányú méreteinek meghatározása érdekében nem szükséges a kábelszakasz bővítése.</w:t>
      </w:r>
    </w:p>
    <w:p w14:paraId="2D2E95BD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4b. rendszert akkor kell alkalmazni, ha a töltőállomások ellátását a garázsok általános szolgáltatásait kiszolgáló elektromos berendezés szerves részeként vagy kiterjesztéseként tervezték.</w:t>
      </w:r>
    </w:p>
    <w:p w14:paraId="6F33488D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Mind a meglévő, mind az új berendezésekben, valamint a kiválasztott elektromos rendszer használatának megkönnyítése érdekében az erre a célra kijelölt helyiségekben vagy a közös területeken általános védőeszközöket és az elektromos járművek töltésére szolgáló eszközöket tartalmazó szekrények helyezhetők el.</w:t>
      </w:r>
    </w:p>
    <w:p w14:paraId="1D7341B6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Az épületekben vagy épületkomplexumokban vagy közvetlenül azok mellett elhelyezkedő parkolókban az elektromos jármű töltésére szolgáló elektromos berendezések előtelepítésének elő kell segítenie bármely lehetséges telepítési rendszer későbbi alkalmazását. Ez a következő elemeket foglalja magában: </w:t>
      </w:r>
    </w:p>
    <w:p w14:paraId="69AC9996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a) Kábelvezető rendszerek telepítése a fogyasztásmérők központosítása után és a parkolók főútvonalai mentén annak érdekében, hogy az egyes parkolóhelyeknél vagy parkolókban elhelyezhető töltőállomásokat később működtetni lehessen. Amennyiben az előtelepítést a parkolóhelyek 100%-ára tervezik, a kábelvezető rendszereknek mindegyik parkolóhelyet el kell érniük. Amennyiben az előtelepítést nem tervezik a pakolóhelyek 100%-ára, meg kell határozni a kábelvezető rendszerekre vonatkozó szabályozási rendelkezéseknek való megfelelés szempontjából figyelembe vett parkolóhelyeket, és ezeknek a rendszereknek el kell érniük e parkolóhelyek mindegyikét.</w:t>
      </w:r>
    </w:p>
    <w:p w14:paraId="1D8D11B8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b) A fogyasztásmérők központosítását az elektromos jármű töltésére választott elektromos rendszer szerint és az (ITC) BT-16 dokumentumban meghatározottak szerint kell méretezni. Tartalék modulokat kell felszerelni a lakáshoz nem kapcsolódó parkolóhelyek legalább 20%-ára, és még akkor is, ha az összes parkolóhely lakásokhoz kapcsolódik, legalább egy tartalék modullal. Ezeknek a tartalék moduloknak képesnek kell lenniük a fő mérő és a mérőhöz kapcsolódó túláramvédő berendezések tárolására, akár biztosítékokkal vagy megszakítókkal együtt.</w:t>
      </w:r>
    </w:p>
    <w:p w14:paraId="47ED8DD8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töltőállomásra és annak automatikus védelmi áramkör-megszakítóira szerelt aljzatoknak vagy csatlakozóknak meg kell felelniük az 5.4. szakaszban megadott lehetőségek egyikének.”</w:t>
      </w:r>
    </w:p>
    <w:p w14:paraId="7F6774A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Három. A BT-52 kiegészítő műszaki utasítás (ITC) 5.4. szakaszának első albekezdése a következőképpen módosul:</w:t>
      </w:r>
    </w:p>
    <w:p w14:paraId="3EF40F8D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</w:rPr>
        <w:t xml:space="preserve">„5.4. Csatlakozási pont. </w:t>
      </w:r>
      <w:bookmarkStart w:id="26" w:name="_Hlk81468651"/>
      <w:r>
        <w:rPr>
          <w:rFonts w:ascii="Calibri" w:hAnsi="Calibri"/>
          <w:sz w:val="22"/>
        </w:rPr>
        <w:t xml:space="preserve">A csatlakozási pontot az ellátandó parkolóhely mellett kell elhelyezni, és állandó jelleggel be kell szerelni egy burkolatba. </w:t>
      </w:r>
    </w:p>
    <w:bookmarkEnd w:id="26"/>
    <w:p w14:paraId="3405740F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Az aljzatok és csatlakozók legkisebb telepítési magasságának a talajszint felett 60 cm-re kell lennie. </w:t>
      </w:r>
      <w:bookmarkStart w:id="27" w:name="_Hlk81468224"/>
      <w:r>
        <w:rPr>
          <w:rFonts w:ascii="Calibri" w:hAnsi="Calibri"/>
          <w:sz w:val="22"/>
        </w:rPr>
        <w:t>Ha a töltőállomást nyilvános használatra szánják, a maximális magasság 120 cm. Az akadálymentes parkolóhelyeken az aljzatokat és csatlakozókat a környezethez képest kontrasztos színnel kell megjelölni, 80 és 120 cm közötti magasságban kell elhelyezkedniük, a sarokilleszkedésektől való távolságnak pedig legalább 35 cm-nek kell lennie.”</w:t>
      </w:r>
      <w:bookmarkEnd w:id="27"/>
    </w:p>
    <w:p w14:paraId="50422323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Második záró rendelkezés. </w:t>
      </w:r>
      <w:r>
        <w:rPr>
          <w:rFonts w:ascii="Calibri" w:hAnsi="Calibri"/>
          <w:i/>
          <w:sz w:val="22"/>
        </w:rPr>
        <w:t>Az uniós jog átültetése.</w:t>
      </w:r>
    </w:p>
    <w:p w14:paraId="144ADEB1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Ez a királyi rendelet a 2010/31/EU irányelv módosításáról szóló, 2018. május 30-i (EU) 2018/844. számú európai parlamenti és tanácsi irányelvvel módosított, az épületek energiahatékonyságáról szóló 2010/31/EU európai parlamenti és tanácsi irányelv 8.2, 8.4, 8.5 és 8.6. cikkét ülteti át a spanyol jogba </w:t>
      </w:r>
      <w:r>
        <w:t xml:space="preserve"> </w:t>
      </w:r>
      <w:bookmarkStart w:id="28" w:name="_Hlk92814279"/>
      <w:r>
        <w:rPr>
          <w:rFonts w:ascii="Calibri" w:hAnsi="Calibri"/>
          <w:sz w:val="22"/>
        </w:rPr>
        <w:t>az épületek energiahatékonyságáról szóló 2010/31/EU irányelv</w:t>
      </w:r>
      <w:r>
        <w:t xml:space="preserve"> </w:t>
      </w:r>
      <w:bookmarkEnd w:id="28"/>
      <w:r>
        <w:t xml:space="preserve"> </w:t>
      </w:r>
      <w:r>
        <w:rPr>
          <w:rFonts w:ascii="Calibri" w:hAnsi="Calibri"/>
          <w:sz w:val="22"/>
        </w:rPr>
        <w:t>és az energiahatékonyságról szóló 2012/27/EU irányelv módosítása mellett.</w:t>
      </w:r>
    </w:p>
    <w:p w14:paraId="174DF223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Harmadik záró rendelkezés. </w:t>
      </w:r>
      <w:r>
        <w:rPr>
          <w:rFonts w:ascii="Calibri" w:hAnsi="Calibri"/>
          <w:i/>
          <w:sz w:val="22"/>
        </w:rPr>
        <w:t>Hatálybalépés.</w:t>
      </w:r>
    </w:p>
    <w:p w14:paraId="244EE748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 királyi rendelet a Hivatalos Állami Közlönyben való közzétételét követő napon lép hatályba.</w:t>
      </w:r>
    </w:p>
    <w:p w14:paraId="020B8256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05F24353" w14:textId="77777777" w:rsidR="001F7365" w:rsidRPr="00081F25" w:rsidRDefault="001F7365" w:rsidP="001F73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MINISZTEREK TANÁCSA ELÉ TERJESZTENDŐ</w:t>
      </w:r>
    </w:p>
    <w:p w14:paraId="3A0D8D70" w14:textId="77777777" w:rsidR="001F7365" w:rsidRPr="00081F25" w:rsidRDefault="001F7365" w:rsidP="001F73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4F7C3B3" w14:textId="77777777" w:rsidR="001F7365" w:rsidRPr="00081F25" w:rsidRDefault="001F7365" w:rsidP="001F73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Kelt: Madrid, 2022.           napja.</w:t>
      </w:r>
    </w:p>
    <w:p w14:paraId="201B84D8" w14:textId="77777777" w:rsidR="001F7365" w:rsidRPr="00081F25" w:rsidRDefault="001F7365" w:rsidP="001F7365">
      <w:pPr>
        <w:spacing w:after="160"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AC40BA3" w14:textId="77777777" w:rsidR="001F7365" w:rsidRPr="00081F25" w:rsidRDefault="001F7365" w:rsidP="001F7365">
      <w:pPr>
        <w:spacing w:after="160"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5141"/>
      </w:tblGrid>
      <w:tr w:rsidR="001F7365" w:rsidRPr="00081F25" w14:paraId="26BBB77F" w14:textId="77777777" w:rsidTr="000D4A40">
        <w:trPr>
          <w:trHeight w:val="215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5CC2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KÖZLEKEDÉSI, MOBILITÁSI ÉS VÁROSFEJLESZTÉSI MENETRENDÉRT FELELŐS MINISZTER</w:t>
            </w:r>
          </w:p>
          <w:p w14:paraId="38965193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438BC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1774F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B0B02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22890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AF82D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Raquel Sánchez Jiménez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749FA458" w14:textId="77777777" w:rsidR="001F7365" w:rsidRPr="004A2722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 KORMÁNY HARMADIK MINISZTERELNÖK-HELYETTESE, AZ ÖKOLÓGIAI ÁTMENETÉRT ÉS A DEMOGRÁFIAI KIHÍVÁSÉRT FELELŐS MINISZTER</w:t>
            </w:r>
          </w:p>
          <w:p w14:paraId="2B70C78B" w14:textId="77777777" w:rsidR="001F7365" w:rsidRPr="004A2722" w:rsidRDefault="001F7365" w:rsidP="000D4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0A3F7D7" w14:textId="77777777" w:rsidR="001F7365" w:rsidRPr="004A2722" w:rsidRDefault="001F7365" w:rsidP="000D4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4D67AC80" w14:textId="77777777" w:rsidR="001F7365" w:rsidRPr="004A2722" w:rsidRDefault="001F7365" w:rsidP="000D4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1D518996" w14:textId="77777777" w:rsidR="001F7365" w:rsidRPr="004A2722" w:rsidRDefault="001F7365" w:rsidP="000D4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5C180639" w14:textId="77777777" w:rsidR="001F7365" w:rsidRPr="004A2722" w:rsidRDefault="001F7365" w:rsidP="000D4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0B3A488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Teresa Ribera Rodríguez</w:t>
            </w:r>
          </w:p>
        </w:tc>
      </w:tr>
    </w:tbl>
    <w:p w14:paraId="15FD4F10" w14:textId="77777777" w:rsidR="008577E8" w:rsidRDefault="008577E8" w:rsidP="008577E8">
      <w:pPr>
        <w:pStyle w:val="FootnoteText"/>
        <w:tabs>
          <w:tab w:val="left" w:pos="-3969"/>
        </w:tabs>
        <w:spacing w:after="120"/>
        <w:ind w:left="567" w:right="55" w:firstLine="533"/>
        <w:jc w:val="both"/>
        <w:rPr>
          <w:rFonts w:ascii="Arial" w:hAnsi="Arial" w:cs="Arial"/>
          <w:sz w:val="24"/>
          <w:szCs w:val="24"/>
          <w:lang w:val="es-ES"/>
        </w:rPr>
      </w:pPr>
    </w:p>
    <w:sectPr w:rsidR="008577E8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701" w:right="737" w:bottom="726" w:left="737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4F92" w14:textId="77777777" w:rsidR="00625684" w:rsidRDefault="00625684">
      <w:r>
        <w:separator/>
      </w:r>
    </w:p>
  </w:endnote>
  <w:endnote w:type="continuationSeparator" w:id="0">
    <w:p w14:paraId="2AA6BBF3" w14:textId="77777777" w:rsidR="00625684" w:rsidRDefault="0062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1ADC" w14:textId="77777777" w:rsidR="00C93CCC" w:rsidRDefault="00C93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DA43C3" w14:textId="77777777" w:rsidR="00C93CCC" w:rsidRDefault="00C93C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B7FA" w14:textId="7ED610BC" w:rsidR="00C93CCC" w:rsidRDefault="00C93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417">
      <w:rPr>
        <w:rStyle w:val="PageNumber"/>
      </w:rPr>
      <w:t>2</w:t>
    </w:r>
    <w:r>
      <w:rPr>
        <w:rStyle w:val="PageNumber"/>
      </w:rPr>
      <w:fldChar w:fldCharType="end"/>
    </w:r>
  </w:p>
  <w:p w14:paraId="7719E668" w14:textId="77777777" w:rsidR="00C93CCC" w:rsidRDefault="00C93C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5AC7" w14:textId="77777777" w:rsidR="00625684" w:rsidRDefault="00625684">
      <w:r>
        <w:separator/>
      </w:r>
    </w:p>
  </w:footnote>
  <w:footnote w:type="continuationSeparator" w:id="0">
    <w:p w14:paraId="54AD705B" w14:textId="77777777" w:rsidR="00625684" w:rsidRDefault="0062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26"/>
      <w:gridCol w:w="1843"/>
    </w:tblGrid>
    <w:tr w:rsidR="00C93CCC" w14:paraId="19D5BC5E" w14:textId="77777777">
      <w:trPr>
        <w:cantSplit/>
        <w:trHeight w:val="991"/>
        <w:jc w:val="center"/>
      </w:trPr>
      <w:tc>
        <w:tcPr>
          <w:tcW w:w="1346" w:type="dxa"/>
        </w:tcPr>
        <w:p w14:paraId="7D1E4812" w14:textId="77777777" w:rsidR="00C93CCC" w:rsidRDefault="00C93CCC">
          <w:pPr>
            <w:pStyle w:val="Header"/>
            <w:tabs>
              <w:tab w:val="clear" w:pos="4252"/>
              <w:tab w:val="clear" w:pos="8504"/>
            </w:tabs>
          </w:pPr>
        </w:p>
      </w:tc>
      <w:tc>
        <w:tcPr>
          <w:tcW w:w="7726" w:type="dxa"/>
        </w:tcPr>
        <w:p w14:paraId="0DBFE409" w14:textId="77777777" w:rsidR="00C93CCC" w:rsidRDefault="00C93CCC">
          <w:pPr>
            <w:pStyle w:val="Header"/>
            <w:tabs>
              <w:tab w:val="clear" w:pos="4252"/>
              <w:tab w:val="left" w:pos="2127"/>
              <w:tab w:val="left" w:pos="6521"/>
            </w:tabs>
          </w:pPr>
        </w:p>
      </w:tc>
      <w:bookmarkStart w:id="29" w:name="_MON_1030527131"/>
      <w:bookmarkEnd w:id="29"/>
      <w:tc>
        <w:tcPr>
          <w:tcW w:w="1843" w:type="dxa"/>
        </w:tcPr>
        <w:p w14:paraId="159BECBD" w14:textId="77777777" w:rsidR="00C93CCC" w:rsidRDefault="00C93CCC">
          <w:pPr>
            <w:pStyle w:val="Header"/>
            <w:tabs>
              <w:tab w:val="clear" w:pos="4252"/>
              <w:tab w:val="left" w:pos="6521"/>
            </w:tabs>
            <w:spacing w:before="120" w:after="120"/>
            <w:jc w:val="right"/>
            <w:rPr>
              <w:rFonts w:ascii="Gill Sans MT" w:hAnsi="Gill Sans MT"/>
              <w:sz w:val="10"/>
            </w:rPr>
          </w:pPr>
          <w:r>
            <w:object w:dxaOrig="1081" w:dyaOrig="1141" w14:anchorId="416483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85pt;height:44.35pt" fillcolor="window">
                <v:imagedata r:id="rId1" o:title=""/>
              </v:shape>
              <o:OLEObject Type="Embed" ProgID="Word.Picture.8" ShapeID="_x0000_i1025" DrawAspect="Content" ObjectID="_1724479957" r:id="rId2"/>
            </w:object>
          </w:r>
        </w:p>
      </w:tc>
    </w:tr>
  </w:tbl>
  <w:p w14:paraId="37A83458" w14:textId="77777777" w:rsidR="00C93CCC" w:rsidRDefault="00C93CCC">
    <w:pPr>
      <w:pStyle w:val="Header"/>
    </w:pPr>
  </w:p>
  <w:p w14:paraId="4AECF7C6" w14:textId="6EDD15A4" w:rsidR="00C93CCC" w:rsidRDefault="00FD453F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19963E" wp14:editId="4FA1022B">
              <wp:simplePos x="0" y="0"/>
              <wp:positionH relativeFrom="margin">
                <wp:posOffset>-107950</wp:posOffset>
              </wp:positionH>
              <wp:positionV relativeFrom="page">
                <wp:posOffset>1423035</wp:posOffset>
              </wp:positionV>
              <wp:extent cx="6840220" cy="8686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9DAC6" w14:textId="77777777" w:rsidR="00C93CCC" w:rsidRDefault="00C93C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99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112.05pt;width:538.6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" o:allowincell="f">
              <v:textbox>
                <w:txbxContent>
                  <w:p w14:paraId="0C89DAC6" w14:textId="77777777" w:rsidR="00C93CCC" w:rsidRDefault="00C93CCC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1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6"/>
      <w:gridCol w:w="3808"/>
      <w:gridCol w:w="2063"/>
      <w:gridCol w:w="3853"/>
    </w:tblGrid>
    <w:tr w:rsidR="00546D77" w14:paraId="1E577442" w14:textId="77777777" w:rsidTr="00C14045">
      <w:trPr>
        <w:cantSplit/>
        <w:trHeight w:val="518"/>
        <w:jc w:val="center"/>
      </w:trPr>
      <w:tc>
        <w:tcPr>
          <w:tcW w:w="1386" w:type="dxa"/>
          <w:vMerge w:val="restart"/>
        </w:tcPr>
        <w:p w14:paraId="6CB9E49B" w14:textId="77777777" w:rsidR="00546D77" w:rsidRDefault="00546D77">
          <w:pPr>
            <w:pStyle w:val="Header"/>
            <w:tabs>
              <w:tab w:val="clear" w:pos="4252"/>
              <w:tab w:val="clear" w:pos="8504"/>
            </w:tabs>
            <w:ind w:left="-41" w:right="1318"/>
          </w:pPr>
          <w:r>
            <w:object w:dxaOrig="1081" w:dyaOrig="1141" w14:anchorId="18A5A6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56.95pt;height:59.45pt" fillcolor="window">
                <v:imagedata r:id="rId1" o:title=""/>
              </v:shape>
              <o:OLEObject Type="Embed" ProgID="Word.Picture.8" ShapeID="_x0000_i1046" DrawAspect="Content" ObjectID="_1724479958" r:id="rId2"/>
            </w:object>
          </w:r>
        </w:p>
      </w:tc>
      <w:tc>
        <w:tcPr>
          <w:tcW w:w="3808" w:type="dxa"/>
          <w:vMerge w:val="restart"/>
        </w:tcPr>
        <w:p w14:paraId="6198FA01" w14:textId="77777777" w:rsidR="00546D77" w:rsidRPr="008D3E08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2"/>
              <w:szCs w:val="22"/>
            </w:rPr>
          </w:pPr>
          <w:r>
            <w:rPr>
              <w:sz w:val="22"/>
            </w:rPr>
            <w:t xml:space="preserve">KÖZLEKEDÉSI, </w:t>
          </w:r>
        </w:p>
        <w:p w14:paraId="72B91BEF" w14:textId="0FE9D540" w:rsidR="00546D77" w:rsidRPr="008D3E08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2"/>
              <w:szCs w:val="22"/>
            </w:rPr>
          </w:pPr>
          <w:r>
            <w:rPr>
              <w:sz w:val="22"/>
            </w:rPr>
            <w:t>MOBILITÁSI ÉS VÁROSFEJLESZTÉSI MINISZTÉRIUM</w:t>
          </w:r>
        </w:p>
        <w:p w14:paraId="17DC2EEB" w14:textId="77777777" w:rsidR="008D3E08" w:rsidRPr="008D3E08" w:rsidRDefault="008D3E08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2"/>
              <w:szCs w:val="22"/>
            </w:rPr>
          </w:pPr>
        </w:p>
        <w:p w14:paraId="76421220" w14:textId="2838AE55" w:rsidR="008D3E08" w:rsidRDefault="008D3E08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rFonts w:ascii="Gill Sans MT" w:hAnsi="Gill Sans MT"/>
              <w:sz w:val="16"/>
            </w:rPr>
          </w:pPr>
          <w:r>
            <w:rPr>
              <w:sz w:val="22"/>
            </w:rPr>
            <w:t>AZ ÖKOLÓGIAI ÁTMENETÉRT ÉS A DEMOGRÁFIAI KIHÍVÁSÉRT FELELŐS MINISZTÉRIUM</w:t>
          </w:r>
        </w:p>
      </w:tc>
      <w:tc>
        <w:tcPr>
          <w:tcW w:w="2063" w:type="dxa"/>
          <w:vMerge w:val="restart"/>
        </w:tcPr>
        <w:p w14:paraId="5FBE566D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853" w:type="dxa"/>
        </w:tcPr>
        <w:p w14:paraId="240676BB" w14:textId="77777777" w:rsidR="00546D77" w:rsidRDefault="00546D77">
          <w:pPr>
            <w:pStyle w:val="Header"/>
            <w:tabs>
              <w:tab w:val="clear" w:pos="4252"/>
              <w:tab w:val="left" w:pos="6521"/>
            </w:tabs>
            <w:spacing w:before="100"/>
          </w:pPr>
        </w:p>
        <w:p w14:paraId="2705A353" w14:textId="77777777" w:rsidR="00546D77" w:rsidRDefault="00546D77">
          <w:pPr>
            <w:pStyle w:val="Header"/>
            <w:tabs>
              <w:tab w:val="clear" w:pos="4252"/>
              <w:tab w:val="left" w:pos="6521"/>
            </w:tabs>
            <w:spacing w:before="100"/>
          </w:pPr>
        </w:p>
      </w:tc>
    </w:tr>
    <w:tr w:rsidR="00546D77" w14:paraId="4DD47A0F" w14:textId="77777777" w:rsidTr="00C14045">
      <w:trPr>
        <w:cantSplit/>
        <w:trHeight w:hRule="exact" w:val="121"/>
        <w:jc w:val="center"/>
      </w:trPr>
      <w:tc>
        <w:tcPr>
          <w:tcW w:w="1386" w:type="dxa"/>
          <w:vMerge/>
        </w:tcPr>
        <w:p w14:paraId="1C13B7EF" w14:textId="77777777" w:rsidR="00546D77" w:rsidRDefault="00546D77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808" w:type="dxa"/>
          <w:vMerge/>
        </w:tcPr>
        <w:p w14:paraId="3B8408E4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063" w:type="dxa"/>
          <w:vMerge/>
        </w:tcPr>
        <w:p w14:paraId="5355EE17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853" w:type="dxa"/>
        </w:tcPr>
        <w:p w14:paraId="229BCB56" w14:textId="77777777" w:rsidR="00546D77" w:rsidRDefault="00546D77">
          <w:pPr>
            <w:pStyle w:val="Header"/>
            <w:tabs>
              <w:tab w:val="clear" w:pos="4252"/>
              <w:tab w:val="left" w:pos="6521"/>
            </w:tabs>
            <w:ind w:right="782"/>
            <w:rPr>
              <w:rFonts w:ascii="Gill Sans MT" w:hAnsi="Gill Sans MT"/>
              <w:sz w:val="14"/>
            </w:rPr>
          </w:pPr>
        </w:p>
      </w:tc>
    </w:tr>
    <w:tr w:rsidR="00546D77" w14:paraId="5B3C05C1" w14:textId="77777777" w:rsidTr="00C14045">
      <w:trPr>
        <w:cantSplit/>
        <w:trHeight w:hRule="exact" w:val="518"/>
        <w:jc w:val="center"/>
      </w:trPr>
      <w:tc>
        <w:tcPr>
          <w:tcW w:w="1386" w:type="dxa"/>
          <w:vMerge/>
        </w:tcPr>
        <w:p w14:paraId="6B5B66CA" w14:textId="77777777" w:rsidR="00546D77" w:rsidRDefault="00546D77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808" w:type="dxa"/>
          <w:vMerge/>
        </w:tcPr>
        <w:p w14:paraId="2C834F51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063" w:type="dxa"/>
          <w:vMerge/>
        </w:tcPr>
        <w:p w14:paraId="44869AAF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E9179E" w14:textId="77777777" w:rsidR="00546D77" w:rsidRDefault="00546D77">
          <w:pPr>
            <w:pStyle w:val="Header"/>
            <w:tabs>
              <w:tab w:val="clear" w:pos="4252"/>
              <w:tab w:val="left" w:pos="6521"/>
            </w:tabs>
            <w:spacing w:before="100"/>
            <w:ind w:right="782"/>
          </w:pPr>
          <w:r>
            <w:rPr>
              <w:rFonts w:ascii="Gill Sans MT" w:hAnsi="Gill Sans MT"/>
              <w:sz w:val="14"/>
            </w:rPr>
            <w:t>HIV.:</w:t>
          </w:r>
        </w:p>
      </w:tc>
    </w:tr>
    <w:tr w:rsidR="00546D77" w14:paraId="245FEC80" w14:textId="77777777" w:rsidTr="00C14045">
      <w:trPr>
        <w:cantSplit/>
        <w:trHeight w:hRule="exact" w:val="728"/>
        <w:jc w:val="center"/>
      </w:trPr>
      <w:tc>
        <w:tcPr>
          <w:tcW w:w="1386" w:type="dxa"/>
          <w:vMerge/>
        </w:tcPr>
        <w:p w14:paraId="28B5929C" w14:textId="77777777" w:rsidR="00546D77" w:rsidRDefault="00546D77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808" w:type="dxa"/>
          <w:vMerge/>
        </w:tcPr>
        <w:p w14:paraId="58C627D0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063" w:type="dxa"/>
          <w:vMerge/>
        </w:tcPr>
        <w:p w14:paraId="44F238CB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79A29C" w14:textId="77777777" w:rsidR="00546D77" w:rsidRDefault="00546D77">
          <w:pPr>
            <w:pStyle w:val="Header"/>
            <w:tabs>
              <w:tab w:val="clear" w:pos="4252"/>
              <w:tab w:val="left" w:pos="6521"/>
            </w:tabs>
            <w:spacing w:before="100"/>
            <w:ind w:right="782"/>
          </w:pPr>
          <w:r>
            <w:rPr>
              <w:rFonts w:ascii="Gill Sans MT" w:hAnsi="Gill Sans MT"/>
              <w:sz w:val="14"/>
            </w:rPr>
            <w:t>MT. HIV.:</w:t>
          </w:r>
        </w:p>
      </w:tc>
    </w:tr>
  </w:tbl>
  <w:p w14:paraId="0F00BC53" w14:textId="5A2A6B0E" w:rsidR="00C93CCC" w:rsidRDefault="00FD453F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F39437" wp14:editId="6D6516D9">
              <wp:simplePos x="0" y="0"/>
              <wp:positionH relativeFrom="margin">
                <wp:posOffset>-107950</wp:posOffset>
              </wp:positionH>
              <wp:positionV relativeFrom="page">
                <wp:posOffset>5080000</wp:posOffset>
              </wp:positionV>
              <wp:extent cx="6840220" cy="51695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5169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0644B" w14:textId="77777777" w:rsidR="00C93CCC" w:rsidRDefault="00C93C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39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.5pt;margin-top:400pt;width:538.6pt;height:407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" o:allowincell="f">
              <v:textbox>
                <w:txbxContent>
                  <w:p w14:paraId="0930644B" w14:textId="77777777" w:rsidR="00C93CCC" w:rsidRDefault="00C93CCC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B14"/>
    <w:multiLevelType w:val="hybridMultilevel"/>
    <w:tmpl w:val="542C774E"/>
    <w:lvl w:ilvl="0" w:tplc="B2BAFBE0">
      <w:start w:val="1"/>
      <w:numFmt w:val="decimal"/>
      <w:lvlText w:val="%1"/>
      <w:lvlJc w:val="left"/>
      <w:pPr>
        <w:ind w:left="29115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355" w:hanging="360"/>
      </w:pPr>
    </w:lvl>
    <w:lvl w:ilvl="2" w:tplc="0C0A001B" w:tentative="1">
      <w:start w:val="1"/>
      <w:numFmt w:val="lowerRoman"/>
      <w:lvlText w:val="%3."/>
      <w:lvlJc w:val="right"/>
      <w:pPr>
        <w:ind w:left="30075" w:hanging="180"/>
      </w:pPr>
    </w:lvl>
    <w:lvl w:ilvl="3" w:tplc="0C0A000F" w:tentative="1">
      <w:start w:val="1"/>
      <w:numFmt w:val="decimal"/>
      <w:lvlText w:val="%4."/>
      <w:lvlJc w:val="left"/>
      <w:pPr>
        <w:ind w:left="30795" w:hanging="360"/>
      </w:pPr>
    </w:lvl>
    <w:lvl w:ilvl="4" w:tplc="0C0A0019" w:tentative="1">
      <w:start w:val="1"/>
      <w:numFmt w:val="lowerLetter"/>
      <w:lvlText w:val="%5."/>
      <w:lvlJc w:val="left"/>
      <w:pPr>
        <w:ind w:left="31515" w:hanging="360"/>
      </w:pPr>
    </w:lvl>
    <w:lvl w:ilvl="5" w:tplc="0C0A001B" w:tentative="1">
      <w:start w:val="1"/>
      <w:numFmt w:val="lowerRoman"/>
      <w:lvlText w:val="%6."/>
      <w:lvlJc w:val="right"/>
      <w:pPr>
        <w:ind w:left="32235" w:hanging="180"/>
      </w:pPr>
    </w:lvl>
    <w:lvl w:ilvl="6" w:tplc="0C0A000F" w:tentative="1">
      <w:start w:val="1"/>
      <w:numFmt w:val="decimal"/>
      <w:lvlText w:val="%7."/>
      <w:lvlJc w:val="left"/>
      <w:pPr>
        <w:ind w:left="-32581" w:hanging="360"/>
      </w:pPr>
    </w:lvl>
    <w:lvl w:ilvl="7" w:tplc="0C0A0019" w:tentative="1">
      <w:start w:val="1"/>
      <w:numFmt w:val="lowerLetter"/>
      <w:lvlText w:val="%8."/>
      <w:lvlJc w:val="left"/>
      <w:pPr>
        <w:ind w:left="-31861" w:hanging="360"/>
      </w:pPr>
    </w:lvl>
    <w:lvl w:ilvl="8" w:tplc="0C0A001B" w:tentative="1">
      <w:start w:val="1"/>
      <w:numFmt w:val="lowerRoman"/>
      <w:lvlText w:val="%9."/>
      <w:lvlJc w:val="right"/>
      <w:pPr>
        <w:ind w:left="-31141" w:hanging="180"/>
      </w:pPr>
    </w:lvl>
  </w:abstractNum>
  <w:abstractNum w:abstractNumId="1" w15:restartNumberingAfterBreak="0">
    <w:nsid w:val="037E37B5"/>
    <w:multiLevelType w:val="hybridMultilevel"/>
    <w:tmpl w:val="3EA0DA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5B39"/>
    <w:multiLevelType w:val="hybridMultilevel"/>
    <w:tmpl w:val="C6BEE67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85190B"/>
    <w:multiLevelType w:val="hybridMultilevel"/>
    <w:tmpl w:val="EDF21534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E2128D4"/>
    <w:multiLevelType w:val="hybridMultilevel"/>
    <w:tmpl w:val="76C60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6A9D"/>
    <w:multiLevelType w:val="hybridMultilevel"/>
    <w:tmpl w:val="60C833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1454"/>
    <w:multiLevelType w:val="hybridMultilevel"/>
    <w:tmpl w:val="131C936C"/>
    <w:lvl w:ilvl="0" w:tplc="2EB8C1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253EF"/>
    <w:multiLevelType w:val="multilevel"/>
    <w:tmpl w:val="666816C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A4502"/>
    <w:multiLevelType w:val="multilevel"/>
    <w:tmpl w:val="F062902C"/>
    <w:lvl w:ilvl="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32F5F"/>
    <w:multiLevelType w:val="hybridMultilevel"/>
    <w:tmpl w:val="C7525166"/>
    <w:lvl w:ilvl="0" w:tplc="926489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CD7FAC"/>
    <w:multiLevelType w:val="multilevel"/>
    <w:tmpl w:val="768EBD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FBB6F6B"/>
    <w:multiLevelType w:val="hybridMultilevel"/>
    <w:tmpl w:val="68A05250"/>
    <w:lvl w:ilvl="0" w:tplc="0C0A0017">
      <w:start w:val="1"/>
      <w:numFmt w:val="lowerLetter"/>
      <w:lvlText w:val="%1)"/>
      <w:lvlJc w:val="left"/>
      <w:pPr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211B"/>
    <w:multiLevelType w:val="multilevel"/>
    <w:tmpl w:val="614C401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3" w15:restartNumberingAfterBreak="0">
    <w:nsid w:val="26D74DAF"/>
    <w:multiLevelType w:val="hybridMultilevel"/>
    <w:tmpl w:val="CBD8B54E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D7A4F97"/>
    <w:multiLevelType w:val="hybridMultilevel"/>
    <w:tmpl w:val="CCE87788"/>
    <w:lvl w:ilvl="0" w:tplc="3C366EA8">
      <w:start w:val="1"/>
      <w:numFmt w:val="lowerLetter"/>
      <w:lvlText w:val="%1)"/>
      <w:lvlJc w:val="left"/>
      <w:pPr>
        <w:ind w:left="3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3" w:hanging="360"/>
      </w:pPr>
    </w:lvl>
    <w:lvl w:ilvl="2" w:tplc="0C0A001B" w:tentative="1">
      <w:start w:val="1"/>
      <w:numFmt w:val="lowerRoman"/>
      <w:lvlText w:val="%3."/>
      <w:lvlJc w:val="right"/>
      <w:pPr>
        <w:ind w:left="1813" w:hanging="180"/>
      </w:pPr>
    </w:lvl>
    <w:lvl w:ilvl="3" w:tplc="0C0A000F" w:tentative="1">
      <w:start w:val="1"/>
      <w:numFmt w:val="decimal"/>
      <w:lvlText w:val="%4."/>
      <w:lvlJc w:val="left"/>
      <w:pPr>
        <w:ind w:left="2533" w:hanging="360"/>
      </w:pPr>
    </w:lvl>
    <w:lvl w:ilvl="4" w:tplc="0C0A0019" w:tentative="1">
      <w:start w:val="1"/>
      <w:numFmt w:val="lowerLetter"/>
      <w:lvlText w:val="%5."/>
      <w:lvlJc w:val="left"/>
      <w:pPr>
        <w:ind w:left="3253" w:hanging="360"/>
      </w:pPr>
    </w:lvl>
    <w:lvl w:ilvl="5" w:tplc="0C0A001B" w:tentative="1">
      <w:start w:val="1"/>
      <w:numFmt w:val="lowerRoman"/>
      <w:lvlText w:val="%6."/>
      <w:lvlJc w:val="right"/>
      <w:pPr>
        <w:ind w:left="3973" w:hanging="180"/>
      </w:pPr>
    </w:lvl>
    <w:lvl w:ilvl="6" w:tplc="0C0A000F" w:tentative="1">
      <w:start w:val="1"/>
      <w:numFmt w:val="decimal"/>
      <w:lvlText w:val="%7."/>
      <w:lvlJc w:val="left"/>
      <w:pPr>
        <w:ind w:left="4693" w:hanging="360"/>
      </w:pPr>
    </w:lvl>
    <w:lvl w:ilvl="7" w:tplc="0C0A0019" w:tentative="1">
      <w:start w:val="1"/>
      <w:numFmt w:val="lowerLetter"/>
      <w:lvlText w:val="%8."/>
      <w:lvlJc w:val="left"/>
      <w:pPr>
        <w:ind w:left="5413" w:hanging="360"/>
      </w:pPr>
    </w:lvl>
    <w:lvl w:ilvl="8" w:tplc="0C0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33EA6229"/>
    <w:multiLevelType w:val="hybridMultilevel"/>
    <w:tmpl w:val="14BCE4D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E60D7E"/>
    <w:multiLevelType w:val="hybridMultilevel"/>
    <w:tmpl w:val="7400A8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218E"/>
    <w:multiLevelType w:val="hybridMultilevel"/>
    <w:tmpl w:val="B40A7106"/>
    <w:lvl w:ilvl="0" w:tplc="1EEEEE4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148"/>
    <w:multiLevelType w:val="hybridMultilevel"/>
    <w:tmpl w:val="5922E64A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4DF5CF3"/>
    <w:multiLevelType w:val="hybridMultilevel"/>
    <w:tmpl w:val="836675F0"/>
    <w:lvl w:ilvl="0" w:tplc="74E61344">
      <w:start w:val="2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24F99"/>
    <w:multiLevelType w:val="hybridMultilevel"/>
    <w:tmpl w:val="0EB6E110"/>
    <w:lvl w:ilvl="0" w:tplc="10388C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AF73D0"/>
    <w:multiLevelType w:val="hybridMultilevel"/>
    <w:tmpl w:val="4B264938"/>
    <w:lvl w:ilvl="0" w:tplc="0C0A0017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BD3646"/>
    <w:multiLevelType w:val="hybridMultilevel"/>
    <w:tmpl w:val="EB6644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7108E"/>
    <w:multiLevelType w:val="hybridMultilevel"/>
    <w:tmpl w:val="B512019C"/>
    <w:lvl w:ilvl="0" w:tplc="9F2A7D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76012"/>
    <w:multiLevelType w:val="hybridMultilevel"/>
    <w:tmpl w:val="264A6ABA"/>
    <w:lvl w:ilvl="0" w:tplc="99B8C1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4742056"/>
    <w:multiLevelType w:val="hybridMultilevel"/>
    <w:tmpl w:val="E222D0B2"/>
    <w:lvl w:ilvl="0" w:tplc="6FDEFA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5F81EE4"/>
    <w:multiLevelType w:val="hybridMultilevel"/>
    <w:tmpl w:val="C4CAF34C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1395B"/>
    <w:multiLevelType w:val="hybridMultilevel"/>
    <w:tmpl w:val="670A68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788C"/>
    <w:multiLevelType w:val="hybridMultilevel"/>
    <w:tmpl w:val="CAACE7F4"/>
    <w:lvl w:ilvl="0" w:tplc="4CEAFD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C14C67"/>
    <w:multiLevelType w:val="hybridMultilevel"/>
    <w:tmpl w:val="3EA0DA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3567D"/>
    <w:multiLevelType w:val="hybridMultilevel"/>
    <w:tmpl w:val="76C60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804DE"/>
    <w:multiLevelType w:val="hybridMultilevel"/>
    <w:tmpl w:val="043CBBB6"/>
    <w:lvl w:ilvl="0" w:tplc="DD4072F8">
      <w:start w:val="7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4CD22FD"/>
    <w:multiLevelType w:val="multilevel"/>
    <w:tmpl w:val="DFA8C28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1440"/>
      </w:pPr>
      <w:rPr>
        <w:rFonts w:hint="default"/>
      </w:rPr>
    </w:lvl>
  </w:abstractNum>
  <w:abstractNum w:abstractNumId="33" w15:restartNumberingAfterBreak="0">
    <w:nsid w:val="7BBB7816"/>
    <w:multiLevelType w:val="hybridMultilevel"/>
    <w:tmpl w:val="4EE4F858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6165444">
    <w:abstractNumId w:val="13"/>
  </w:num>
  <w:num w:numId="2" w16cid:durableId="640647079">
    <w:abstractNumId w:val="3"/>
  </w:num>
  <w:num w:numId="3" w16cid:durableId="776681883">
    <w:abstractNumId w:val="2"/>
  </w:num>
  <w:num w:numId="4" w16cid:durableId="295841785">
    <w:abstractNumId w:val="18"/>
  </w:num>
  <w:num w:numId="5" w16cid:durableId="838276280">
    <w:abstractNumId w:val="28"/>
  </w:num>
  <w:num w:numId="6" w16cid:durableId="571279413">
    <w:abstractNumId w:val="31"/>
  </w:num>
  <w:num w:numId="7" w16cid:durableId="782578975">
    <w:abstractNumId w:val="12"/>
  </w:num>
  <w:num w:numId="8" w16cid:durableId="1270163073">
    <w:abstractNumId w:val="12"/>
    <w:lvlOverride w:ilvl="0">
      <w:startOverride w:val="1"/>
    </w:lvlOverride>
  </w:num>
  <w:num w:numId="9" w16cid:durableId="158887420">
    <w:abstractNumId w:val="1"/>
  </w:num>
  <w:num w:numId="10" w16cid:durableId="1676878742">
    <w:abstractNumId w:val="29"/>
  </w:num>
  <w:num w:numId="11" w16cid:durableId="2055226268">
    <w:abstractNumId w:val="5"/>
  </w:num>
  <w:num w:numId="12" w16cid:durableId="1522432203">
    <w:abstractNumId w:val="20"/>
  </w:num>
  <w:num w:numId="13" w16cid:durableId="291982446">
    <w:abstractNumId w:val="19"/>
  </w:num>
  <w:num w:numId="14" w16cid:durableId="2104302648">
    <w:abstractNumId w:val="0"/>
  </w:num>
  <w:num w:numId="15" w16cid:durableId="594635587">
    <w:abstractNumId w:val="24"/>
  </w:num>
  <w:num w:numId="16" w16cid:durableId="649208695">
    <w:abstractNumId w:val="9"/>
  </w:num>
  <w:num w:numId="17" w16cid:durableId="1010789022">
    <w:abstractNumId w:val="11"/>
  </w:num>
  <w:num w:numId="18" w16cid:durableId="772552138">
    <w:abstractNumId w:val="14"/>
  </w:num>
  <w:num w:numId="19" w16cid:durableId="338392972">
    <w:abstractNumId w:val="16"/>
  </w:num>
  <w:num w:numId="20" w16cid:durableId="677078459">
    <w:abstractNumId w:val="22"/>
  </w:num>
  <w:num w:numId="21" w16cid:durableId="888809413">
    <w:abstractNumId w:val="15"/>
  </w:num>
  <w:num w:numId="22" w16cid:durableId="487944804">
    <w:abstractNumId w:val="10"/>
  </w:num>
  <w:num w:numId="23" w16cid:durableId="1331299523">
    <w:abstractNumId w:val="32"/>
  </w:num>
  <w:num w:numId="24" w16cid:durableId="262542336">
    <w:abstractNumId w:val="6"/>
  </w:num>
  <w:num w:numId="25" w16cid:durableId="669719516">
    <w:abstractNumId w:val="4"/>
  </w:num>
  <w:num w:numId="26" w16cid:durableId="809595804">
    <w:abstractNumId w:val="17"/>
  </w:num>
  <w:num w:numId="27" w16cid:durableId="940382160">
    <w:abstractNumId w:val="30"/>
  </w:num>
  <w:num w:numId="28" w16cid:durableId="644630731">
    <w:abstractNumId w:val="27"/>
  </w:num>
  <w:num w:numId="29" w16cid:durableId="438450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5157183">
    <w:abstractNumId w:val="26"/>
  </w:num>
  <w:num w:numId="31" w16cid:durableId="681014506">
    <w:abstractNumId w:val="33"/>
  </w:num>
  <w:num w:numId="32" w16cid:durableId="82923998">
    <w:abstractNumId w:val="8"/>
  </w:num>
  <w:num w:numId="33" w16cid:durableId="609434477">
    <w:abstractNumId w:val="7"/>
  </w:num>
  <w:num w:numId="34" w16cid:durableId="1394111462">
    <w:abstractNumId w:val="23"/>
  </w:num>
  <w:num w:numId="35" w16cid:durableId="581530033">
    <w:abstractNumId w:val="25"/>
  </w:num>
  <w:num w:numId="36" w16cid:durableId="984629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CC"/>
    <w:rsid w:val="000370F1"/>
    <w:rsid w:val="000760AB"/>
    <w:rsid w:val="000C089F"/>
    <w:rsid w:val="001F7365"/>
    <w:rsid w:val="002B64A6"/>
    <w:rsid w:val="004D344F"/>
    <w:rsid w:val="00513973"/>
    <w:rsid w:val="00546D77"/>
    <w:rsid w:val="00625684"/>
    <w:rsid w:val="00717198"/>
    <w:rsid w:val="007C6042"/>
    <w:rsid w:val="008577E8"/>
    <w:rsid w:val="008D3E08"/>
    <w:rsid w:val="00991C0F"/>
    <w:rsid w:val="009B305A"/>
    <w:rsid w:val="00B00277"/>
    <w:rsid w:val="00B369EC"/>
    <w:rsid w:val="00BC3417"/>
    <w:rsid w:val="00C14045"/>
    <w:rsid w:val="00C93CCC"/>
    <w:rsid w:val="00CE0018"/>
    <w:rsid w:val="00D60A1D"/>
    <w:rsid w:val="00E379B2"/>
    <w:rsid w:val="00E605F9"/>
    <w:rsid w:val="00EA33B6"/>
    <w:rsid w:val="00EB4797"/>
    <w:rsid w:val="00F00583"/>
    <w:rsid w:val="00F34379"/>
    <w:rsid w:val="00F43C1F"/>
    <w:rsid w:val="00F96586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DB9D97"/>
  <w15:chartTrackingRefBased/>
  <w15:docId w15:val="{D5C0325E-C9FD-4E76-A1D4-6A1D1B8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0AB"/>
    <w:pPr>
      <w:keepNext/>
      <w:spacing w:before="240" w:after="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0AB"/>
    <w:pPr>
      <w:keepNext/>
      <w:spacing w:before="240" w:after="6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0AB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540" w:right="892"/>
      <w:jc w:val="both"/>
    </w:pPr>
    <w:rPr>
      <w:rFonts w:ascii="Arial" w:hAnsi="Arial"/>
      <w:sz w:val="28"/>
    </w:rPr>
  </w:style>
  <w:style w:type="paragraph" w:styleId="FootnoteText">
    <w:name w:val="footnote text"/>
    <w:basedOn w:val="Normal"/>
    <w:link w:val="FootnoteTextChar"/>
    <w:rsid w:val="008577E8"/>
    <w:rPr>
      <w:sz w:val="20"/>
      <w:szCs w:val="20"/>
    </w:rPr>
  </w:style>
  <w:style w:type="character" w:customStyle="1" w:styleId="FootnoteTextChar">
    <w:name w:val="Footnote Text Char"/>
    <w:link w:val="FootnoteText"/>
    <w:rsid w:val="008577E8"/>
    <w:rPr>
      <w:lang w:val="hu-HU" w:eastAsia="es-ES" w:bidi="ar-SA"/>
    </w:rPr>
  </w:style>
  <w:style w:type="paragraph" w:customStyle="1" w:styleId="Ttulo11">
    <w:name w:val="Título 11"/>
    <w:basedOn w:val="Normal"/>
    <w:next w:val="Normal"/>
    <w:uiPriority w:val="9"/>
    <w:qFormat/>
    <w:rsid w:val="000760AB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0760AB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760AB"/>
    <w:rPr>
      <w:rFonts w:ascii="Calibri" w:hAnsi="Calibri"/>
      <w:b/>
      <w:bCs/>
      <w:sz w:val="28"/>
      <w:szCs w:val="28"/>
      <w:lang w:eastAsia="zh-CN"/>
    </w:rPr>
  </w:style>
  <w:style w:type="numbering" w:customStyle="1" w:styleId="Sinlista1">
    <w:name w:val="Sin lista1"/>
    <w:next w:val="NoList"/>
    <w:uiPriority w:val="99"/>
    <w:semiHidden/>
    <w:unhideWhenUsed/>
    <w:rsid w:val="000760AB"/>
  </w:style>
  <w:style w:type="character" w:customStyle="1" w:styleId="Heading1Char">
    <w:name w:val="Heading 1 Char"/>
    <w:link w:val="Heading1"/>
    <w:uiPriority w:val="9"/>
    <w:rsid w:val="000760A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760AB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rrafodelista1">
    <w:name w:val="Párrafo de lista1"/>
    <w:basedOn w:val="Normal"/>
    <w:next w:val="ListParagraph"/>
    <w:uiPriority w:val="34"/>
    <w:qFormat/>
    <w:rsid w:val="000760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nhideWhenUsed/>
    <w:rsid w:val="000760AB"/>
    <w:rPr>
      <w:sz w:val="16"/>
      <w:szCs w:val="16"/>
    </w:rPr>
  </w:style>
  <w:style w:type="paragraph" w:customStyle="1" w:styleId="Textocomentario1">
    <w:name w:val="Texto comentario1"/>
    <w:basedOn w:val="Normal"/>
    <w:next w:val="CommentText"/>
    <w:link w:val="TextocomentarioCar"/>
    <w:unhideWhenUsed/>
    <w:qFormat/>
    <w:rsid w:val="000760AB"/>
    <w:pPr>
      <w:spacing w:after="160"/>
    </w:pPr>
    <w:rPr>
      <w:sz w:val="20"/>
      <w:szCs w:val="20"/>
    </w:rPr>
  </w:style>
  <w:style w:type="character" w:customStyle="1" w:styleId="TextocomentarioCar">
    <w:name w:val="Texto comentario Car"/>
    <w:link w:val="Textocomentario1"/>
    <w:rsid w:val="000760AB"/>
    <w:rPr>
      <w:sz w:val="20"/>
      <w:szCs w:val="20"/>
    </w:rPr>
  </w:style>
  <w:style w:type="paragraph" w:customStyle="1" w:styleId="Textodeglobo1">
    <w:name w:val="Texto de globo1"/>
    <w:basedOn w:val="Normal"/>
    <w:next w:val="BalloonText"/>
    <w:link w:val="TextodegloboCar"/>
    <w:uiPriority w:val="99"/>
    <w:semiHidden/>
    <w:unhideWhenUsed/>
    <w:rsid w:val="000760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1"/>
    <w:uiPriority w:val="99"/>
    <w:semiHidden/>
    <w:rsid w:val="000760AB"/>
    <w:rPr>
      <w:rFonts w:ascii="Segoe UI" w:hAnsi="Segoe UI" w:cs="Segoe UI"/>
      <w:sz w:val="18"/>
      <w:szCs w:val="18"/>
    </w:rPr>
  </w:style>
  <w:style w:type="paragraph" w:customStyle="1" w:styleId="Asuntodelcomentario1">
    <w:name w:val="Asunto del comentario1"/>
    <w:basedOn w:val="CommentText"/>
    <w:next w:val="CommentText"/>
    <w:uiPriority w:val="99"/>
    <w:semiHidden/>
    <w:unhideWhenUsed/>
    <w:rsid w:val="000760AB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0760AB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760A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760AB"/>
    <w:rPr>
      <w:sz w:val="24"/>
      <w:szCs w:val="24"/>
    </w:rPr>
  </w:style>
  <w:style w:type="table" w:customStyle="1" w:styleId="Tablaconcuadrcula1">
    <w:name w:val="Tabla con cuadrícula1"/>
    <w:basedOn w:val="TableNormal"/>
    <w:next w:val="TableGrid"/>
    <w:uiPriority w:val="39"/>
    <w:rsid w:val="000760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0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1">
    <w:name w:val="st1"/>
    <w:basedOn w:val="DefaultParagraphFont"/>
    <w:rsid w:val="000760AB"/>
  </w:style>
  <w:style w:type="paragraph" w:customStyle="1" w:styleId="CTENumeracion">
    <w:name w:val="CTE_Numeracion"/>
    <w:basedOn w:val="Normal"/>
    <w:qFormat/>
    <w:rsid w:val="000760AB"/>
    <w:pPr>
      <w:spacing w:before="60" w:after="60"/>
      <w:ind w:left="357" w:hanging="357"/>
      <w:jc w:val="both"/>
    </w:pPr>
    <w:rPr>
      <w:rFonts w:ascii="Arial" w:hAnsi="Arial"/>
      <w:sz w:val="20"/>
    </w:rPr>
  </w:style>
  <w:style w:type="character" w:customStyle="1" w:styleId="CTEModTachaprob">
    <w:name w:val="CTE_Mod_Tach_aprob"/>
    <w:rsid w:val="000760AB"/>
    <w:rPr>
      <w:strike w:val="0"/>
      <w:dstrike w:val="0"/>
      <w:shd w:val="clear" w:color="auto" w:fill="FFFF0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760AB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760AB"/>
    <w:rPr>
      <w:lang w:eastAsia="zh-CN"/>
    </w:rPr>
  </w:style>
  <w:style w:type="paragraph" w:customStyle="1" w:styleId="CteTtulo3">
    <w:name w:val="CteTítulo3"/>
    <w:basedOn w:val="Normal"/>
    <w:next w:val="Normal"/>
    <w:autoRedefine/>
    <w:rsid w:val="000760AB"/>
    <w:pPr>
      <w:keepNext/>
      <w:numPr>
        <w:ilvl w:val="2"/>
      </w:numPr>
      <w:spacing w:before="60" w:after="120"/>
      <w:ind w:left="851"/>
      <w:jc w:val="both"/>
      <w:outlineLvl w:val="3"/>
    </w:pPr>
    <w:rPr>
      <w:rFonts w:ascii="Arial" w:hAnsi="Arial"/>
      <w:b/>
      <w:bCs/>
      <w:sz w:val="22"/>
      <w:szCs w:val="22"/>
      <w:lang w:eastAsia="zh-CN"/>
    </w:rPr>
  </w:style>
  <w:style w:type="paragraph" w:customStyle="1" w:styleId="CteAnejo-TituloSeccion">
    <w:name w:val="CteAnejo-TituloSeccion"/>
    <w:basedOn w:val="Normal"/>
    <w:rsid w:val="000760AB"/>
    <w:pPr>
      <w:keepNext/>
      <w:spacing w:before="480" w:after="160"/>
      <w:outlineLvl w:val="0"/>
    </w:pPr>
    <w:rPr>
      <w:rFonts w:ascii="Arial" w:hAnsi="Arial"/>
      <w:b/>
      <w:bCs/>
      <w:sz w:val="32"/>
    </w:rPr>
  </w:style>
  <w:style w:type="character" w:customStyle="1" w:styleId="EstiloCTEModTachaprob16ptNegritaSinTachado">
    <w:name w:val="Estilo CTE_Mod_Tach_aprob + 16 pt Negrita Sin Tachado"/>
    <w:rsid w:val="000760AB"/>
    <w:rPr>
      <w:rFonts w:ascii="Arial" w:hAnsi="Arial"/>
      <w:b/>
      <w:bCs/>
      <w:strike/>
      <w:dstrike w:val="0"/>
      <w:sz w:val="32"/>
      <w:bdr w:val="none" w:sz="0" w:space="0" w:color="auto"/>
      <w:shd w:val="clear" w:color="auto" w:fill="auto"/>
    </w:rPr>
  </w:style>
  <w:style w:type="character" w:customStyle="1" w:styleId="EstiloCTEModTachaprobSinTachado">
    <w:name w:val="Estilo CTE_Mod_Tach_aprob + Sin Tachado"/>
    <w:rsid w:val="000760AB"/>
    <w:rPr>
      <w:strike/>
      <w:dstrike w:val="0"/>
      <w:bdr w:val="none" w:sz="0" w:space="0" w:color="auto"/>
      <w:shd w:val="clear" w:color="auto" w:fill="auto"/>
    </w:rPr>
  </w:style>
  <w:style w:type="paragraph" w:customStyle="1" w:styleId="Textoindependiente1">
    <w:name w:val="Texto independiente1"/>
    <w:basedOn w:val="Normal"/>
    <w:next w:val="BodyText"/>
    <w:link w:val="TextoindependienteCar"/>
    <w:uiPriority w:val="99"/>
    <w:semiHidden/>
    <w:unhideWhenUsed/>
    <w:rsid w:val="000760AB"/>
    <w:pPr>
      <w:spacing w:after="120" w:line="259" w:lineRule="auto"/>
    </w:pPr>
    <w:rPr>
      <w:sz w:val="20"/>
      <w:szCs w:val="20"/>
    </w:rPr>
  </w:style>
  <w:style w:type="character" w:customStyle="1" w:styleId="TextoindependienteCar">
    <w:name w:val="Texto independiente Car"/>
    <w:basedOn w:val="DefaultParagraphFont"/>
    <w:link w:val="Textoindependiente1"/>
    <w:uiPriority w:val="99"/>
    <w:semiHidden/>
    <w:rsid w:val="000760AB"/>
  </w:style>
  <w:style w:type="paragraph" w:customStyle="1" w:styleId="nota">
    <w:name w:val="nota"/>
    <w:basedOn w:val="Normal"/>
    <w:rsid w:val="000760AB"/>
    <w:pPr>
      <w:tabs>
        <w:tab w:val="left" w:pos="1122"/>
        <w:tab w:val="left" w:pos="1309"/>
      </w:tabs>
      <w:jc w:val="both"/>
    </w:pPr>
    <w:rPr>
      <w:rFonts w:ascii="Arial" w:hAnsi="Arial" w:cs="Arial"/>
      <w:bCs/>
      <w:sz w:val="20"/>
    </w:rPr>
  </w:style>
  <w:style w:type="paragraph" w:customStyle="1" w:styleId="Ttulo1CTE">
    <w:name w:val="Título1CTE"/>
    <w:basedOn w:val="Heading1"/>
    <w:next w:val="Normal"/>
    <w:autoRedefine/>
    <w:rsid w:val="000760AB"/>
  </w:style>
  <w:style w:type="paragraph" w:customStyle="1" w:styleId="artculo-tex">
    <w:name w:val="artículo-tex"/>
    <w:basedOn w:val="Normal"/>
    <w:rsid w:val="000760AB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uppressAutoHyphens/>
      <w:autoSpaceDN w:val="0"/>
      <w:spacing w:before="60" w:after="60"/>
      <w:textAlignment w:val="baseline"/>
    </w:pPr>
    <w:rPr>
      <w:rFonts w:ascii="Arial" w:eastAsia="Arial" w:hAnsi="Arial" w:cs="Arial"/>
      <w:kern w:val="3"/>
      <w:sz w:val="22"/>
      <w:lang w:bidi="hi-IN"/>
    </w:rPr>
  </w:style>
  <w:style w:type="numbering" w:customStyle="1" w:styleId="WWNum3">
    <w:name w:val="WWNum3"/>
    <w:basedOn w:val="NoList"/>
    <w:rsid w:val="000760AB"/>
    <w:pPr>
      <w:numPr>
        <w:numId w:val="7"/>
      </w:numPr>
    </w:pPr>
  </w:style>
  <w:style w:type="paragraph" w:customStyle="1" w:styleId="Revisin1">
    <w:name w:val="Revisión1"/>
    <w:next w:val="Revision"/>
    <w:hidden/>
    <w:uiPriority w:val="99"/>
    <w:semiHidden/>
    <w:rsid w:val="000760AB"/>
    <w:rPr>
      <w:rFonts w:ascii="Calibri" w:eastAsia="Calibri" w:hAnsi="Calibri"/>
      <w:sz w:val="22"/>
      <w:szCs w:val="22"/>
      <w:lang w:eastAsia="en-US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0760AB"/>
    <w:pPr>
      <w:spacing w:before="100" w:beforeAutospacing="1" w:after="100" w:afterAutospacing="1"/>
    </w:pPr>
    <w:rPr>
      <w:rFonts w:eastAsia="Calibri"/>
    </w:rPr>
  </w:style>
  <w:style w:type="paragraph" w:customStyle="1" w:styleId="CTENormal">
    <w:name w:val="CTE_Normal"/>
    <w:basedOn w:val="Normal"/>
    <w:qFormat/>
    <w:rsid w:val="000760AB"/>
    <w:pPr>
      <w:spacing w:before="200" w:after="100"/>
    </w:pPr>
    <w:rPr>
      <w:rFonts w:ascii="Arial" w:eastAsia="Arial" w:hAnsi="Arial" w:cs="Arial"/>
      <w:kern w:val="2"/>
      <w:sz w:val="22"/>
      <w:lang w:eastAsia="zh-CN" w:bidi="hi-IN"/>
    </w:rPr>
  </w:style>
  <w:style w:type="paragraph" w:customStyle="1" w:styleId="CteTtulo2">
    <w:name w:val="CteTítulo2"/>
    <w:basedOn w:val="Heading2"/>
    <w:qFormat/>
    <w:rsid w:val="000760AB"/>
  </w:style>
  <w:style w:type="character" w:customStyle="1" w:styleId="Ninguno">
    <w:name w:val="Ninguno"/>
    <w:rsid w:val="000760AB"/>
  </w:style>
  <w:style w:type="character" w:customStyle="1" w:styleId="Ttulo1Car1">
    <w:name w:val="Título 1 Car1"/>
    <w:basedOn w:val="DefaultParagraphFont"/>
    <w:rsid w:val="000760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1">
    <w:name w:val="Título 2 Car1"/>
    <w:basedOn w:val="DefaultParagraphFont"/>
    <w:semiHidden/>
    <w:rsid w:val="000760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0760AB"/>
    <w:pPr>
      <w:ind w:left="708"/>
    </w:pPr>
  </w:style>
  <w:style w:type="paragraph" w:styleId="CommentText">
    <w:name w:val="annotation text"/>
    <w:basedOn w:val="Normal"/>
    <w:link w:val="CommentTextChar"/>
    <w:rsid w:val="00076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60AB"/>
  </w:style>
  <w:style w:type="paragraph" w:styleId="BalloonText">
    <w:name w:val="Balloon Text"/>
    <w:basedOn w:val="Normal"/>
    <w:link w:val="BalloonTextChar"/>
    <w:semiHidden/>
    <w:unhideWhenUsed/>
    <w:rsid w:val="00076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0A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0AB"/>
    <w:rPr>
      <w:b/>
      <w:bCs/>
    </w:rPr>
  </w:style>
  <w:style w:type="character" w:customStyle="1" w:styleId="AsuntodelcomentarioCar1">
    <w:name w:val="Asunto del comentario Car1"/>
    <w:basedOn w:val="CommentTextChar"/>
    <w:semiHidden/>
    <w:rsid w:val="000760AB"/>
    <w:rPr>
      <w:b/>
      <w:bCs/>
    </w:rPr>
  </w:style>
  <w:style w:type="table" w:styleId="TableGrid">
    <w:name w:val="Table Grid"/>
    <w:basedOn w:val="TableNormal"/>
    <w:rsid w:val="0007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760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0AB"/>
    <w:rPr>
      <w:sz w:val="24"/>
      <w:szCs w:val="24"/>
    </w:rPr>
  </w:style>
  <w:style w:type="paragraph" w:styleId="Revision">
    <w:name w:val="Revision"/>
    <w:hidden/>
    <w:uiPriority w:val="99"/>
    <w:semiHidden/>
    <w:rsid w:val="000760AB"/>
    <w:rPr>
      <w:sz w:val="24"/>
      <w:szCs w:val="24"/>
    </w:rPr>
  </w:style>
  <w:style w:type="paragraph" w:styleId="NormalWeb">
    <w:name w:val="Normal (Web)"/>
    <w:basedOn w:val="Normal"/>
    <w:rsid w:val="0007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LANTILLAS\R.D.%20BLAN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R.D. BLANCA</Template>
  <TotalTime>1</TotalTime>
  <Pages>17</Pages>
  <Words>6584</Words>
  <Characters>46549</Characters>
  <Application>Microsoft Office Word</Application>
  <DocSecurity>0</DocSecurity>
  <Lines>646</Lines>
  <Paragraphs>279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 propone al Consejo de Ministros la aprobación del siguiente proyecto de disposición:</vt:lpstr>
    </vt:vector>
  </TitlesOfParts>
  <Company/>
  <LinksUpToDate>false</LinksUpToDate>
  <CharactersWithSpaces>52854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propone al Consejo de Ministros la aprobación del siguiente proyecto de disposición:</dc:title>
  <dc:subject/>
  <dc:creator>mlasalgado</dc:creator>
  <cp:keywords>class='Internal'</cp:keywords>
  <dc:description/>
  <cp:lastModifiedBy>Ines Varvodic</cp:lastModifiedBy>
  <cp:revision>2</cp:revision>
  <cp:lastPrinted>2002-07-26T08:33:00Z</cp:lastPrinted>
  <dcterms:created xsi:type="dcterms:W3CDTF">2022-09-12T07:26:00Z</dcterms:created>
  <dcterms:modified xsi:type="dcterms:W3CDTF">2022-09-12T07:26:00Z</dcterms:modified>
</cp:coreProperties>
</file>