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Proyecto</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Reino de Bélgica</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Servicio Público Federal de Salud Pública, Seguridad de la Cadena Alimentaria y Medio Ambiente</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Real Decreto por el que se modifica el Real Decreto de 27 de mayo de 2014 relativo a la comercialización de sustancias fabricadas con nanopartículas</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FELIPE, Rey de los belgas,</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Saludos a todos los presentes y futuros.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Vista la Ley, de 21 de diciembre de 1998, sobre normas de productos para la promoción de patrones de producción y consumo sostenibles y la protección del medio ambiente, la salud y los trabajadores, artículo 5, apartado 1, párrafo primero, punto 2, en su versión modificada por las Leyes de 27 de diciembre de 2004 y de 27 de julio de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Visto el Real Decreto, de 27 de mayo de 2014, sobre la comercialización de sustancias fabricadas con nanopartículas, en su versión modificada por el Real Decreto de 22 de diciembre de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Vista la participación de los Gobiernos regionales en la preparación de la presente Orden, en el marco de la Conferencia Interministerial sobre Medio Ambiente (CIE), celebrada el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del Consejo Nacional de Trabajo, emitido el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del Consejo Económico Central, emitido el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del Consejo Federal para el Desarrollo Sostenible, emitido el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del Consejo Superior de Salud, emitido el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del Consejo de Consumidores, emitido el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del Alto Consejo para la Prevención y Protección en el Trabajo, emitido el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Considerando la notificación del Consejo de Ministros, comunicada en el marco de la adopción del Real Decreto de 27 de mayo de 2014 relativo a la comercialización de sustancias fabricadas con nanopartículas, según la cual sería adecuada una priorización de las categorías de artículos que deben registrarse;</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estudio realizado por la Universidad de Namur en 2022, a raíz de la solicitud del Consejo de Ministros para la evaluación de los artículos, que puso de manifiesto el buen funcionamiento y la utilidad del Real Decreto de 27 de mayo de 2014 relativo a la comercialización de sustancias fabricadas con nanopartículas y la necesidad de completar la trazabilidad de los nanomateriales comercializados en Bélgica mediante la aplicación de la sección relativa a los artículos, dando </w:t>
            </w:r>
            <w:r>
              <w:rPr>
                <w:rFonts w:ascii="Times New Roman" w:hAnsi="Times New Roman"/>
                <w:sz w:val="24"/>
              </w:rPr>
              <w:lastRenderedPageBreak/>
              <w:t xml:space="preserve">prioridad a determinadas categorías de artículos para los que la exposición humana es más intensa o problemática;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Considerando la pandemia de la COVID-19, el uso generalizado de mascarillas por parte de consumidores no profesionales y los diversos estudios de </w:t>
            </w:r>
            <w:proofErr w:type="spellStart"/>
            <w:r>
              <w:rPr>
                <w:rFonts w:ascii="Times New Roman" w:hAnsi="Times New Roman"/>
                <w:sz w:val="24"/>
              </w:rPr>
              <w:t>Sciensano</w:t>
            </w:r>
            <w:proofErr w:type="spellEnd"/>
            <w:r>
              <w:rPr>
                <w:rFonts w:ascii="Times New Roman" w:hAnsi="Times New Roman"/>
                <w:sz w:val="24"/>
              </w:rPr>
              <w:t xml:space="preserve"> sobre las sustancias químicas preocupantes encontradas en las mascarillas, es esencial abordar este nuevo uso y las exposiciones que conlleva;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de la Inspección de Finanzas, emitido el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acuerdo del Ministro de Presupuesto, emitido el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el Dictamen </w:t>
            </w:r>
            <w:r>
              <w:rPr>
                <w:rFonts w:ascii="Times New Roman" w:hAnsi="Times New Roman"/>
                <w:sz w:val="24"/>
                <w:highlight w:val="yellow"/>
              </w:rPr>
              <w:t>XXX</w:t>
            </w:r>
            <w:r>
              <w:rPr>
                <w:rFonts w:ascii="Times New Roman" w:hAnsi="Times New Roman"/>
                <w:sz w:val="24"/>
              </w:rPr>
              <w:t xml:space="preserve"> del Consejo de Estado, emitido el </w:t>
            </w:r>
            <w:r>
              <w:rPr>
                <w:rFonts w:ascii="Times New Roman" w:hAnsi="Times New Roman"/>
                <w:sz w:val="24"/>
                <w:highlight w:val="yellow"/>
              </w:rPr>
              <w:t>XXX</w:t>
            </w:r>
            <w:r>
              <w:rPr>
                <w:rFonts w:ascii="Times New Roman" w:hAnsi="Times New Roman"/>
                <w:sz w:val="24"/>
              </w:rPr>
              <w:t>, de conformidad con el artículo 84, apartado 1, párrafo primero, punto 2, de la Ley del Consejo de Estado, refundida el 12 de enero de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A propuesta del Ministro de Economía y Trabajo, del Ministro de Sanidad y del Ministro de Medio Ambiente y el dictamen de los ministros que hayan deliberado en el Consejo,</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Hemos decretado y decretamos:</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Artículo</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En el artículo 1 del Real Decreto de 27 de mayo de 2014 relativo a la comercialización de sustancias fabricadas con nanopartículas se introducen las siguientes modificaciones:</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Quedan derogados los puntos 1 y 8.</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Queda derogado el punto 9, introducido por el Real Decreto de 22 de diciembre de 2017.</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El punto 4 se sustituye por el texto siguiente: «4) los productos alimenticios contemplados en el artículo 1, apartado 1, de la Ley de 24 de enero de 1977 sobre la protección de la salud de los consumidores en lo que respecta a los productos alimenticios y otros productos;».</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Artículo 2. </w:t>
            </w:r>
            <w:r>
              <w:rPr>
                <w:rFonts w:ascii="Times New Roman" w:hAnsi="Times New Roman"/>
                <w:sz w:val="24"/>
              </w:rPr>
              <w:t xml:space="preserve">En el artículo 2 de la misma Orden, el apartado 1 se completa con los puntos 26, 27 y 28, redactados como sigue: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producto cosmético: toda sustancia o mezcla destinada a ser puesta en contacto con las partes superficiales del cuerpo humano (epidermis, sistema piloso y capilar, uñas, labios y genitales externos) o con los dientes y las mucosas bucales con el fin, exclusivo o principal, de limpiarlos, perfumarlos, modificar su aspecto, protegerlos, mantenerlos en buen estado o corregir los olores corporales;</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biocida: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toda sustancia o mezcla, en la forma en que se entrega al usuario, constituida por una o varias sustancias activas, que la contengan o la generen, destinada a destruir, repeler o hacer inofensivos los organismos nocivos, a impedir su acción o a combatirlos de cualquier otro modo mediante una acción distinta de la simple acción física o mecánica,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 toda sustancia o mezcla generada por sustancias o mezclas que no entren a su vez en el ámbito de aplicación del primer guion, destinada a ser utilizada para destruir, repeler o neutralizar organismos nocivos, impedir su acción o combatirlos de cualquier otro modo mediante una acción distinta de la simple acción física o mecánica.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Un artículo tratado con una función principalmente biocida se considera un biocida;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materiales y objetos destinados a entrar en contacto con productos alimenticios: materiales y objetos, incluidos los materiales y objetos activos e inteligentes destinados a entrar en contacto con productos alimenticios, que, como producto acabado:</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estén destinados a entrar en contacto con productos alimenticios;</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ya estén en contacto con productos alimenticios y estén destinados a ello,</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de los que quepa esperar razonablemente que entren en contacto con productos alimenticios o transfieran sus constituyentes a productos alimenticios en las condiciones normales o previsibles de su uso.».</w:t>
            </w:r>
          </w:p>
        </w:tc>
      </w:tr>
      <w:tr w:rsidR="00294686" w:rsidRPr="00CE2EE1" w14:paraId="108FD4E2" w14:textId="77777777" w:rsidTr="00294686">
        <w:tc>
          <w:tcPr>
            <w:tcW w:w="5000" w:type="pct"/>
          </w:tcPr>
          <w:p w14:paraId="1BCD58B0" w14:textId="7152E489"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Artículo 3. </w:t>
            </w:r>
            <w:r>
              <w:rPr>
                <w:rFonts w:ascii="Times New Roman" w:hAnsi="Times New Roman"/>
                <w:sz w:val="24"/>
              </w:rPr>
              <w:t xml:space="preserve">En el capítulo 3 de la misma Orden se insertan y redactan los artículos 10 </w:t>
            </w:r>
            <w:r>
              <w:rPr>
                <w:rFonts w:ascii="Times New Roman" w:hAnsi="Times New Roman"/>
                <w:i/>
                <w:iCs/>
                <w:sz w:val="24"/>
              </w:rPr>
              <w:t>bis</w:t>
            </w:r>
            <w:r>
              <w:rPr>
                <w:rFonts w:ascii="Times New Roman" w:hAnsi="Times New Roman"/>
                <w:sz w:val="24"/>
              </w:rPr>
              <w:t xml:space="preserve"> a 10</w:t>
            </w:r>
            <w:r w:rsidR="00971FCB">
              <w:rPr>
                <w:rFonts w:ascii="Times New Roman" w:hAnsi="Times New Roman"/>
                <w:sz w:val="24"/>
              </w:rPr>
              <w:t> </w:t>
            </w:r>
            <w:proofErr w:type="spellStart"/>
            <w:r>
              <w:rPr>
                <w:rFonts w:ascii="Times New Roman" w:hAnsi="Times New Roman"/>
                <w:i/>
                <w:iCs/>
                <w:sz w:val="24"/>
              </w:rPr>
              <w:t>quater</w:t>
            </w:r>
            <w:proofErr w:type="spellEnd"/>
            <w:r>
              <w:rPr>
                <w:rFonts w:ascii="Times New Roman" w:hAnsi="Times New Roman"/>
                <w:sz w:val="24"/>
              </w:rPr>
              <w:t xml:space="preserve"> del siguiente modo: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Artículo 10 </w:t>
            </w:r>
            <w:r>
              <w:rPr>
                <w:rFonts w:ascii="Times New Roman" w:hAnsi="Times New Roman"/>
                <w:i/>
                <w:iCs/>
                <w:sz w:val="24"/>
              </w:rPr>
              <w:t>bis</w:t>
            </w:r>
            <w:r>
              <w:rPr>
                <w:rFonts w:ascii="Times New Roman" w:hAnsi="Times New Roman"/>
                <w:sz w:val="24"/>
              </w:rPr>
              <w:t xml:space="preserve">. Las disposiciones del presente capítulo se aplicarán a las categorías de artículos siguientes: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artículos textiles;</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artículos para el cuidado personal y productos cosméticos;</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artículos destinados a bebés y niños;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filtros, equipo de cocina, materiales y objetos destinados a entrar en contacto con productos alimenticios;</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mascarillas.</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Artículo 10 </w:t>
            </w:r>
            <w:r>
              <w:rPr>
                <w:rFonts w:ascii="Times New Roman" w:hAnsi="Times New Roman"/>
                <w:i/>
                <w:iCs/>
                <w:sz w:val="24"/>
              </w:rPr>
              <w:t>ter</w:t>
            </w:r>
            <w:r>
              <w:rPr>
                <w:rFonts w:ascii="Times New Roman" w:hAnsi="Times New Roman"/>
                <w:sz w:val="24"/>
              </w:rPr>
              <w:t xml:space="preserve">. A efectos del presente capítulo, se entenderá por artículos textiles: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las prendas de vestir;</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 calzado;</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los artículos de deporte, es decir, la ropa deportiva y otros productos textiles deportivos;</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lastRenderedPageBreak/>
              <w:t>los productos textiles distintos de las prendas de vestir que, en condiciones de uso normales o razonablemente previsibles, entren en contacto con la piel humana en un grado similar al de las prendas de vestir.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Artículo 10 </w:t>
            </w:r>
            <w:proofErr w:type="spellStart"/>
            <w:r>
              <w:rPr>
                <w:rFonts w:ascii="Times New Roman" w:hAnsi="Times New Roman"/>
                <w:i/>
                <w:iCs/>
                <w:sz w:val="24"/>
              </w:rPr>
              <w:t>quater</w:t>
            </w:r>
            <w:proofErr w:type="spellEnd"/>
            <w:r>
              <w:rPr>
                <w:rFonts w:ascii="Times New Roman" w:hAnsi="Times New Roman"/>
                <w:sz w:val="24"/>
              </w:rPr>
              <w:t>. A efectos de la aplicación del presente capítulo, los productos siguientes se tratarán como sigue:</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artículos para el cuidado personal y productos cosméticos: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accesorios de peluquería y maquillaje;</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pequeños aparatos utilizados para el cuerpo, los dientes y el cabello;</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productos cosméticos;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artículos destinados a bebés y niños:</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artículos de puericultura;</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juguetes.</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filtros, equipo de cocina, materiales y objetos destinados a entrar en contacto con productos alimenticios:</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filtros de agua;</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filtros para campanas extractoras de humos;</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utensilios de cocina;</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artículos eléctricos y aparatos de cocina;</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artículos de envasado y conservación de alimentos.</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mascarillas: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dispositivos aplicados a la nariz y la boca, tejidos o no, utilizados para filtrar el aire exhalado o inhalado.».</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Artículo 4. </w:t>
            </w:r>
            <w:r>
              <w:rPr>
                <w:rFonts w:ascii="Times New Roman" w:hAnsi="Times New Roman"/>
                <w:sz w:val="24"/>
              </w:rPr>
              <w:t>En el artículo 11 de la misma Orden, el punto 2 del apartado 1 se sustituye por el texto siguiente:</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Durante el año civil en el que tenga lugar la notificación, se comercializará una cantidad superior a 100 gramos de al menos una de estas sustancias fabricadas con nanopartículas, o bien una cantidad de al menos mil piezas del artículo u objeto complejo;».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Artículo 5. </w:t>
            </w:r>
            <w:r>
              <w:rPr>
                <w:rFonts w:ascii="Times New Roman" w:hAnsi="Times New Roman"/>
                <w:sz w:val="24"/>
              </w:rPr>
              <w:t>En el artículo 24 de la misma Orden, el párrafo tercero del apartado 1 se sustituye por el texto siguiente:</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lastRenderedPageBreak/>
              <w:t xml:space="preserve">« Los artículos 10 </w:t>
            </w:r>
            <w:r>
              <w:rPr>
                <w:rFonts w:ascii="Times New Roman" w:hAnsi="Times New Roman"/>
                <w:i/>
                <w:iCs/>
                <w:sz w:val="24"/>
              </w:rPr>
              <w:t>bis</w:t>
            </w:r>
            <w:r>
              <w:rPr>
                <w:rFonts w:ascii="Times New Roman" w:hAnsi="Times New Roman"/>
                <w:sz w:val="24"/>
              </w:rPr>
              <w:t xml:space="preserve"> a 17 entrarán en vigor el 1 de enero de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lastRenderedPageBreak/>
              <w:t xml:space="preserve">Artículo 6. </w:t>
            </w:r>
            <w:r>
              <w:rPr>
                <w:rFonts w:ascii="Times New Roman" w:hAnsi="Times New Roman"/>
                <w:sz w:val="24"/>
              </w:rPr>
              <w:tab/>
              <w:t>El Ministro de Economía, el Ministro de Trabajo, el Ministro de Salud Pública y la Ministra de Medio Ambiente serán los responsables de la ejecución de esta Orden.</w:t>
            </w:r>
          </w:p>
        </w:tc>
      </w:tr>
      <w:tr w:rsidR="00294686" w:rsidRPr="00C211F3" w14:paraId="64D7C9D1" w14:textId="77777777" w:rsidTr="00294686">
        <w:tc>
          <w:tcPr>
            <w:tcW w:w="5000" w:type="pct"/>
          </w:tcPr>
          <w:p w14:paraId="47C4C7E4" w14:textId="77777777"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t xml:space="preserve">Emitida a                                , el </w:t>
            </w: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Por el Rey,</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Vice Primer Ministro y Ministro de Economía y Trabajo,</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El Ministro de Salud Pública,</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La Ministra de Medio Ambiente,</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proofErr w:type="spellStart"/>
      <w:r>
        <w:rPr>
          <w:rFonts w:ascii="Times New Roman" w:hAnsi="Times New Roman"/>
          <w:sz w:val="24"/>
        </w:rPr>
        <w:t>Zakia</w:t>
      </w:r>
      <w:proofErr w:type="spellEnd"/>
      <w:r>
        <w:rPr>
          <w:rFonts w:ascii="Times New Roman" w:hAnsi="Times New Roman"/>
          <w:sz w:val="24"/>
        </w:rPr>
        <w:t xml:space="preserve">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601950">
    <w:abstractNumId w:val="6"/>
  </w:num>
  <w:num w:numId="2" w16cid:durableId="16781706">
    <w:abstractNumId w:val="1"/>
  </w:num>
  <w:num w:numId="3" w16cid:durableId="2145997052">
    <w:abstractNumId w:val="8"/>
  </w:num>
  <w:num w:numId="4" w16cid:durableId="1566452188">
    <w:abstractNumId w:val="2"/>
  </w:num>
  <w:num w:numId="5" w16cid:durableId="2109160053">
    <w:abstractNumId w:val="5"/>
  </w:num>
  <w:num w:numId="6" w16cid:durableId="686519035">
    <w:abstractNumId w:val="4"/>
  </w:num>
  <w:num w:numId="7" w16cid:durableId="890532682">
    <w:abstractNumId w:val="3"/>
  </w:num>
  <w:num w:numId="8" w16cid:durableId="978221699">
    <w:abstractNumId w:val="0"/>
  </w:num>
  <w:num w:numId="9" w16cid:durableId="482744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71FCB"/>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es-ES"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es-ES"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7266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2023-02-27T09:44:00Z</dcterms:modified>
</cp:coreProperties>
</file>