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Vyhláška vlády č. 559/2023 ze dne 14. prosince 2023 o</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činnostech zaměřených na předcházení vzniku biologicky rozložitelného odpadu, podrobných pravidlech pro činnosti v oblasti nakládání s odpady související s biologicky rozložitelným odpadem a pravidlech pro klasifikaci kompostu vyrobeného z biologického odpadu</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Na základě pověření uděleného podle § 88 odst. 1 bodu 28 a § 29 zákona CLXXXV z roku 2012 o odpadech a s ohledem na § 20, na základě pověření uděleného podle § 31 odst. 1 písm. a) podpísmene ac) zákona CXXX z roku 2010 o právních předpisech a jednajíc v rámci svých funkcí stanovených v čl. 15 odst. 1 základního zákona stanoví vláda toto:</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Oblast působnosti</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w:t>
      </w:r>
      <w:r>
        <w:rPr>
          <w:rFonts w:ascii="Times New Roman" w:hAnsi="Times New Roman"/>
          <w:sz w:val="24"/>
        </w:rPr>
        <w:t xml:space="preserve"> (1) Tato vyhláška se týká</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předcházení vzniku biologicky rozložitelného odpadu,</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biologicky rozložitelného odpadu,</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stabilizovaného odpadu,</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směsného odpadu,</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fermentačního zbytku,</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kompostu,</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kompostování v domácnostech a na obecní úrovni,</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kompostování na místě,</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kompostovatelných bioplastů,</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pomocných látek, které lze použít ke kompostování na místě,</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stabilizace,</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výroby bioplynu,</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pomocných látek pro výrobu bioplynu a</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n) stavu, kdy biologicky rozložitelný odpad přestává být odpadem.</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Tato vyhláška se nevztahuje na</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biologické odstraňování kontaminovaných geologických souvrství nebo vytěžených kontaminovaných půd v procesu sanace,</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povrchové a podpovrchové zbytky plodin vytvořené během zemědělských a lesnických činností,</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bioplyn přirozeně vznikající na skládce a</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odpad ze stolního oleje a tuku, na který se vztahuje systém rozšířené odpovědnosti výrobce.</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Definice</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Oddíl 2</w:t>
      </w:r>
      <w:r>
        <w:rPr>
          <w:rFonts w:ascii="Times New Roman" w:hAnsi="Times New Roman"/>
          <w:sz w:val="24"/>
        </w:rPr>
        <w:t xml:space="preserve"> Pro účely této vyhlášky se rozumí:</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vedlejšími produkty živočišného původu:</w:t>
      </w:r>
      <w:r>
        <w:rPr>
          <w:rFonts w:ascii="Times New Roman" w:hAnsi="Times New Roman"/>
          <w:sz w:val="24"/>
        </w:rPr>
        <w:t xml:space="preserve"> vedlejší produkty živočišného původu ve smyslu čl. 3 bodu 1 nařízení Evropského parlamentu a Rady (ES) č. 1069/2009 ze dne 21. října 2009 o hygienických pravidlech pro vedlejší produkty živočišného původu a získané produkty, které nejsou určeny k lidské spotřebě, a o zrušení nařízení (ES) č. 1774/2002 (dále jen: „nařízení o vedlejších produktech živočišného původu“);</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iCs/>
          <w:sz w:val="24"/>
        </w:rPr>
        <w:t>získanými produkty:</w:t>
      </w:r>
      <w:r>
        <w:rPr>
          <w:rFonts w:ascii="Times New Roman" w:hAnsi="Times New Roman"/>
          <w:sz w:val="24"/>
        </w:rPr>
        <w:t xml:space="preserve"> produkty získané z vedlejších produktů živočišného původu ve smyslu čl. 3 bodu 2 nařízení Evropského parlamentu a Rady (ES) č. 1069/2009 ze dne 21. října 2009 o hygienických pravidlech pro vedlejší produkty živočišného původu a získané produkty, které nejsou určeny k lidské spotřebě, a o zrušení nařízení (ES) č. 1774/2002 (dále jen: „nařízení o vedlejších produktech živočišného původu“);</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bioplynem:</w:t>
      </w:r>
      <w:r>
        <w:rPr>
          <w:rFonts w:ascii="Times New Roman" w:hAnsi="Times New Roman"/>
          <w:sz w:val="24"/>
        </w:rPr>
        <w:t xml:space="preserve"> směs methanu, oxidu uhličitého a stopových plynů vznikajících během anaerobního rozkladu biologicky rozložitelné látky;</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výrobou bioplynu:</w:t>
      </w:r>
      <w:r>
        <w:rPr>
          <w:rFonts w:ascii="Times New Roman" w:hAnsi="Times New Roman"/>
          <w:sz w:val="24"/>
        </w:rPr>
        <w:t xml:space="preserve"> proces využití, při němž se biologicky rozložitelný materiál nebo odpad rozkládá za kontrolovaných podmínek v anaerobním prostředí využitím mikroorganismů, což vede ke vzniku bioplynu a fermentačních zbytků v důsledku rozkladu;</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biologickým zpracováním:</w:t>
      </w:r>
      <w:r>
        <w:rPr>
          <w:rFonts w:ascii="Times New Roman" w:hAnsi="Times New Roman"/>
          <w:sz w:val="24"/>
        </w:rPr>
        <w:t xml:space="preserve"> výroba bioplynu, předúprava zeleného odpadu, kompostování a stabilizace;</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oblastí předúpravy:</w:t>
      </w:r>
      <w:r>
        <w:rPr>
          <w:rFonts w:ascii="Times New Roman" w:hAnsi="Times New Roman"/>
          <w:sz w:val="24"/>
        </w:rPr>
        <w:t xml:space="preserve"> místo nebo plocha doplněná o technickou ochranu, která je součástí pracoviště pro přípravu biologického zpracování, kde se zahajuje zpracování biologicky rozložitelného odpadu;</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fermentačním zbytkem:</w:t>
      </w:r>
      <w:r>
        <w:rPr>
          <w:rFonts w:ascii="Times New Roman" w:hAnsi="Times New Roman"/>
          <w:sz w:val="24"/>
        </w:rPr>
        <w:t xml:space="preserve"> pevný nebo kapalný odpad vzniklý při výrobě bioplynu;</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potravinovým odpadem:</w:t>
      </w:r>
      <w:r>
        <w:rPr>
          <w:rFonts w:ascii="Times New Roman" w:hAnsi="Times New Roman"/>
          <w:sz w:val="24"/>
        </w:rPr>
        <w:t xml:space="preserve"> odpad ze stravovacích zařízení definovaný v příloze 1 nařízení Komise (EU) č. 142/2011, kterým se provádí nařízení Evropského parlamentu a Rady (ES) č. 1069/2009 o hygienických pravidlech pro vedlejší produkty živočišného původu a získané produkty, které nejsou určeny k lidské spotřebě, a provádí směrnice Rady 97/78/ES, pokud jde </w:t>
      </w:r>
      <w:r>
        <w:rPr>
          <w:rFonts w:ascii="Times New Roman" w:hAnsi="Times New Roman"/>
          <w:sz w:val="24"/>
        </w:rPr>
        <w:lastRenderedPageBreak/>
        <w:t>o určité vzorky a předměty osvobozené od veterinárních kontrol na hranici podle uvedené směrnice a potraviny – ve smyslu článku 2 nařízení Evropského parlamentu a Rady (ES) č. 178/2002 ze dne 28. ledna 2002, kterým se stanoví obecné zásady a požadavky potravinového práva, zřizuje se Evropský úřad pro bezpečnost potravin a stanoví postupy týkající se bezpečnosti potravin – které se staly odpadem;</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kompostováním v domácnostech:</w:t>
      </w:r>
      <w:r>
        <w:rPr>
          <w:rFonts w:ascii="Times New Roman" w:hAnsi="Times New Roman"/>
          <w:sz w:val="24"/>
        </w:rPr>
        <w:t xml:space="preserve"> zpracování zeleného odpadu a kuchyňského zeleného odpadu nebo jiného organického materiálu rostlinného původu na místě, kde vzniká, nebo na pozemku, kde vzniká, nebo na pozemku jiné nemovitosti, kde se provádí kompostování v domácnosti, za účelem dodání živin rostlinám pro vlastní potřebu, jehož výsledkem je výroba domácího kompostu;</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hygienickým ošetřením:</w:t>
      </w:r>
      <w:r>
        <w:rPr>
          <w:rFonts w:ascii="Times New Roman" w:hAnsi="Times New Roman"/>
          <w:sz w:val="24"/>
        </w:rPr>
        <w:t xml:space="preserve"> omezení vegetativní formy infekčních mikrobů v biologicky rozložitelném odpadu na minimum s cílem vyloučit infekci;</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kompostem:</w:t>
      </w:r>
      <w:r>
        <w:rPr>
          <w:rFonts w:ascii="Times New Roman" w:hAnsi="Times New Roman"/>
          <w:sz w:val="24"/>
        </w:rPr>
        <w:t xml:space="preserve"> odpad podle přílohy 1, jakož i humusu podobný materiál s vysokým obsahem organických látek a bohatý na rostlinné živiny, jak je definován ve zvláštních právních předpisech, vyrobený ze zeleného odpadu z domácností a kuchyňského zeleného odpadu za použití pomocných látek, kompostování v domácnostech a na obecní úrovni nebo na místě, který přestal být odpadem;</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kompostovací jednotkou:</w:t>
      </w:r>
      <w:r>
        <w:rPr>
          <w:rFonts w:ascii="Times New Roman" w:hAnsi="Times New Roman"/>
          <w:sz w:val="24"/>
        </w:rPr>
        <w:t xml:space="preserve"> šarže biologicky rozložitelného odpadu a pomocných látek po předúpravě, která se zpracovává jako jednotka podle použité technologie;</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šarží kompostu:</w:t>
      </w:r>
      <w:r>
        <w:rPr>
          <w:rFonts w:ascii="Times New Roman" w:hAnsi="Times New Roman"/>
          <w:sz w:val="24"/>
        </w:rPr>
        <w:t xml:space="preserve"> šarží kompostu kompost ze stejné kompostovací jednotky;</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biologicky rozložitelným odpadem, na který se vztahuje koncese:</w:t>
      </w:r>
      <w:r>
        <w:rPr>
          <w:rFonts w:ascii="Times New Roman" w:hAnsi="Times New Roman"/>
          <w:sz w:val="24"/>
        </w:rPr>
        <w:t xml:space="preserve"> zelený rostlinný odpad, který je biologicky rozložitelný, pochází ze zahrady nebo parku a vztahuje se na něj koncese podle zákona o odpadech, a dále kuchyňský zelený odpad a potravinový odpad považovaný za odpad podobný odpadu z domácností, jehož původcem je domácnost nebo uživatel pozemku (jiný než hospodářský subjekt), nebo kuchyňský zelený odpad a potravinový odpad, jehož původcem je vlastník pozemku (hospodářský subjekt), který není provozovatelem podle ministerské vyhlášky, kterou se stanoví veterinární pravidla pro vedlejší produkty živočišného původu, které nejsou určeny k lidské spotřebě;</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kuchyňským potravinovým odpadem:</w:t>
      </w:r>
      <w:r>
        <w:rPr>
          <w:rFonts w:ascii="Times New Roman" w:hAnsi="Times New Roman"/>
          <w:sz w:val="24"/>
        </w:rPr>
        <w:t xml:space="preserve"> potraviny a jídlo určené k lidské spotřebě, které vznikly v domácnostech a staly se odpadem a nejsou považovány za kuchyňský zelený odpad;</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kuchyňským zeleným odpadem:</w:t>
      </w:r>
      <w:r>
        <w:rPr>
          <w:rFonts w:ascii="Times New Roman" w:hAnsi="Times New Roman"/>
          <w:sz w:val="24"/>
        </w:rPr>
        <w:t xml:space="preserve"> kuchyňský rostlinný odpad z domácností se považuje za kuchyňský zelený odpad, pokud kuchyňský rostlinný odpad obsahuje zbytky ze surové zeleniny a ovoce, kávovou sedlinu (bez filtrů, kapslí a jiných obalových materiálů), čajové listy (bez sáčku a jiných obalových materiálů), koření, bylinky, vaječné skořápky;</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sběrem na obecní úrovni:</w:t>
      </w:r>
      <w:r>
        <w:rPr>
          <w:rFonts w:ascii="Times New Roman" w:hAnsi="Times New Roman"/>
          <w:sz w:val="24"/>
        </w:rPr>
        <w:t xml:space="preserve"> tříděný sběr zeleného a kuchyňského zeleného odpadu v lokalitě v blízkosti obytných budov komunitou uživatelů pozemku (fyzických osob) žijících v souboru obytných budov;</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kompostováním na obecní úrovni:</w:t>
      </w:r>
      <w:r>
        <w:rPr>
          <w:rFonts w:ascii="Times New Roman" w:hAnsi="Times New Roman"/>
          <w:sz w:val="24"/>
        </w:rPr>
        <w:t xml:space="preserve"> kompostování v domácnostech, kde předúprava kompostování, kompostování a používání kompostu provádějí společně bytové domy, bytová družstva nebo malé obce;</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19. </w:t>
      </w:r>
      <w:r>
        <w:rPr>
          <w:rFonts w:ascii="Times New Roman" w:hAnsi="Times New Roman"/>
          <w:i/>
          <w:sz w:val="24"/>
        </w:rPr>
        <w:t>intenzitou respirace:</w:t>
      </w:r>
      <w:r>
        <w:rPr>
          <w:rFonts w:ascii="Times New Roman" w:hAnsi="Times New Roman"/>
          <w:sz w:val="24"/>
        </w:rPr>
        <w:t xml:space="preserve"> spotřeba kyslíku obsahu organických látek v biologicky rozložitelném odpadu [mg O</w:t>
      </w:r>
      <w:r>
        <w:rPr>
          <w:rFonts w:ascii="Times New Roman" w:hAnsi="Times New Roman"/>
          <w:sz w:val="24"/>
          <w:vertAlign w:val="subscript"/>
        </w:rPr>
        <w:t>2</w:t>
      </w:r>
      <w:r>
        <w:rPr>
          <w:rFonts w:ascii="Times New Roman" w:hAnsi="Times New Roman"/>
          <w:sz w:val="24"/>
        </w:rPr>
        <w:t>/g sušiny];</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certifikovaným produktovým kompostem:</w:t>
      </w:r>
      <w:r>
        <w:rPr>
          <w:rFonts w:ascii="Times New Roman" w:hAnsi="Times New Roman"/>
          <w:sz w:val="24"/>
        </w:rPr>
        <w:t xml:space="preserve"> odpad podle přílohy 1, jakož i hnojivé výrobky a pomocné půdní látky, které již přestaly být odpadem a jsou vhodné pro zemědělské použití, jak je stanoveno v povolení; takové humusu podobné hnojivé výrobky a pomocné půdní látky se vyrábějí kompostováním na místě s použitím pomocné látky, jsou bohaté na rostlinné živiny, mají vysoký obsah organických látek a jsou povoleny k uvádění na trh podle ministerské vyhlášky o povolování, skladování, uvádění na trh a používání látek zvyšujících výnos;</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otevřeným kompostovacím systémem:</w:t>
      </w:r>
      <w:r>
        <w:rPr>
          <w:rFonts w:ascii="Times New Roman" w:hAnsi="Times New Roman"/>
          <w:sz w:val="24"/>
        </w:rPr>
        <w:t xml:space="preserve"> technologie kompostování používaná v kompostárně, kdy je kompostovací jednotka v přímém kontaktu se vzduchem a kompostovací jednotka není zakrytá, ohraničená technickými nebo architektonickými prvky;</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stabilizací:</w:t>
      </w:r>
      <w:r>
        <w:rPr>
          <w:rFonts w:ascii="Times New Roman" w:hAnsi="Times New Roman"/>
          <w:sz w:val="24"/>
        </w:rPr>
        <w:t xml:space="preserve"> předúprava, při níž se snižuje biologická rozložitelnost směsného odpadu obsahujícího biologicky rozložitelný odpad kombinací mechanických a biologických procesů, což vede ke snížení intenzity respirace a vzniku stabilizovaného odpadu splňujícího hygienické podmínky s intenzitou respirace (AT4) nižší než 10 mg O</w:t>
      </w:r>
      <w:r>
        <w:rPr>
          <w:rFonts w:ascii="Times New Roman" w:hAnsi="Times New Roman"/>
          <w:sz w:val="24"/>
          <w:vertAlign w:val="subscript"/>
        </w:rPr>
        <w:t>2</w:t>
      </w:r>
      <w:r>
        <w:rPr>
          <w:rFonts w:ascii="Times New Roman" w:hAnsi="Times New Roman"/>
          <w:sz w:val="24"/>
        </w:rPr>
        <w:t>/g sušiny;</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stabilizovaným odpadem:</w:t>
      </w:r>
      <w:r>
        <w:rPr>
          <w:rFonts w:ascii="Times New Roman" w:hAnsi="Times New Roman"/>
          <w:sz w:val="24"/>
        </w:rPr>
        <w:t xml:space="preserve"> látka získaná z mechanicko-biologického zpracování biologického odpadu nezpůsobilého ke kompostování nebo anaerobnímu biologickému rozkladu, u níž po stabilizaci intenzita respirace (AT4) po 4 dnech klesne pod 10 mg O2/g a dynamická intenzita respirace je nižší než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kompostováním na místě:</w:t>
      </w:r>
      <w:r>
        <w:rPr>
          <w:rFonts w:ascii="Times New Roman" w:hAnsi="Times New Roman"/>
          <w:sz w:val="24"/>
        </w:rPr>
        <w:t xml:space="preserve"> využití odpadu v kompostárně, při němž se biologicky rozložitelný odpad a veškeré přidané vedlejší produkty rozkládají autotermními a termofilními biologickými procesy za přítomnosti kyslíku a za pomoci mikroorganismů a jiných živých organismů tak, že vzniká kompost obsahující biologicky stabilní organické a anorganické složky a patogeny v koncentracích nepřesahujících hodnoty stanovené v příloze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bioplasty vhodnými pro kompostování na místě:</w:t>
      </w:r>
      <w:r>
        <w:rPr>
          <w:rFonts w:ascii="Times New Roman" w:hAnsi="Times New Roman"/>
          <w:sz w:val="24"/>
        </w:rPr>
        <w:t xml:space="preserve"> plastový odpad označený nebo certifikovaný jako biologicky rozložitelný, který je v souladu s normou MSZ EN 13432 nebo rovnocenným technickým řešením a který lze kromě kompostování na místě využít při výrobě bioplynu, je-li shromažďován společně s kuchyňským potravinovým odpadem;</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uzavřeným kompostovacím systémem:</w:t>
      </w:r>
      <w:r>
        <w:rPr>
          <w:rFonts w:ascii="Times New Roman" w:hAnsi="Times New Roman"/>
          <w:sz w:val="24"/>
        </w:rPr>
        <w:t xml:space="preserve"> technologie kompostování používaná v kompostárně, kdy se proces kompostování provádí v jednotce za uzavřené použití technických nebo architektonických prvků.</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Pravidla pro předcházení vzniku biologicky rozložitelného odpadu</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w:t>
      </w:r>
      <w:r>
        <w:rPr>
          <w:rFonts w:ascii="Times New Roman" w:hAnsi="Times New Roman"/>
          <w:sz w:val="24"/>
        </w:rPr>
        <w:t xml:space="preserve"> (1) Pokud je to technicky proveditelné, přínosné z hlediska životního prostředí a ekonomicky přiměřené, provádí se kompostování organického materiálu rostlinného původu v domácnostech nebo na obecní úrovni.</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 v souladu s pravidly této vyhlášky lze zohlednit v rámci plnění cílové hodnoty podle prováděcího rozhodnutí Komise (EU) 2019/1004 ze dne 7. června 2019, kterým se stanoví pravidla pro výpočet, ověřování a vykazování údajů o odpadech v souladu se směrnicí Evropského parlamentu a Rady 2008/98/ES a kterým se zrušuje prováděcí rozhodnutí Komise C(2012) 2384.</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(3) Koncesní společnost shromažďuje nejméně každých pět let údaje o množství a využití kompostu vytvořeného prostřednictvím kompostování v domácnostech nebo na obecní úrovni.</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Ke zvyšování povědomí a vzdělávání obyvatelstva o předcházení vzniku biologicky rozložitelného odpadu se použije Národní program pro předcházení vzniku potravinového odpadu. Tento program, který je provozován Národním úřadem pro bezpečnost potravinového řetězce (NÉBIH), přispěje v tomto ohledu řadou celonárodních přednášek s názvem „Maradék nélkül“ („Žádné zbytky“) tak, aby Maďarsko dosáhlo do roku 2030 cíle udržitelného rozvoje OSN 12.3.</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Pravidla pro tříděný sběr biologicky rozložitelného odpadu</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w:t>
      </w:r>
      <w:r>
        <w:rPr>
          <w:rFonts w:ascii="Times New Roman" w:hAnsi="Times New Roman"/>
          <w:sz w:val="24"/>
        </w:rPr>
        <w:t xml:space="preserve"> (1) Biologicky rozložitelný odpad shromažďuje držitel odpadu dobrovolně v místě vzniku odpadu v nádobě na sběr odpadu určené výhradně k tomuto účelu a způsobem, který neohrožuje životní prostředí.</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Koncesní společnost poskytne držiteli odpadu v rámci své činnosti podle odstavce 9 speciálně určenou nádobu na sběr kuchyňského zeleného odpadu a kuchyňského potravinového odpadu.</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 přepravu a sledování kuchyňského potravinového odpadu se použijí příslušná ustanovení ministerské vyhlášky, kterou se stanoví veterinární pravidla pro vedlejší produkty živočišného původu, které nejsou určeny k lidské spotřebě, pokud se zpracování provádí v zařízení na výrobu bioplynu nebo kompostování. Pokud jde o biologicky rozložitelný odpad, na který se vztahuje koncese, na jeho obdržení a přijetí z domácností se nevztahují ustanovení o vystavení obchodního dokladu v souladu s ministerskou vyhláškou, kterou se stanoví veterinární pravidla pro vedlejší produkty živočišného původu, které nejsou určeny k lidské spotřebě.</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Využívání odděleně sebraného potravinového odpadu z domácností ke krmení zvířat je zakázáno a držitel koncese není oprávněn je přímo ani nepřímo využívat.</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Sběr, přeprava a sledování potravinového odpadu od hospodářských subjektů, pokud je zpracováván v zařízeních na výrobu bioplynu a kompostování, musí být prováděny v souladu s příslušnými ustanoveními ministerské vyhlášky, kterou se stanoví veterinární pravidla pro vedlejší produkty živočišného původu, které nejsou určeny k lidské spotřebě.</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Koncesní společnost určí způsob a četnost příjmu, sběru a přepravy biologicky rozložitelného odpadu, na který se vztahuje koncese.</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Sběr a přepravu biologicky rozložitelného odpadu, na který se vztahuje koncese, lze provádět na základě povolení k nakládání s odpady.</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Držitel odpadu zajistí, aby biologicky rozložitelný odpad předaný koncesní společnosti neobsahoval žádný jiný odpad, včetně obalového a cizího materiálu.</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Koncesní společnost zajistí podmínky pro tříděný sběr podle této vyhlášky, pokud je to technicky a odborně proveditelné. Koncesní společnost zajistí zejména sběr dům od domu, pokud to nepředstavuje nepřiměřené ekonomické náklady. Koncesní společnost zřídí sběrná místa odpadu, jejichž velikost musí odpovídat počtu obsluhovaných obyvatel, pokud není zajištěn sběr dům od domu.</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(10) Koncesní společnost určí jako sběrné místo odpadu sběrný dvůr provozovaný touto společností nebo jejím subdodavatelem, a to bez ohledu na ustanovení vyhlášky vlády o pravidlech pro výstavbu a provoz některých zařízení pro nakládání s odpady.</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Oddíl 5</w:t>
      </w:r>
      <w:r>
        <w:rPr>
          <w:rFonts w:ascii="Times New Roman" w:hAnsi="Times New Roman"/>
          <w:sz w:val="24"/>
        </w:rPr>
        <w:t xml:space="preserve">  Biologicky rozložitelný odpad obsahující látky uvedené v přílohách I a II nařízení (EU) č. 1021/2019 o perzistentních organických znečišťujících látkách nelze kompostovat ani přeměňovat na fermentační zbytky.</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Pravidla týkající se tříděného sběru zeleného a kuchyňského zeleného odpadu na obecní úrovni</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Oddíl 6</w:t>
      </w:r>
      <w:r>
        <w:rPr>
          <w:rFonts w:ascii="Times New Roman" w:hAnsi="Times New Roman"/>
          <w:sz w:val="24"/>
        </w:rPr>
        <w:t xml:space="preserve">  Pokud nelze zelený odpad a kuchyňský zelený odpad použít žádným jiným způsobem, jak je definováno v § 8, pak se tříděným sběrem shromážděný zelený odpad a kuchyňský zelený odpad použijí především ke kompostování na místě nebo výrobě bioplynu a v krajním případě také k energetickému využití v elektrárně na biomasu.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w:t>
      </w:r>
      <w:r>
        <w:rPr>
          <w:rFonts w:ascii="Times New Roman" w:hAnsi="Times New Roman"/>
          <w:sz w:val="24"/>
        </w:rPr>
        <w:t xml:space="preserve"> (1) Sběr obecní úrovni může být prováděn v oblasti určené koncesní společností a dohodnuté s místní komunitou nebo v soukromém prostoru spravovaném bytovým družstvem, ale pouze na určeném místě v rámci pozemku.</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Na místo sběru na obecní úrovni musí být nepřetržitě zajištěn volný přístup, a to i pro osoby se zdravotním postižením.</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Sběr na obecní úrovni lze provádět bez povolení k nakládání s odpady.</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Zelený odpad obsahující nebezpečné složky v místě sběru na obecní úrovni, plasty, které nejsou certifikovány jako biologicky rozložitelné za podmínek kompostování v domácnostech, a odpady jiné než zelený odpad a kuchyňský zelený odpad se neukládají.</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Vlastník pozemku nebo osoba, která byla na základě písemné smlouvy pověřena obcí nebo bytovým družstvem, zajistí:</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úklid a údržbu místa sběru na obecní úrovni a nezbytné personální a materiální podmínky a</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instalaci informační tabule na místě, na níž jsou uvedeny podmínky použití.</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Současně s vymezením ohraničeného prostoru musí vlastník pozemku spojeného se sběrem nebo jím pověřená osoba oznámit koncesní společnosti údaje o sběru na obecní úrovni, a to před jeho zahájením a po jeho ukončení.</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Pravidla týkající se kompostování v domácnostech, kompostování na obecní úrovni a kompostování na místě</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w:t>
      </w:r>
      <w:r>
        <w:rPr>
          <w:rFonts w:ascii="Times New Roman" w:hAnsi="Times New Roman"/>
          <w:sz w:val="24"/>
        </w:rPr>
        <w:t xml:space="preserve"> (1) Fyzikální, chemické a biologické požadavky na komposty pro nezemědělské použití jsou uvedeny v příloha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Vlastník pozemku, který se používá ke kompostování, je odpovědný za provádění úkolů kompostování na obecní úrovni a v domácnostech.</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Provádění úkolů kompostování na obecní úrovni uvedených v odstavci 2 řídí v rámci obce osoba nebo subjekt jmenovaný obcí nebo osoba či subjekt pověřený písemnou smlouvou uzavřenou s obcí.</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(4) Osoba nebo subjekt podle odstavce 3 zajistí</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úklid a údržbu místa sběru a nezbytné personální a materiální podmínky;</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instalaci informační tabule na místě, na níž jsou uvedeny podmínky použití;</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použití vyrobeného kompostu;</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zasílání údajů o množství a použití vyrobeného kompostu koncesní společnosti způsobem stanoveným koncesní společností.</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Kompostování v domácnostech a na obecní úrovni nelze použít ke zpracování vedlejších produktů živočišného původu a získaných produktů nebo plastů, které nejsou certifikovány jako biologicky rozložitelné za podmínek kompostování v domácnostech.</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Zelený odpad obsahující nebezpečné složky a jiný odpad než zelený odpad se v rámci kompostování v domácnostech a na obecní úrovni nesmí používat.</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w:t>
      </w:r>
      <w:r>
        <w:rPr>
          <w:rFonts w:ascii="Times New Roman" w:hAnsi="Times New Roman"/>
          <w:sz w:val="24"/>
        </w:rPr>
        <w:t xml:space="preserve"> (1) Kompostování na místě lze provádět pouze s povolením k nakládání s odpady za účelem využití a provádí se v kompostárně prostřednictvím využití R3c uvedeného v ministerské vyhlášce o seznamu způsobů odstraňování a využití v souvislosti s nakládáním s odpady.</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Pro kompostování biologicky rozložitelných odpadů na místě lze využít druhy odpadů a pomocných látek uvedené v příloze 1 a druhy odpadů, které lze použít jako pomocné látky.</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Kal z čistíren odpadních vod lze použít ke kompostování na místě v souladu s požadavky stanovenými ve vyhlášce vlády o pravidlech pro zemědělské využití a úpravu odpadních vod a kalů z čistíren odpadních vod, pokud má příslušný subjekt povolení k nakládání s odpady vydané v souladu s vyhláškou vlády o registraci a úředním povolování činností v oblasti nakládání s odpady.</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Kompostovatelné bioplasty lze zpracovat pouze kompostováním na místě.</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w:t>
      </w:r>
      <w:r>
        <w:rPr>
          <w:rFonts w:ascii="Times New Roman" w:hAnsi="Times New Roman"/>
          <w:sz w:val="24"/>
        </w:rPr>
        <w:t xml:space="preserve"> (1) Technická pravidla pro kompostování na místě, stabilizaci a výrobu bioplynu, jakož i technické a provozní podmínky, které je třeba zajistit pro kompostování na místě, jsou uvedeny v příloze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Biologicky rozložitelný odpad, včetně bioplastů, které lze zpracovat kompostováním na místě, musí být skladován odděleně od všech ostatních odpadů a materiálů v oblasti předúpravy až do zahájení kompostování.</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Příprava biologicky rozložitelných odpadů ke kompostování, včetně bioplastů, které lze zpracovat kompostováním na místě, musí začínat v oblasti předúpravy. Poté se odpad přemístí do oblasti kompostování s cílem provést další zpracování.</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Kompostování na místě v kompostárně se provádí</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 otevřeném kompostovacím systému,</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v uzavřeném kompostovacím systému nebo</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v kombinaci jednotek podle písmen a) a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Biologicky rozložitelný odpad, včetně bioplastů, které lze zpracovat kompostováním na místě, musí být uspořádán do kompostovací jednotky v oblasti kompostování v závislosti na zvoleném kompostovacím systému.</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Údaje o množství potravinového odpadu, který lze klasifikovat jako vedlejší produkt živočišného původu a který byl předán nebo přijat ke zpracování, shromážděné orgánem pro kontrolu potravinového řetězce v souladu s ministerskou vyhláškou, kterou se stanoví veterinární pravidla pro vedlejší produkty živočišného původu, které nejsou určeny k lidské spotřebě, lze při ověřování plnění cíle recyklace v případě zpracování započítat do příslušné cílové hodnoty. </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Pravidla týkající se stabilizace</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w:t>
      </w:r>
      <w:r>
        <w:rPr>
          <w:rFonts w:ascii="Times New Roman" w:hAnsi="Times New Roman"/>
          <w:sz w:val="24"/>
        </w:rPr>
        <w:t xml:space="preserve"> (1) Druhy odpadů a pomocné látky, které lze použít k biologickému zpracování a stabilizaci, jakož i druhy odpadů, které lze použít jako pomocné látky, jsou uvedeny v příloze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Pro stabilizaci lze použít pouze odpady uvedené v příloze 1, jejichž biologické zpracování lze provádět na základě povolení k nakládání s odpady, s výhradou pravidel stanovených ve vyhlášce vlády o registraci a úředním povolování činností v oblasti nakládání s odpady.</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Stabilizovaný odpad získaný stabilizací se použije pouze k využití nebo odstranění, jak stanoví orgán pro nakládání s odpady.</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Stabilizace se provádí v oblasti s pevným povrchem.</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Během provozu skládky může být stabilizovaný odpad použit jako krycí vrstva nebo může být použit při její rekultivaci, kdy působí jako vyrovnávací nebo krycí vrstva v rámci horní konečné vrstvy, v souladu s ministerskou vyhláškou o některých pravidlech a podmínkách týkajících se skládkování odpadů a skládek, přičemž stabilizovaný odpad může být používán v rozsahu popsaném v pokynech pro technickou ochranu a technologii, s přihlédnutím k nejlepším dostupným přístupům k předcházení a omezování znečištění životního prostředí, jak je definováno v povolení k nakládání s odpady týkajícím se odstraňování. Po překročení tohoto rozsahu nelze stabilizovaný biologický odpad použít pro účely využití v rámci provozu skládky.</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Množství stabilizovaného odpadu, které lze použít k rekultivaci skládky na dané lokalitě, nesmí překročit 500 tun sušiny na hektar.</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Technické podmínky, které je třeba zajistit při stabilizaci, jsou uvedeny v příloha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Pravidla týkající se výroby bioplynu</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w:t>
      </w:r>
      <w:r>
        <w:rPr>
          <w:rFonts w:ascii="Times New Roman" w:hAnsi="Times New Roman"/>
          <w:sz w:val="24"/>
        </w:rPr>
        <w:t xml:space="preserve"> (1) Pokud je biologicky rozložitelný odpad přepravován do zařízení na výrobu bioplynu, lze výrobu bioplynu s povolením k nakládání s odpady provádět prostřednictvím využití R3, jak je definováno v ministerské vyhlášce o seznamu způsobů odstraňování a využití v souvislosti s nakládáním s odpady.</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Zřízení, povolení a provoz zařízení na výrobu bioplynu, které rovněž zpracovává vedlejší produkty živočišného původu, podléhá ministerské vyhlášce, kterou se stanoví veterinární pravidla pro vedlejší produkty živočišného původu, které nejsou určeny k lidské spotřebě, </w:t>
      </w:r>
      <w:r>
        <w:rPr>
          <w:rFonts w:ascii="Times New Roman" w:hAnsi="Times New Roman"/>
          <w:sz w:val="24"/>
        </w:rPr>
        <w:lastRenderedPageBreak/>
        <w:t>článku 24 nařízení Evropského parlamentu a Rady (ES) č. 1069/2009 ze dne 21. října 2009 o hygienických pravidlech pro vedlejší produkty živočišného původu a získané produkty, které nejsou určeny k lidské spotřebě, a o zrušení nařízení (ES) č. 1774/2002 (nařízení o vedlejších produktech živočišného původu) a příloze V nařízení Komise (EU) č. 142/2011, kterým se provádí nařízení Evropského parlamentu a Rady (ES) č. 1069/2009 o hygienických pravidlech pro vedlejší produkty živočišného původu a získané produkty, které nejsou určeny k lidské spotřebě, a provádí směrnice Rady 97/78/ES, pokud jde o určité vzorky a předměty osvobozené od veterinárních kontrol na hranici podle uvedené směrnice (dále jen: „nařízení Komise (EU) č. 142/2011“).</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 výrobu bioplynu z biologicky rozložitelných odpadů lze použít druhy odpadů uvedené v příloze 1, včetně bioplastů vhodných pro kompostování na místě.</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Výrobu bioplynu z biologicky rozložitelného odpadu v zařízení na výrobu bioplynu lze provádět prostřednictvím procesu</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mokré nebo</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suché</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fermentace.</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Technické podmínky, které je třeba zajistit při výrobě bioplynu, jsou stanoveny v příloze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Údaje o množství potravinového odpadu, který lze klasifikovat jako vedlejší produkt živočišného původu a který byl předán nebo přijat ke zpracování, shromážděné orgánem pro kontrolu potravinového řetězce v souladu s ministerskou vyhláškou, kterou se stanoví veterinární pravidla pro vedlejší produkty živočišného původu, které nejsou určeny k lidské spotřebě, lze při ověřování plnění cíle recyklace v případě zpracování započítat do příslušné cílové hodnoty. </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Pravidla pro stav, kdy odpad přestává být odpadem</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w:t>
      </w:r>
      <w:r>
        <w:rPr>
          <w:rFonts w:ascii="Times New Roman" w:hAnsi="Times New Roman"/>
          <w:sz w:val="24"/>
        </w:rPr>
        <w:t xml:space="preserve"> (1) V případě zemědělského využití přestává být biologicky rozložitelný odpad odpadem, pokud z něj vyrobený kompost a fermentační zbytky splňují zvláštní požadavky stanovené v</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ministerské vyhlášce o povolování, skladování, uvádění na trh a používání látek zvyšujících výnos a</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nařízení (ES) 2019/1009, kterým se stanoví pravidla pro dodávání hnojivých výrobků EU na trh.</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 případě nezemědělských využití přestává být biologicky rozložitelný odpad odpadem, pokud z něj vyrobený kompost a fermentační zbytky splňují požadavky uvedené v příloze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w:t>
      </w:r>
      <w:r>
        <w:rPr>
          <w:rFonts w:ascii="Times New Roman" w:hAnsi="Times New Roman"/>
          <w:sz w:val="24"/>
        </w:rPr>
        <w:t xml:space="preserve"> (1) Provozovatel kompostárny může předat kompost a provozovatel zařízení na výrobu bioplynu může předat fermentační zbytky k použití jiné osobě, pokud provozovatel potvrdí soulad s ustanoveními § 9 odst. 1 zákona CLXXXV z roku 2012 o odpadech, pokud jde o stav, kdy odpad přestává být odpadem, prostřednictvím prohlášení o shodě podle přílohy 4, s </w:t>
      </w:r>
      <w:r>
        <w:rPr>
          <w:rFonts w:ascii="Times New Roman" w:hAnsi="Times New Roman"/>
          <w:sz w:val="24"/>
        </w:rPr>
        <w:lastRenderedPageBreak/>
        <w:t xml:space="preserve">výjimkou případů, kdy jsou kompost nebo rezidua fermentace předány k dalšímu zpracování jako odpad.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Prohlášení o shodě se vypracuje individuálně pro každého příjemce a pro každou transakci.</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Prohlášení o shodě potvrzuje informace v něm obsažené, dokud není vypracováno další prohlášení o shodě.</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Provozovatel uvedený v odstavci 1 vyhotoví dvě kopie prohlášení o shodě, přičemž jednu kopii si ponechá jako důkaz a druhou kopii předá nebo doručí jakýmkoli ověřitelným způsobem uživateli při odeslání.</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Prohlášení o shodě musí provozovatel a uživatel uchovávat po dobu nejméně 5 let.</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w:t>
      </w:r>
      <w:r>
        <w:rPr>
          <w:rFonts w:ascii="Times New Roman" w:hAnsi="Times New Roman"/>
          <w:sz w:val="24"/>
        </w:rPr>
        <w:t xml:space="preserve"> (1) V případě nezemědělských využití provozovatel kompostárny ověří shodu kompostu s fyzikálními, chemickými, biologickými a hygienickými mikrobiologickými vlastnostmi kompostu podle požadavků této vyhlášky odebráním reprezentativního vzorku kompostu. Akreditovaný odběr a příprava vzorků se provádí podle normy.</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Z kompostu vyrobeného v kompostárně se odeberou vzorky z každé kompostové šarže v níže uvedených případech a četnosti:</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pokud má kompostárna kapacitu menší než 10 000 tun biologicky rozložitelného odpadu za referenční rok, nejméně jednou ročně z vyprodukovaného kompostu,</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pokud má kompostárna kapacitu větší než 10 000 tun biologicky rozložitelného odpadu za referenční rok, nejméně dvakrát ročně z vyprodukovaného kompostu, nebo</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pokud se změní technologie kompostárny.</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Laboratorní zkoušky vzorku kompostu se provádějí podle normy nebo rovnocennou metodou v laboratoři akreditované pro příslušnou zkoušku. Protokol o laboratorní zkoušce obsahující výsledky zkoušky se uchovává po dobu nejméně 5 let.</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Zkoušky na organické znečišťující látky se provádějí v případech, kdy se jedna nebo více použitých látek považuje za rizikové látky podle přílohy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Pokud kompost nesplňuje požadavky na stav, kdy odpad přestává být odpadem, uvedené v příloze 2, musí s ním být nadále nakládáno jako s odpadem a musí být zařazen v souladu s ministerskou vyhláškou o seznamu odpadů a následně předán subjektu zabývajícímu se nakládáním s odpady, který vlastní platné povolení k nakládání s odpady nebo jednotné povolením k využívání s ohledem na životní prostředí.</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w:t>
      </w:r>
      <w:r>
        <w:rPr>
          <w:rFonts w:ascii="Times New Roman" w:hAnsi="Times New Roman"/>
          <w:sz w:val="24"/>
        </w:rPr>
        <w:t xml:space="preserve"> (1) V případě nezemědělských využití provozovatel zařízení na výrobu bioplynu ověří shodu fermentačního zbytku s fyzikálními, chemickými, biologickými a hygienickými mikrobiologickými vlastnostmi fermentačního zbytku podle požadavků této vyhlášky odebráním reprezentativního vzorku fermentačního zbytku.</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Z fermentačního zbytku vzniklého v zařízení na výrobu bioplynu se odebírají vzorky v těchto případech a četnosti:</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a) pokud má zařízení na výrobu bioplynu kapacitu menší než 10 000 tun biologicky rozložitelného odpadu za referenční rok, nejméně jednou ročně z výsledného fermentačního zbytku,</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pokud má zařízení na výrobu bioplynu kapacitu větší než 10 000 tun biologicky rozložitelného odpadu za referenční rok, nejméně dvakrát ročně z výsledného fermentačního zbytku, nebo</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pokud se změní technologie zařízení na výrobu bioplynu.</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Laboratorní zkoušky vzorku fermentačního zbytku se provádějí podle normy v laboratoři akreditované pro příslušnou zkoušku. Protokol o laboratorní zkoušce obsahující výsledky zkoušky se uchovává po dobu nejméně 5 let.</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Zkoušky na organické znečišťující látky se provádějí v případech kdy se jedna nebo více použitých látek považuje za rizikové látky podle přílohy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Závěrečná ustanovení</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Oddíl 17 </w:t>
      </w:r>
      <w:r>
        <w:rPr>
          <w:rFonts w:ascii="Times New Roman" w:hAnsi="Times New Roman"/>
          <w:sz w:val="24"/>
        </w:rPr>
        <w:t xml:space="preserve"> Tato vyhláška vstupuje v platnost dne 31. prosince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w:t>
      </w:r>
      <w:r>
        <w:rPr>
          <w:rFonts w:ascii="Times New Roman" w:hAnsi="Times New Roman"/>
          <w:sz w:val="24"/>
        </w:rPr>
        <w:t xml:space="preserve"> (1) Účelem této vyhlášky je zajistit soulad se</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směrnicí Evropského parlamentu a Rady 2008/98/ES ze dne 19. listopadu 2008 o odpadech a o zrušení některých směrnic.</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směrnicí Rady 1999/31/ES ze dne 26. dubna 1999 o skládkách odpadů</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Návrh vyhlášky byl předem oznámen podle směrnice Evropského parlamentu a Rady (EU) 2015/1535 ze dne 9. září 2015 o postupu při poskytování informací v oblasti technických předpisů a předpisů pro služby informační společnosti.</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Oddíl 19</w:t>
      </w:r>
      <w:r>
        <w:rPr>
          <w:rFonts w:ascii="Times New Roman" w:hAnsi="Times New Roman"/>
          <w:sz w:val="24"/>
        </w:rPr>
        <w:t xml:space="preserve"> Osoby, které před nabytím účinnosti této vyhlášky nakládaly se svým potravinovým odpadem v souladu s ustanoveními vyhlášky, kterou se stanoví veterinární pravidla pro vedlejší produkty živočišného původu, které nejsou určeny k lidské spotřebě (dále jen: „vyhláška“), mohou pokračovat ve své činnosti i po nabytí účinnosti této vyhlášky v souladu s pravidly uvedené vyhlášky.</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Oddíl</w:t>
      </w:r>
      <w:r>
        <w:rPr>
          <w:rFonts w:ascii="Times New Roman" w:hAnsi="Times New Roman"/>
          <w:sz w:val="24"/>
        </w:rPr>
        <w:t xml:space="preserve"> </w:t>
      </w:r>
      <w:r>
        <w:rPr>
          <w:rFonts w:ascii="Times New Roman" w:hAnsi="Times New Roman"/>
          <w:b/>
          <w:sz w:val="24"/>
        </w:rPr>
        <w:t>20</w:t>
      </w:r>
      <w:r>
        <w:rPr>
          <w:rFonts w:ascii="Times New Roman" w:hAnsi="Times New Roman"/>
          <w:sz w:val="24"/>
        </w:rPr>
        <w:t xml:space="preserve"> Vyhláška KvVM č. 23/2003 ze dne 29. prosince 2003 o zpracování biologického odpadu a technických požadavcích na kompostování se zrušuje.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Předseda vlády (podpis)</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Příloha 1 vládního výnosu č. 559/2023 ze dne 14. prosince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Druhy odpadů a pomocné látky, které lze použít k biologickému zpracování a stabilizaci, a druhy odpadů, které lze použít jako pomocné látky</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Druhy odpadů, které lze použít k biologickému zpracování: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941"/>
        <w:gridCol w:w="1306"/>
        <w:gridCol w:w="2832"/>
        <w:gridCol w:w="2561"/>
        <w:gridCol w:w="1029"/>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Identifikační kód</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Popis druhu odpadu</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Poznámka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Riziková látka</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číslo hlavní skupiny</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číslo podskupiny</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ZE ZEMĚDĚLSTVÍ, ZAHRADNICTVÍ, RYBÁŘSTVÍ, LESNICTVÍ, MYSLIVOSTI A Z VÝROBY A ZPRACOVÁNÍ POTRAVIN</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ze zemědělství, zahradnictví, rybářství, lesnictví a myslivosti</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praní a z čištění</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 živočišných tkání</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Kromě kostní tkáně.</w:t>
            </w:r>
            <w:r>
              <w:rPr>
                <w:rFonts w:ascii="Times New Roman" w:hAnsi="Times New Roman"/>
                <w:sz w:val="24"/>
              </w:rPr>
              <w:br/>
              <w:t>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 rostlinných pletiv</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zvířecí trus, moč a hnůj (včetně znečištěné slámy), kapalné odpady, soustřeďované odděleně a zpracovávané mimo místo vzniku</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Kontaminovanou slámou se rozumí podestýlka, která se používá k absorpci zvířecích výkalů, moči a hnoje. 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lesnictví</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neošetřené dřevo.</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výroby a zpracování masa, ryb a jiných potravin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praní a z čištění</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 živočišných tkání</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suroviny nevhodné ke spotřebě nebo zpracování</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čištění odpadních vod v místě jejich vzniku</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r>
              <w:rPr>
                <w:rFonts w:ascii="Times New Roman" w:hAnsi="Times New Roman"/>
                <w:sz w:val="24"/>
              </w:rPr>
              <w:br/>
              <w:t>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odpady z výroby a ze zpracování ovoce, zeleniny, obilovin, jedlých olejů, kakaa, kávy, čaje a tabáku; odpady z konzervárenského průmyslu  z výroby droždí a kvasničného extraktu, z přípravy a kvašení melasy </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praní, čištění, loupání, odstřeďování a separace</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suroviny nevhodné ke spotřebě nebo zpracování</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Nebyla použita žádná extrakční činidla.</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čištění odpadních vod v místě jejich vzniku</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výroby cukru</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čištění odpadních vod v místě jejich vzniku</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mlékárenského průmyslu</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suroviny nevhodné ke spotřebě nebo zpracování</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čištění odpadních vod v místě jejich vzniku</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r>
              <w:rPr>
                <w:rFonts w:ascii="Times New Roman" w:hAnsi="Times New Roman"/>
                <w:sz w:val="24"/>
              </w:rPr>
              <w:br/>
              <w:t>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pekáren a výroby cukrovinek</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suroviny nevhodné ke spotřebě nebo zpracování</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čištění odpadních vod v místě jejich vzniku</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výroby alkoholických a nealkoholických nápojů (s výjimkou kávy, čaje a kakaa)</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praní, čištění a mechanického zpracování surovin</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destilace lihovin</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suroviny nevhodné ke spotřebě nebo zpracování</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čištění odpadních vod v místě jejich vzniku</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ZE ZPRACOVÁNÍ DŘEVA A VÝROBY DESEK, NÁBYTKU, CELULÓZY, PAPÍRU A LEPENKY</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ze zpracování dřeva a výroby desek a nábytku</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odpadní kůra a korek</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neošetřené dřevo.</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piliny, hobliny, odřezky, dřevo, dřevotřískové desky a dýhy, neuvedené pod číslem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neošetřené dřevo.</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výroby a zpracování celulózy, papíru a lepenky</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odpadní kůra a dřevo</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mechanicky oddělený výmět z rozvlákňování odpadního papíru a lepenky</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zbytky, které neobsahují činidla pro chemické ošetření.</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ze třídění papíru a lepenky určené k recyklaci</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zbytky, které neobsahují činidla pro chemické ošetření.</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výmětová vlákna, kaly z mechanického oddělování obsahující vlákna, výplně a povrchové vrstvy z mechanického třídění</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čištění odpadních vod v místě jejich vzniku neuvedené pod číslem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ODPADY Z KOŽEDĚLNÉHO, KOŽEŠNICKÉHO A </w:t>
            </w:r>
            <w:r>
              <w:rPr>
                <w:rFonts w:ascii="Times New Roman" w:hAnsi="Times New Roman"/>
                <w:b/>
                <w:sz w:val="24"/>
              </w:rPr>
              <w:lastRenderedPageBreak/>
              <w:t>TEXTILNÍHO PRŮMYSLU</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kožedělného a kožešnického průmyslu</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obsahující chrom, zejména kaly z čištění odpadních vod v místě jejich vzniku</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kal, který neobsahuje chemické čistící, koagulační nebo extrakční činidla.</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Ano</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textilního průmyslu</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organické hmoty z přírodních produktů (např. tuk, vosk)</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jiné kaly z čištění odpadních vod v místě jejich vzniku neuvedené pod číslem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Ano</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 nezpracovaných textilních vláken</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přírodní.</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odpady ze zpracovaných textilních vláken</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ty, které nejsou chemicky kontaminovány.</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ODPADNÍ OBALY; ABSORPČNÍ ČINIDLA, ČISTICÍ TKANINY, FILTRAČNÍ MATERIÁLY A OCHRANNÉ ODĚVY JINAK NEURČENÉ</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obaly (včetně odděleně sbíraného biologicky rozložitelného komunálního obalového odpadu)</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papírové a lepenkové obaly</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V případech, kdy recyklace papírového odpadu není proveditelná nebo nezbytná pro poměr uhlíku a dusíku </w:t>
            </w:r>
            <w:r>
              <w:rPr>
                <w:rFonts w:ascii="Times New Roman" w:hAnsi="Times New Roman"/>
                <w:sz w:val="24"/>
              </w:rPr>
              <w:lastRenderedPageBreak/>
              <w:t>biologicky rozložitelného odpadu připraveného ke zpracování.</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dřevěné obaly</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V TOMTO KATALOGU JINAK NEURČENÉ</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vadné šarže a nepoužité výrobky</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organické odpady neuvedené pod číslem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ZE ZAŘÍZENÍ URČENÉHO PRO NAKLÁDÁNÍ S ODPADY, Z ČISTÍREN ODPADNÍCH VOD PRO ČIŠTĚNÍ TĚCHTO VOD MIMO MÍSTO JEJICH VZNIKU A Z VÝROBY VODY PRO SPOTŘEBU LIDÍ A VODY PRO PRŮMYSLOVÉ ÚČELY</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 nevyhovující jakosti</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Část zpracovaného materiálu, která vzniká při závěrečném prosévání v rámci mechanicko-biologické úpravy odpadu a kterou lze do tohoto zpracování vrátit k pokusům o opětovnou stabilizaci nebo použít jako biologické „inokulanty“.</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anaerobního zpracování odpadu</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produkty vyhnívání z anaerobního zpracování komunálního odpadu</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Ano</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produkty vyhnívání z anaerobního zpracování </w:t>
            </w:r>
            <w:r>
              <w:rPr>
                <w:rFonts w:ascii="Times New Roman" w:hAnsi="Times New Roman"/>
                <w:sz w:val="24"/>
              </w:rPr>
              <w:lastRenderedPageBreak/>
              <w:t>živočišného a rostlinného odpadu</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čistíren odpadních vod jinde neuvedené</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Ano</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čištění komunálních odpadních vod</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Ano</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biologického čištění průmyslových odpadních vod neuvedené pod číslem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Ano</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jiných způsobů čištění průmyslových odpadních vod neuvedené pod číslem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Ano</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 výroby vody pro spotřebu lidí nebo vody pro průmyslové účely</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pevné odpady z primárního čištění (z česlí a filtrů)</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Ano</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čiření vody</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kaly z dekarbonace</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KOMUNÁLNÍ ODPADY (ODPADY Z DOMÁCNOSTÍ A PODOBNÉ ŽIVNOSTENSKÉ, PRŮMYSLOVÉ ODPADY A ODPADY Z ÚŘADŮ), VČETNĚ SLOŽEK Z ODDĚLENÉHO SBĚRU</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v případě, že pochází ze systému odděleného sběru.</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složky z odděleného sběru (kromě odpadů uvedených v podskupině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papír a lepenka</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biologicky rozložitelný odpad z kuchyní a stravoven</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jedlý olej a tuk</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Aniž jsou dotčeny vnitrostátní právní předpisy a právní předpisy EU týkající se vedlejších produktů živočišného původu.</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dřevo neuvedené pod číslem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Pouze pokud není ošetřeno chemickými látkami (včetně barvení, povrchové úpravy).</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odpady ze zahrad a parků (včetně hřbitovního odpadu)</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biologicky rozložitelný odpad</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 případě kůry pouze neošetřené dřevo. U odděleně sebraného hřbitovního odpadu pouze v případě přímého převzetí, pokud je na hřbitově zaveden systém tříděného sběru a lze řádně ověřit, že odpad neobsahuje cizí materiály (např. fólie, dráty na květiny a věnce, plastové květiny a jejich části).</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ostatní komunální odpady</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ostatní komunální odpady, včetně směsného komunálního odpadu</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 předúpravě.</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Ano</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 z tržišť</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Pokud tržiště provozuje systém odděleného sběru.</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 ze septiků a žump</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Pomocná látka, kterou lze použít pro výrobu kompostu, a druhy odpadů, které lze použít jako pomocné látky: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281"/>
        <w:gridCol w:w="2732"/>
        <w:gridCol w:w="3656"/>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Název druhu pomocné látky</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Normy kvality a</w:t>
            </w:r>
            <w:r>
              <w:rPr>
                <w:rFonts w:ascii="Times New Roman" w:hAnsi="Times New Roman"/>
                <w:b/>
                <w:sz w:val="24"/>
              </w:rPr>
              <w:br/>
              <w:t>poznámky</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Granule hornin</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čedičové granule,</w:t>
            </w:r>
            <w:r>
              <w:rPr>
                <w:rFonts w:ascii="Times New Roman" w:hAnsi="Times New Roman"/>
                <w:sz w:val="24"/>
              </w:rPr>
              <w:br/>
              <w:t>b) alginitové granule,</w:t>
            </w:r>
            <w:r>
              <w:rPr>
                <w:rFonts w:ascii="Times New Roman" w:hAnsi="Times New Roman"/>
                <w:sz w:val="24"/>
              </w:rPr>
              <w:br/>
              <w:t>c) granule ostatních hornin</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Kaly, sedimenty</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přírodní kaly a sedimenty bez přidané půdy a bez nečistot, včetně nekontaminovaných kalů a kalů z čištění kanalizace a odvodnění</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Jílové minerály</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čisté jílové minerály</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Vápno</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vápencové granule,</w:t>
            </w:r>
            <w:r>
              <w:rPr>
                <w:rFonts w:ascii="Times New Roman" w:hAnsi="Times New Roman"/>
                <w:sz w:val="24"/>
              </w:rPr>
              <w:br/>
              <w:t>b) dolomitové granule,</w:t>
            </w:r>
            <w:r>
              <w:rPr>
                <w:rFonts w:ascii="Times New Roman" w:hAnsi="Times New Roman"/>
                <w:sz w:val="24"/>
              </w:rPr>
              <w:br/>
              <w:t>c) průmyslový vápenec z výroby cukru,</w:t>
            </w:r>
            <w:r>
              <w:rPr>
                <w:rFonts w:ascii="Times New Roman" w:hAnsi="Times New Roman"/>
                <w:sz w:val="24"/>
              </w:rPr>
              <w:br/>
              <w:t>d) uhličitan vápenatý nevyhovující jakosti,</w:t>
            </w:r>
            <w:r>
              <w:rPr>
                <w:rFonts w:ascii="Times New Roman" w:hAnsi="Times New Roman"/>
                <w:sz w:val="24"/>
              </w:rPr>
              <w:br/>
              <w:t>odpadní kaustifikační kal</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Popel ze spalování biomasy</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rostlinný popel</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2 % hmot.</w:t>
            </w:r>
            <w:r>
              <w:rPr>
                <w:rFonts w:ascii="Times New Roman" w:hAnsi="Times New Roman"/>
                <w:sz w:val="24"/>
              </w:rPr>
              <w:br/>
              <w:t>Neobsahující popílek, s maximálním obsahem znečišťujících látek (mg/kg v sušině)</w:t>
            </w:r>
            <w:r>
              <w:rPr>
                <w:rFonts w:ascii="Times New Roman" w:hAnsi="Times New Roman"/>
                <w:sz w:val="24"/>
              </w:rPr>
              <w:br/>
              <w:t>a) zinek (Zn): 1 500,</w:t>
            </w:r>
            <w:r>
              <w:rPr>
                <w:rFonts w:ascii="Times New Roman" w:hAnsi="Times New Roman"/>
                <w:sz w:val="24"/>
              </w:rPr>
              <w:br/>
              <w:t>b) měď (Cu): 250,</w:t>
            </w:r>
            <w:r>
              <w:rPr>
                <w:rFonts w:ascii="Times New Roman" w:hAnsi="Times New Roman"/>
                <w:sz w:val="24"/>
              </w:rPr>
              <w:br/>
              <w:t>c) chrom (Cr): 250,</w:t>
            </w:r>
            <w:r>
              <w:rPr>
                <w:rFonts w:ascii="Times New Roman" w:hAnsi="Times New Roman"/>
                <w:sz w:val="24"/>
              </w:rPr>
              <w:br/>
              <w:t>d) olovo (Pb): 100,</w:t>
            </w:r>
            <w:r>
              <w:rPr>
                <w:rFonts w:ascii="Times New Roman" w:hAnsi="Times New Roman"/>
                <w:sz w:val="24"/>
              </w:rPr>
              <w:br/>
              <w:t>e) vanad (V): 100,</w:t>
            </w:r>
            <w:r>
              <w:rPr>
                <w:rFonts w:ascii="Times New Roman" w:hAnsi="Times New Roman"/>
                <w:sz w:val="24"/>
              </w:rPr>
              <w:br/>
              <w:t>f) kobalt (Co): 100,</w:t>
            </w:r>
            <w:r>
              <w:rPr>
                <w:rFonts w:ascii="Times New Roman" w:hAnsi="Times New Roman"/>
                <w:sz w:val="24"/>
              </w:rPr>
              <w:br/>
              <w:t>g) nikl (Ni): 100,</w:t>
            </w:r>
            <w:r>
              <w:rPr>
                <w:rFonts w:ascii="Times New Roman" w:hAnsi="Times New Roman"/>
                <w:sz w:val="24"/>
              </w:rPr>
              <w:br/>
              <w:t>h) molybden (Mo): 20,</w:t>
            </w:r>
            <w:r>
              <w:rPr>
                <w:rFonts w:ascii="Times New Roman" w:hAnsi="Times New Roman"/>
                <w:sz w:val="24"/>
              </w:rPr>
              <w:br/>
              <w:t>i) arsen (As): 20,</w:t>
            </w:r>
            <w:r>
              <w:rPr>
                <w:rFonts w:ascii="Times New Roman" w:hAnsi="Times New Roman"/>
                <w:sz w:val="24"/>
              </w:rPr>
              <w:br/>
              <w:t>j) kadmium (Cd): 8,</w:t>
            </w:r>
            <w:r>
              <w:rPr>
                <w:rFonts w:ascii="Times New Roman" w:hAnsi="Times New Roman"/>
                <w:sz w:val="24"/>
              </w:rPr>
              <w:br/>
              <w:t>Nesmí obsahovat popílek</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Půda (vytěžená nebo odvodněná)</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nekontaminovaná přírodní půda ze stavby nebo demolice, kal z mytí kořenových rostlin</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15 % hmot.</w:t>
            </w:r>
            <w:r>
              <w:rPr>
                <w:rFonts w:ascii="Times New Roman" w:hAnsi="Times New Roman"/>
                <w:sz w:val="24"/>
              </w:rPr>
              <w:br/>
              <w:t>Maximální obsah znečišťujících látek (mg/kg sušiny):</w:t>
            </w:r>
            <w:r>
              <w:rPr>
                <w:rFonts w:ascii="Times New Roman" w:hAnsi="Times New Roman"/>
                <w:sz w:val="24"/>
              </w:rPr>
              <w:br/>
              <w:t>a) arsen (As): 30,</w:t>
            </w:r>
            <w:r>
              <w:rPr>
                <w:rFonts w:ascii="Times New Roman" w:hAnsi="Times New Roman"/>
                <w:sz w:val="24"/>
              </w:rPr>
              <w:br/>
              <w:t>b) olovo (Pb): 100,</w:t>
            </w:r>
            <w:r>
              <w:rPr>
                <w:rFonts w:ascii="Times New Roman" w:hAnsi="Times New Roman"/>
                <w:sz w:val="24"/>
              </w:rPr>
              <w:br/>
              <w:t>c) kadmium (Cd): 1,1,</w:t>
            </w:r>
            <w:r>
              <w:rPr>
                <w:rFonts w:ascii="Times New Roman" w:hAnsi="Times New Roman"/>
                <w:sz w:val="24"/>
              </w:rPr>
              <w:br/>
              <w:t>d) chrom (Cr): 90,</w:t>
            </w:r>
            <w:r>
              <w:rPr>
                <w:rFonts w:ascii="Times New Roman" w:hAnsi="Times New Roman"/>
                <w:sz w:val="24"/>
              </w:rPr>
              <w:br/>
              <w:t>e) měď (Cu): 90;</w:t>
            </w:r>
            <w:r>
              <w:rPr>
                <w:rFonts w:ascii="Times New Roman" w:hAnsi="Times New Roman"/>
                <w:sz w:val="24"/>
              </w:rPr>
              <w:br/>
              <w:t>f) nikl (Ni): 55,</w:t>
            </w:r>
            <w:r>
              <w:rPr>
                <w:rFonts w:ascii="Times New Roman" w:hAnsi="Times New Roman"/>
                <w:sz w:val="24"/>
              </w:rPr>
              <w:br/>
              <w:t>g) rtuť (Hg): 0,7,</w:t>
            </w:r>
            <w:r>
              <w:rPr>
                <w:rFonts w:ascii="Times New Roman" w:hAnsi="Times New Roman"/>
                <w:sz w:val="24"/>
              </w:rPr>
              <w:br/>
              <w:t>h) zinek (Zn): 450,</w:t>
            </w:r>
            <w:r>
              <w:rPr>
                <w:rFonts w:ascii="Times New Roman" w:hAnsi="Times New Roman"/>
                <w:sz w:val="24"/>
              </w:rPr>
              <w:br/>
              <w:t xml:space="preserve">i) polycyklické aromatické uhlovodíky (PAH16: naftalen, fluor, fenanthren, anthracen, fluoranthen, pyren, benzo[a]anthracen, chrysen, </w:t>
            </w:r>
            <w:r>
              <w:rPr>
                <w:rFonts w:ascii="Times New Roman" w:hAnsi="Times New Roman"/>
                <w:sz w:val="24"/>
              </w:rPr>
              <w:lastRenderedPageBreak/>
              <w:t>benzo[b]fluoranthen, benzo[k]fluorantnen, benzo[a]pyren, indeno[1,2,3-cd]pyren, dibenzo[a]anthracen, benzo[g, h, i]perylen): 2,</w:t>
            </w:r>
            <w:r>
              <w:rPr>
                <w:rFonts w:ascii="Times New Roman" w:hAnsi="Times New Roman"/>
                <w:sz w:val="24"/>
              </w:rPr>
              <w:br/>
              <w:t xml:space="preserve">celkový obsah uhlovodíků: 200, který se podrobí zkoušce, pouze pokud existuje podezření na předchozí kontaminaci uhlovodíky nebo tvorba kalu z praní není známa a existuje podezření, že je přítomno nějaké rozpouštědlo nebo koagulační nebo extrakční činidlo.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lignocelulóza</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vedlejší zemědělské produkty rostlinného původu,</w:t>
            </w:r>
            <w:r>
              <w:rPr>
                <w:rFonts w:ascii="Times New Roman" w:hAnsi="Times New Roman"/>
                <w:sz w:val="24"/>
              </w:rPr>
              <w:br/>
              <w:t>b) prázdné obilné klasy / obal jádra bez obsahu,</w:t>
            </w:r>
            <w:r>
              <w:rPr>
                <w:rFonts w:ascii="Times New Roman" w:hAnsi="Times New Roman"/>
                <w:sz w:val="24"/>
              </w:rPr>
              <w:br/>
              <w:t>c) hnůj se slaměnou podestýlkou,</w:t>
            </w:r>
            <w:r>
              <w:rPr>
                <w:rFonts w:ascii="Times New Roman" w:hAnsi="Times New Roman"/>
                <w:sz w:val="24"/>
              </w:rPr>
              <w:br/>
              <w:t>d) zelené odřezky,</w:t>
            </w:r>
            <w:r>
              <w:rPr>
                <w:rFonts w:ascii="Times New Roman" w:hAnsi="Times New Roman"/>
                <w:sz w:val="24"/>
              </w:rPr>
              <w:br/>
              <w:t>zelený odpad</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Produkty podporující proces kompostování</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mikrobiologické přípravky, biologické startovací kultury</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Přípravek, který je povoleno uvádět na trh a používat.</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Odpady z čistíren odpadních vod, čistíren odpadních vod, které čistí odpadní vody mimo lokalitu, zásobování pitnou vodou a průmyslovou vodou.</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pevné odpady z primárního čištění (z česlí a filtrů),</w:t>
            </w:r>
            <w:r>
              <w:rPr>
                <w:rFonts w:ascii="Times New Roman" w:hAnsi="Times New Roman"/>
                <w:sz w:val="24"/>
              </w:rPr>
              <w:br/>
              <w:t>b) kal z čiření vody,</w:t>
            </w:r>
            <w:r>
              <w:rPr>
                <w:rFonts w:ascii="Times New Roman" w:hAnsi="Times New Roman"/>
                <w:sz w:val="24"/>
              </w:rPr>
              <w:br/>
              <w:t>kaly z dekarbonace</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Příloha 2 vyhlášky vlády č. 559/2023 ze dne 14. prosince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Fyzikální, chemické a biologické požadavky na komposty pro nezemědělské použití</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Kompost vyrobený z biologicky rozložitelného odpadu přestává být odpadem, pokud jsou splněny mezní hodnoty pro tyto kategorie použití: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
        <w:gridCol w:w="2818"/>
        <w:gridCol w:w="2818"/>
        <w:gridCol w:w="3152"/>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Kategorie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Kategorie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Kategorie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Pokud se kompost vyrobený z biologicky rozložitelného odpadu používá v oblasti, kde může přímo ohrozit lidské zdraví (zejména v zelených oblastech patřících k obytným a rekreačním oblastem, hřištím, parkům, záhonům u silnic, lesům, veřejným promenádám, oblastem na procházky se psem, veřejným květináčům, plochám sportovních zařízení, plážovým plochám a oblastem patřícím veřejným institucím), musí tento kompost rovněž splňovat požadavky stanovené v příloze 3 bodu 4 vyhlášky ministra zemědělství a rozvoje venkova FVM č. 36/2006 ze dne 18. května 2006 o povolování, skladování, uvádění na trh a používání látek zvyšujících výnos.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Pokud je kompost vyrobený z biologicky rozložitelného odpadu používán v oblasti, na kterou se vztahuje zákon o lesích, ochraně lesa a lesním hospodářství způsobem upraveným v uvedeném zákoně, nebo na jiných venkovních plochách porostlých dřevinami, musí kompost rovněž splňovat požadavky stanovené v bodech 1.1 </w:t>
            </w:r>
            <w:r>
              <w:rPr>
                <w:rFonts w:ascii="Times New Roman" w:hAnsi="Times New Roman"/>
                <w:i/>
                <w:sz w:val="24"/>
              </w:rPr>
              <w:t>a</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Pokud se kompost vyrobený z biologicky rozložitelného odpadu používá pro rekultivaci, zlepšení stavu poškozené krajiny nebo se používá v uzavřených odkalištích podle vyhlášky ministerstva ochrany životního prostředí a vodohospodářství KvVM č. 20/2006 ze dne 5. dubna 2006 o některých pravidlech a podmínkách týkajících se skládkování odpadů a skládek, musí tento kompost rovněž splňovat požadavky uvedené v bodech 1.1 a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Fyzikální a biologické vlastnosti: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039"/>
        <w:gridCol w:w="2158"/>
        <w:gridCol w:w="1960"/>
        <w:gridCol w:w="2632"/>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Vlastnosti</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Kategorie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Kategorie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Poznámka</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Obsah organických látek</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Obsah organických látek v kompostu je nejméně 15 % obsahu sušiny.</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Obsah organických látek v kompostu je nejméně 15 % obsahu sušiny.</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Minimální obsah organické hmoty se vztahuje na produkt na konci kompostovací fáze před smícháním s jinými látkami. Cílem je zabránit naředění složek (např. pískem, půdou).</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Zralost kompostu</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Maximální teplota dosažená při zkoušce samozahřívání nesmí překročit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Patogeny:</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Salmonella sp 2x5 g negativní,</w:t>
            </w:r>
            <w:r>
              <w:rPr>
                <w:rFonts w:ascii="Times New Roman" w:hAnsi="Times New Roman"/>
                <w:sz w:val="24"/>
              </w:rPr>
              <w:br/>
              <w:t>b) Počet koliformních bakterií 500/g,</w:t>
            </w:r>
            <w:r>
              <w:rPr>
                <w:rFonts w:ascii="Times New Roman" w:hAnsi="Times New Roman"/>
                <w:sz w:val="24"/>
              </w:rPr>
              <w:br/>
              <w:t>c) Počet fekálních streptokoků 500/g,</w:t>
            </w:r>
            <w:r>
              <w:rPr>
                <w:rFonts w:ascii="Times New Roman" w:hAnsi="Times New Roman"/>
                <w:sz w:val="24"/>
              </w:rPr>
              <w:br/>
              <w:t>d) Vajíčka lidských cizopasných červů 25 g negativní</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Měření tohoto parametru musí být doprovázeno pravidelnými měřeními teploty.</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Životaschopná semena plevelů a přípravky na množení rostlin</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 kompostu nesmí být více než 2 životaschopná semena plevele na litr.</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Měření tohoto parametru musí být doprovázeno pravidelnými měřeními teploty.</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Makroskopické nečistoty</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Mezi částicemi většími než 2 mm kompost může obsahovat sklo, kov a plasty v nejvýše 0,5 % obsahu sušiny.</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Mezi částicemi většími než 2 mm kompost může obsahovat sklo, kov a plasty v nejvýše 0,5 % obsahu sušiny.</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Je třeba rozlišovat mezi kameny a umělými nečistotami.</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Chemické vlastnosti:</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Obsah těžkých kovů:</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1697"/>
        <w:gridCol w:w="1855"/>
        <w:gridCol w:w="1881"/>
        <w:gridCol w:w="3236"/>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Těžké kovy</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Množství (mg/kg v sušině) kategorie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Množství (mg/kg v sušině) kategorie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Poznámka</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Arsen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Zinek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Rtuť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Kadmium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Kobalt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Celkový obsah chromu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Hotový výrobek před smícháním s jinými látkami. V případě trojvazného chromu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Šestivazný chrom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Molybden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Nikl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Olovo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Měď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Selen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2.2.1 Organické nečistoty: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5013"/>
        <w:gridCol w:w="1125"/>
        <w:gridCol w:w="1133"/>
        <w:gridCol w:w="1518"/>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Organické nečistoty</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Množství</w:t>
            </w:r>
            <w:r>
              <w:rPr>
                <w:rFonts w:ascii="Times New Roman" w:hAnsi="Times New Roman"/>
                <w:b/>
                <w:sz w:val="24"/>
              </w:rPr>
              <w:br/>
              <w:t>Kategorie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Množství</w:t>
            </w:r>
            <w:r>
              <w:rPr>
                <w:rFonts w:ascii="Times New Roman" w:hAnsi="Times New Roman"/>
                <w:b/>
                <w:sz w:val="24"/>
              </w:rPr>
              <w:br/>
              <w:t>Kategorie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Poznámka</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Celkový orientační obsah polychlorovaných bifenylů (PCB7: PCB 28, 52, 101, 118, 138, 153, 180) (mg/kg v sušině)</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Celkový obsah polycyklických aromatických uhlovodíků (PAH16: naftalen, fluor, fenanthren, anthracen, fluoranthen, pyren, benzo[a]anthracen, chrysen, benzo[b]fluoranthen, benzo[k]fluoranthen, benzo[a]pyren, indeno[1,2,3-cd]pyren, dibenzo[a,h]anthracen, benzo[g, h, i]perylen) (obsah mg/kg v sušině)</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Hotový výrobek před smícháním s jinými látkami.</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Celkový obsah alifatických uhlovodíků (TPH) (mg/kg v sušině)</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Při dodání fermentačních zbytků do čistírny odpadních vod přestávají být fermentační zbytky vytvořené v zařízení na výrobu bioplynu odpadem, pokud jsou splněny mezní hodnoty stanovené v přílohách 4 a 5 ministerské vyhlášky o mezních hodnotách pro znečišťující látky ve vodě a určitých pravidlech pro jejich použití.</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Příloha 3 vyhlášky vlády č. 559/2023 ze dne 14. prosince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Technická pravidla pro kompostování na místě, stabilizaci a výrobu bioplynu</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Kompostování na místě:</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V případě kompostovacích systémů ve smyslu § 10 odst. 3, s výjimkou případů, kdy se při kompostování na místě používají vedlejší produkty živočišného původu, musí být v kompostárně zajištěny alespoň tyto teploty a četnost míchání a otáčení: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v otevřené kompostovací jednotce musí být udržována teplota 55 °C po dobu nejméně 14 dnů, aby bylo zajištěno hygienické ošetření, přičemž musí být provedeno nejméně 5 míchání nebo otáčení;</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v otevřené kompostovací jednotce musí být udržována teplota 65 °C po dobu nejméně 7 dnů, aby bylo zajištěno hygienické ošetření, přičemž musí být provedena nejméně 2 míchání nebo otáčení;</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v uzavřené kompostovací jednotce musí být udržována teplota 60 °C po dobu nejméně 7 dnů, aby bylo zajištěno hygienické ošetření.</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Za účelem dosažení vysoké úrovně biologické aktivity při kompostování musí být zajištěny alespoň tyto podmínky:</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nejlepší dostupná struktura a provzdušňování;</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dostatečný přívod kyslíku;</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přiměřený obsah vlhkosti a živin;</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poměr uhlíku k dusíku 25–35:1 a</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rozsah pH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Po ukončení intenzivního zrání musí provozovatel kompostárny následně nechat kompost dozrát v oblasti následné úpravy, dokud jeho teplota při zkoušce samozahřívání nepřesáhne 30 °C. Následnému zrání může předcházet prosévání nebo frakcionace.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V případě kompostování vedlejších produktů živočišného původu nebo získaných produktů je nezbytné dodržovat parametry pro přeměnu a mikrobiologické parametry stanovené v příloze V kapitole III oddílech 1 a 3 nařízení Komise (EU) č. 142/2011.</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Stabilizace:</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Stabilizaci lze provádět pouze v zařízení pro nakládání s odpady s vodotěsným povrchem.</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Stabilizace zajistí alespoň tyto podmínky:</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fáze podle teplotní potřeby psychofilních, mezofilních a termofilních mikroorganismů;</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vysoká úroveň biologické aktivity a odpovídající obsah vlhkosti biologicky rozložitelného odpadu, vytvoření vhodných podmínek pH;</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c) nejlepší dostupná struktura, provzdušňování a homogenizace pro hygienické ošetření.</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Směsný odpad je třeba stabilizovat, dokud intenzita respirace (AT4) neklesne pod 10 mg O</w:t>
      </w:r>
      <w:r>
        <w:rPr>
          <w:rFonts w:ascii="Times New Roman" w:hAnsi="Times New Roman"/>
          <w:sz w:val="24"/>
          <w:vertAlign w:val="subscript"/>
        </w:rPr>
        <w:t>2</w:t>
      </w:r>
      <w:r>
        <w:rPr>
          <w:rFonts w:ascii="Times New Roman" w:hAnsi="Times New Roman"/>
          <w:sz w:val="24"/>
        </w:rPr>
        <w:t>/g sušiny.</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Výroba bioplynu:</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V případě postupů uvedených v § 12 odst. 3 musí být zajištěny minimální hodnoty teplot a doby jejich trvání podle následující tabulky: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3356"/>
        <w:gridCol w:w="1629"/>
        <w:gridCol w:w="3804"/>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Systém zařízení na výrobu bioplynu</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Hodnoty teploty</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Doba trvání udržování teplotních hodnot</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 mokré fermentace</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nejméně 25–35 dní</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Proces suché fermentace</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nejméně 20–30 dní</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Optimální poměr uhlík/dusík: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Vhodné rozmezí pH: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V případě použití vedlejších produktů živočišného původu nebo získaných produktů v zařízení na výrobu bioplynu se použijí parametry pro přeměnu a mikrobiologické parametry stanovené v příloze V kapitole III oddílech 1 a 3 nařízení Komise (EU) č. 142/2011.</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Příloha 4 vyhlášky vlády č. 559/2023 ze dne 14. prosince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Prohlášení o shodě a jeho obsah</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Pro šarži kompostu se vyhotoví prohlášení o shodě podle této tabulky:</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KOMPOST</w:t>
            </w:r>
            <w:r>
              <w:rPr>
                <w:b/>
                <w:sz w:val="17"/>
              </w:rPr>
              <w:br/>
              <w:t>PROHLÁŠENÍ O SHODĚ</w:t>
            </w:r>
          </w:p>
        </w:tc>
        <w:tc>
          <w:tcPr>
            <w:tcW w:w="4549" w:type="dxa"/>
          </w:tcPr>
          <w:p w14:paraId="386EEDDB" w14:textId="77777777" w:rsidR="00D75B38" w:rsidRDefault="00D75B38" w:rsidP="00D75B38">
            <w:pPr>
              <w:pStyle w:val="TableParagraph"/>
              <w:spacing w:line="195" w:lineRule="exact"/>
              <w:ind w:left="106"/>
              <w:rPr>
                <w:sz w:val="17"/>
              </w:rPr>
            </w:pPr>
            <w:r>
              <w:rPr>
                <w:sz w:val="17"/>
              </w:rPr>
              <w:t>1. Jméno/název provozovatele kompostárny:</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Adresa sídla provozovatele:</w:t>
            </w:r>
          </w:p>
        </w:tc>
        <w:tc>
          <w:tcPr>
            <w:tcW w:w="4549" w:type="dxa"/>
          </w:tcPr>
          <w:p w14:paraId="6FBDFC63" w14:textId="77777777" w:rsidR="00D75B38" w:rsidRDefault="00D75B38" w:rsidP="00D75B38">
            <w:pPr>
              <w:pStyle w:val="TableParagraph"/>
              <w:spacing w:line="195" w:lineRule="exact"/>
              <w:ind w:left="106"/>
              <w:rPr>
                <w:sz w:val="17"/>
              </w:rPr>
            </w:pPr>
            <w:r>
              <w:rPr>
                <w:sz w:val="17"/>
              </w:rPr>
              <w:t>3. Adresa místa výroby:</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Telefon:</w:t>
            </w:r>
          </w:p>
        </w:tc>
        <w:tc>
          <w:tcPr>
            <w:tcW w:w="4549" w:type="dxa"/>
          </w:tcPr>
          <w:p w14:paraId="4BF075C6" w14:textId="77777777" w:rsidR="00D75B38" w:rsidRDefault="00D75B38" w:rsidP="00D75B38">
            <w:pPr>
              <w:pStyle w:val="TableParagraph"/>
              <w:spacing w:before="4"/>
              <w:ind w:left="106"/>
              <w:rPr>
                <w:sz w:val="17"/>
              </w:rPr>
            </w:pPr>
            <w:r>
              <w:rPr>
                <w:sz w:val="17"/>
              </w:rPr>
              <w:t>5. E-mail:</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Číslo KÜJ (environmentální klientské číslo):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Číslo KTJ (environmentální územní číslo):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Statistické číslo vydané úřadem HCSO (Maďarský ústřední statistický úřad):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Číslo povolení k nakládání s odpady:</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Povolení k uvádění na trh a používání kompostu (pokud existuje):</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Číslo protokolů o odběru vzorků v souvislosti se stavem, kdy odpad přestává být odpadem, a protokolů o laboratorních zkouškách (identifikační značka vzorku odpadu):</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Činnost zpracování:</w:t>
            </w:r>
          </w:p>
        </w:tc>
        <w:tc>
          <w:tcPr>
            <w:tcW w:w="4549" w:type="dxa"/>
          </w:tcPr>
          <w:p w14:paraId="65F30F63" w14:textId="77777777" w:rsidR="00D75B38" w:rsidRDefault="00D75B38" w:rsidP="00D75B38">
            <w:pPr>
              <w:pStyle w:val="TableParagraph"/>
              <w:spacing w:line="195" w:lineRule="exact"/>
              <w:ind w:left="97"/>
              <w:rPr>
                <w:sz w:val="17"/>
              </w:rPr>
            </w:pPr>
            <w:r>
              <w:rPr>
                <w:sz w:val="17"/>
              </w:rPr>
              <w:t>13. Technologie zpracování:</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Odpad použitý k výrobě kompostu:</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typ:</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množství:</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Pomocné látky použité při výrobě kompostu (pokud existují):</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typ:</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množství:</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Norma použitá při výrobě kompostu (pokud existuje):</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Kategorie použití kompostu:</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Šarže kompostu odeslaná z kompostárny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Ukazatele vnitřního obsahu kompostu:</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reakce:</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objemová hmotnost:</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obsah sušiny,</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obsah organických látek;</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celkový obsah solí rozpustných ve vodě:</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rozdělení velikosti částic</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t>Obsah účinné látky (</w:t>
            </w:r>
            <w:r>
              <w:rPr>
                <w:sz w:val="17"/>
              </w:rPr>
              <w:t>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Fyzikální a biologické vlastnosti kompostu:</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obsah organických látek;</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zralost kompostu:</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patogeny:</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životaschopná semena plevelů a přípravky na množení rostlin:</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makroskopické nečistoty:</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Chemické vlastnosti kompostu:</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Obsah těžkých kovů:</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Organické nečistoty:</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Jméno/název, adresa, sídlo uživatele, kterému je kompost předán:</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Doručovací adresa:</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Prohlašuji, že kompost splňuje podmínky pro ukončení vzniku odpadu stanovené ve vyhlášce vlády č. 559/2023 ze dne 14. prosince 2023 o činnostech k předcházení vzniku biologicky rozložitelných odpadů, v podrobných pravidlech pro činnosti v oblasti nakládání s odpady týkajícími se biologicky rozložitelných odpadů a v pravidlech pro klasifikaci kompostu vyrobeného z bioodpadu a v § 9 odst. 1 zákona CLXXXV z roku 2012 o odpadech:</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Datum a podpis:</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Pro šarži fermentačního zbytku se vyhotoví prohlášení o shodě podle této tabulky:</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FERMENTAČNÍ ZBYTEK</w:t>
            </w:r>
            <w:r>
              <w:rPr>
                <w:b/>
                <w:sz w:val="17"/>
              </w:rPr>
              <w:br/>
              <w:t>PROHLÁŠENÍ O SHODĚ</w:t>
            </w:r>
          </w:p>
        </w:tc>
        <w:tc>
          <w:tcPr>
            <w:tcW w:w="4546" w:type="dxa"/>
          </w:tcPr>
          <w:p w14:paraId="16F7218D" w14:textId="77777777" w:rsidR="00D75B38" w:rsidRDefault="00D75B38" w:rsidP="00D75B38">
            <w:pPr>
              <w:pStyle w:val="TableParagraph"/>
              <w:spacing w:line="195" w:lineRule="exact"/>
              <w:rPr>
                <w:sz w:val="17"/>
              </w:rPr>
            </w:pPr>
            <w:r>
              <w:rPr>
                <w:sz w:val="17"/>
              </w:rPr>
              <w:t>1. Jméno/název provozovatele zařízení na výrobu bioplynu:</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Adresa sídla provozovatele:</w:t>
            </w:r>
          </w:p>
        </w:tc>
        <w:tc>
          <w:tcPr>
            <w:tcW w:w="4546" w:type="dxa"/>
          </w:tcPr>
          <w:p w14:paraId="61677E8E" w14:textId="77777777" w:rsidR="00D75B38" w:rsidRDefault="00D75B38" w:rsidP="00D75B38">
            <w:pPr>
              <w:pStyle w:val="TableParagraph"/>
              <w:spacing w:line="195" w:lineRule="exact"/>
              <w:rPr>
                <w:sz w:val="17"/>
              </w:rPr>
            </w:pPr>
            <w:r>
              <w:rPr>
                <w:sz w:val="17"/>
              </w:rPr>
              <w:t>3. Adresa místa výroby:</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Telefon:</w:t>
            </w:r>
          </w:p>
        </w:tc>
        <w:tc>
          <w:tcPr>
            <w:tcW w:w="4546" w:type="dxa"/>
          </w:tcPr>
          <w:p w14:paraId="6313FF0B" w14:textId="77777777" w:rsidR="00D75B38" w:rsidRDefault="00D75B38" w:rsidP="00D75B38">
            <w:pPr>
              <w:pStyle w:val="TableParagraph"/>
              <w:spacing w:line="195" w:lineRule="exact"/>
              <w:rPr>
                <w:sz w:val="17"/>
              </w:rPr>
            </w:pPr>
            <w:r>
              <w:rPr>
                <w:sz w:val="17"/>
              </w:rPr>
              <w:t>5. E-mail:</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fermentačního zbytku,</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fermentačního zbytku,</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Číslo KÜJ (environmentální klientské číslo):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Číslo KTJ (environmentální územní číslo):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Statistické číslo vydané úřadem HCSO (Maďarský ústřední statistický úřad):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Číslo povolení k nakládání s odpady:</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Povolení k uvádění na trh a používání fermentačního zbytku (pokud existuje):</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Činnost zpracování:</w:t>
            </w:r>
          </w:p>
        </w:tc>
        <w:tc>
          <w:tcPr>
            <w:tcW w:w="4549" w:type="dxa"/>
          </w:tcPr>
          <w:p w14:paraId="12765214" w14:textId="77777777" w:rsidR="00D75B38" w:rsidRDefault="00D75B38" w:rsidP="00D75B38">
            <w:pPr>
              <w:pStyle w:val="TableParagraph"/>
              <w:spacing w:line="195" w:lineRule="exact"/>
              <w:ind w:left="97"/>
              <w:rPr>
                <w:sz w:val="17"/>
              </w:rPr>
            </w:pPr>
            <w:r>
              <w:rPr>
                <w:sz w:val="17"/>
              </w:rPr>
              <w:t>12. Technologie zpracování:</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Odpad použitý k výrobě fermentačního zbytku:</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typ:</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množství:</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t>Pomocné látky použité při výrobě fermentačního zbytku (pokud existují):</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typ:</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množství:</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Norma použitá při výrobě bioplynu (pokud existuje):</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Množství vzniklého fermentačního zbytku (kg nebo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Chemické vlastnosti fermentačního zbytku:</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Chemické vlastnosti:</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reakce:</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obsah organických látek;</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celkový obsah dusíku;</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celkový obsah fosforu</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Rizikové prvky:</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Pro obsah sušiny nižší než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Pro obsah sušiny vyšší než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Organické znečišťující látky:</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Pro obsah sušiny nižší než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živočišné a rostlinné tuky:</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aniontová povrchově aktivní látka:</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Pro obsah sušiny vyšší než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Biologické vlastnosti fermentačního zbytku:</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Mikrobiologické znečišťující látky:</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Počet fekálních koliformních bakterií:</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Počet vajíček lidských cizopasných červů:</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Počet fekálních streptokoků:</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Počet pseudomonas aeroginosa:</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Výsledek zkoušky na </w:t>
            </w:r>
            <w:r>
              <w:rPr>
                <w:i/>
                <w:sz w:val="17"/>
              </w:rPr>
              <w:t>Azotobacter agile</w:t>
            </w:r>
            <w:r>
              <w:rPr>
                <w:sz w:val="17"/>
              </w:rPr>
              <w: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Jméno/název, adresa, místo podnikání uživatele, na kterého se převádí fermentační zbytek:</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Doručovací adresa:</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Prohlašuji, že fermentační zbytek splňuje podmínky pro ukončení vzniku odpadu stanovené ve vyhlášce vlády č. 559/2023 ze dne 14. prosince 2023 o činnostech k předcházení vzniku biologicky rozložitelných odpadů, v podrobných pravidlech pro činnosti v oblasti nakládání s odpady týkajícími se biologicky rozložitelných odpadů a v pravidlech pro klasifikaci kompostu vyrobeného z bioodpadu a v § 9 odst. 1</w:t>
            </w:r>
          </w:p>
          <w:p w14:paraId="15E63BCD" w14:textId="77777777" w:rsidR="00D75B38" w:rsidRDefault="00D75B38" w:rsidP="00D75B38">
            <w:pPr>
              <w:pStyle w:val="TableParagraph"/>
              <w:spacing w:before="2"/>
              <w:rPr>
                <w:sz w:val="17"/>
              </w:rPr>
            </w:pPr>
            <w:r>
              <w:rPr>
                <w:sz w:val="17"/>
              </w:rPr>
              <w:t>zákona CLXXXV z roku 2012 o odpadech:</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Datum a podpis:</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1B70" w14:textId="77777777" w:rsidR="002508A0" w:rsidRDefault="002508A0" w:rsidP="00D75B38">
      <w:pPr>
        <w:spacing w:after="0" w:line="240" w:lineRule="auto"/>
      </w:pPr>
      <w:r>
        <w:separator/>
      </w:r>
    </w:p>
  </w:endnote>
  <w:endnote w:type="continuationSeparator" w:id="0">
    <w:p w14:paraId="18B50D3F" w14:textId="77777777" w:rsidR="002508A0" w:rsidRDefault="002508A0"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3592" w14:textId="77777777" w:rsidR="002508A0" w:rsidRDefault="002508A0" w:rsidP="00D75B38">
      <w:pPr>
        <w:spacing w:after="0" w:line="240" w:lineRule="auto"/>
      </w:pPr>
      <w:r>
        <w:separator/>
      </w:r>
    </w:p>
  </w:footnote>
  <w:footnote w:type="continuationSeparator" w:id="0">
    <w:p w14:paraId="300357E9" w14:textId="77777777" w:rsidR="002508A0" w:rsidRDefault="002508A0"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2508A0"/>
    <w:rsid w:val="004B077F"/>
    <w:rsid w:val="00886CCF"/>
    <w:rsid w:val="009478CF"/>
    <w:rsid w:val="009D57B8"/>
    <w:rsid w:val="00A321C1"/>
    <w:rsid w:val="00AA287C"/>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7715</Words>
  <Characters>44212</Characters>
  <Application>Microsoft Office Word</Application>
  <DocSecurity>0</DocSecurity>
  <Lines>1922</Lines>
  <Paragraphs>944</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2024-07-24T13:51:00Z</dcterms:created>
  <dcterms:modified xsi:type="dcterms:W3CDTF">2024-07-24T13:51:00Z</dcterms:modified>
</cp:coreProperties>
</file>