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13FB" w14:textId="77777777" w:rsidR="00625111" w:rsidRDefault="009413DB">
      <w:pPr>
        <w:spacing w:before="6"/>
        <w:ind w:left="105" w:right="225"/>
        <w:jc w:val="center"/>
        <w:rPr>
          <w:sz w:val="46"/>
        </w:rPr>
      </w:pPr>
      <w:r>
        <w:rPr>
          <w:sz w:val="46"/>
        </w:rPr>
        <w:t xml:space="preserve">ΣΥΛΛΟΓΗ </w:t>
      </w:r>
      <w:r>
        <w:rPr>
          <w:noProof/>
        </w:rPr>
        <w:drawing>
          <wp:inline distT="0" distB="0" distL="0" distR="0" wp14:anchorId="16A18B1A" wp14:editId="4E622329">
            <wp:extent cx="359968" cy="4351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8" cy="4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6"/>
        </w:rPr>
        <w:t xml:space="preserve"> </w:t>
      </w:r>
      <w:r>
        <w:rPr>
          <w:sz w:val="46"/>
        </w:rPr>
        <w:t>ΝΟΜΟΘΕΣΙΑΣ</w:t>
      </w:r>
    </w:p>
    <w:p w14:paraId="10EE75DA" w14:textId="77777777" w:rsidR="00625111" w:rsidRDefault="009413DB">
      <w:pPr>
        <w:spacing w:before="66"/>
        <w:ind w:left="105" w:right="105"/>
        <w:jc w:val="center"/>
        <w:rPr>
          <w:sz w:val="34"/>
        </w:rPr>
      </w:pPr>
      <w:r>
        <w:rPr>
          <w:sz w:val="34"/>
        </w:rPr>
        <w:t>ΤΗΣ ΣΛΟΒΑΚΙΚΗΣ ΔΗΜΟΚΡΑΤΙΑΣ</w:t>
      </w:r>
    </w:p>
    <w:p w14:paraId="272BF4BA" w14:textId="25681E9C" w:rsidR="00625111" w:rsidRDefault="009413DB">
      <w:pPr>
        <w:spacing w:before="216"/>
        <w:ind w:left="105" w:right="105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5EBB702" wp14:editId="0DCDA60E">
                <wp:simplePos x="0" y="0"/>
                <wp:positionH relativeFrom="page">
                  <wp:posOffset>701675</wp:posOffset>
                </wp:positionH>
                <wp:positionV relativeFrom="paragraph">
                  <wp:posOffset>420370</wp:posOffset>
                </wp:positionV>
                <wp:extent cx="615569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25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0A796" id="Freeform 4" o:spid="_x0000_s1026" style="position:absolute;margin-left:55.25pt;margin-top:33.1pt;width:484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" path="m,l9694,e" filled="f" strokeweight=".34994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>
        <w:rPr>
          <w:sz w:val="28"/>
        </w:rPr>
        <w:t>Τόμος 2024</w:t>
      </w:r>
    </w:p>
    <w:p w14:paraId="5C5856D0" w14:textId="77777777" w:rsidR="00625111" w:rsidRDefault="009413DB">
      <w:pPr>
        <w:tabs>
          <w:tab w:val="left" w:pos="3680"/>
        </w:tabs>
        <w:spacing w:before="38" w:line="403" w:lineRule="auto"/>
        <w:ind w:left="105" w:right="103"/>
        <w:jc w:val="center"/>
      </w:pPr>
      <w:r>
        <w:t>Δημοσιεύτηκε: 24. 5. 2024</w:t>
      </w:r>
      <w:r>
        <w:tab/>
        <w:t>Δημοσιεύτηκε στη Συλλογή Νομοθεσίας της Σλοβακικής Δημοκρατίας. Το περιεχόμενο του εγγράφου είναι νομικά δεσμευτικό.</w:t>
      </w:r>
    </w:p>
    <w:p w14:paraId="44076232" w14:textId="77777777" w:rsidR="00625111" w:rsidRDefault="009413DB">
      <w:pPr>
        <w:pStyle w:val="BodyText"/>
        <w:spacing w:before="171"/>
        <w:ind w:left="105" w:right="105"/>
        <w:jc w:val="center"/>
        <w:rPr>
          <w:b/>
        </w:rPr>
      </w:pPr>
      <w:r>
        <w:rPr>
          <w:b/>
        </w:rPr>
        <w:t>114</w:t>
      </w:r>
    </w:p>
    <w:p w14:paraId="6A4F02EF" w14:textId="77777777" w:rsidR="00625111" w:rsidRDefault="009413DB">
      <w:pPr>
        <w:pStyle w:val="BodyText"/>
        <w:spacing w:before="129"/>
        <w:ind w:left="105" w:right="15"/>
        <w:jc w:val="center"/>
        <w:rPr>
          <w:b/>
        </w:rPr>
      </w:pPr>
      <w:r>
        <w:rPr>
          <w:b/>
        </w:rPr>
        <w:t>Ε Κ Τ Ε Λ Ε Σ Τ Ι Κ Ο   Δ Ι Α Τ Α Γ Μ Α</w:t>
      </w:r>
    </w:p>
    <w:p w14:paraId="743084CE" w14:textId="77777777" w:rsidR="00625111" w:rsidRDefault="009413DB">
      <w:pPr>
        <w:pStyle w:val="BodyText"/>
        <w:spacing w:before="62"/>
        <w:ind w:left="105" w:right="105"/>
        <w:jc w:val="center"/>
        <w:rPr>
          <w:b/>
        </w:rPr>
      </w:pPr>
      <w:r>
        <w:rPr>
          <w:b/>
        </w:rPr>
        <w:t>του Υπουργείου Οικονομικών της Σλοβακικής Δημοκρατίας</w:t>
      </w:r>
    </w:p>
    <w:p w14:paraId="0463C7F4" w14:textId="77777777" w:rsidR="00625111" w:rsidRDefault="009413DB">
      <w:pPr>
        <w:pStyle w:val="BodyText"/>
        <w:spacing w:before="88"/>
        <w:ind w:left="105" w:right="105"/>
        <w:jc w:val="center"/>
      </w:pPr>
      <w:r>
        <w:t>της 20ής Μαΐου 2024</w:t>
      </w:r>
    </w:p>
    <w:p w14:paraId="02FA8B86" w14:textId="77777777" w:rsidR="00625111" w:rsidRDefault="009413DB">
      <w:pPr>
        <w:pStyle w:val="BodyText"/>
        <w:spacing w:before="93" w:line="244" w:lineRule="auto"/>
        <w:ind w:left="1409" w:right="1407"/>
        <w:jc w:val="center"/>
        <w:rPr>
          <w:b/>
        </w:rPr>
      </w:pPr>
      <w:r>
        <w:rPr>
          <w:b/>
        </w:rPr>
        <w:t>για την τροποποίηση του διατάγματος αριθ. 252/2014 του Υπουργείου Οικονομικών της Σλοβακικής Δημοκρατίας με το οποίο καθορίζονται οι λεπτομέρε</w:t>
      </w:r>
      <w:r>
        <w:rPr>
          <w:b/>
        </w:rPr>
        <w:t>ιες, η εκτέλεση και η τιμή των ένσημων ταινιών ειδικού φόρου κατανάλωσης που προορίζονται για τη σήμανση των συσκευασιών οινοπνευματωδών ποτών που προορίζονται για τον καταναλωτή</w:t>
      </w:r>
    </w:p>
    <w:p w14:paraId="60C749C7" w14:textId="77777777" w:rsidR="00625111" w:rsidRDefault="00625111">
      <w:pPr>
        <w:pStyle w:val="BodyText"/>
        <w:spacing w:before="1" w:line="244" w:lineRule="auto"/>
        <w:ind w:left="1409" w:right="1407"/>
        <w:jc w:val="center"/>
        <w:rPr>
          <w:b/>
        </w:rPr>
      </w:pPr>
    </w:p>
    <w:p w14:paraId="586636AE" w14:textId="77777777" w:rsidR="00625111" w:rsidRDefault="00625111">
      <w:pPr>
        <w:pStyle w:val="BodyText"/>
        <w:rPr>
          <w:b/>
          <w:sz w:val="28"/>
        </w:rPr>
      </w:pPr>
    </w:p>
    <w:p w14:paraId="644C8474" w14:textId="77777777" w:rsidR="00625111" w:rsidRDefault="00625111">
      <w:pPr>
        <w:pStyle w:val="BodyText"/>
        <w:spacing w:before="6"/>
        <w:rPr>
          <w:b/>
          <w:sz w:val="31"/>
        </w:rPr>
      </w:pPr>
    </w:p>
    <w:p w14:paraId="66824EC6" w14:textId="77777777" w:rsidR="00625111" w:rsidRDefault="009413DB">
      <w:pPr>
        <w:pStyle w:val="BodyText"/>
        <w:ind w:left="332"/>
        <w:jc w:val="both"/>
      </w:pPr>
      <w:r>
        <w:t>Σύμφωνα με το άρθρο 51 παράγραφος 10 του νόμου αριθ. 530/2011 για τους ειδικούς φόρους κατανάλωσης στα οινοπνευματώδη ποτά, όπως τροποποιήθηκε με τον νόμο αριθ. 362/2013, το Υπουργείο Οικονομικών της Σλοβακικής Δημοκρατίας ορίζει:</w:t>
      </w:r>
    </w:p>
    <w:p w14:paraId="3014ECB4" w14:textId="77777777" w:rsidR="00625111" w:rsidRDefault="00625111">
      <w:pPr>
        <w:pStyle w:val="BodyText"/>
        <w:spacing w:before="5"/>
        <w:ind w:left="105"/>
        <w:jc w:val="both"/>
      </w:pPr>
    </w:p>
    <w:p w14:paraId="2DC98903" w14:textId="77777777" w:rsidR="00625111" w:rsidRDefault="009413DB">
      <w:pPr>
        <w:pStyle w:val="BodyText"/>
        <w:spacing w:before="208"/>
        <w:ind w:left="105" w:right="105"/>
        <w:jc w:val="center"/>
        <w:rPr>
          <w:b/>
        </w:rPr>
      </w:pPr>
      <w:r>
        <w:rPr>
          <w:b/>
        </w:rPr>
        <w:t>Άρθρο Ι</w:t>
      </w:r>
    </w:p>
    <w:p w14:paraId="279A06D7" w14:textId="77777777" w:rsidR="00625111" w:rsidRDefault="009413DB">
      <w:pPr>
        <w:pStyle w:val="BodyText"/>
        <w:spacing w:before="218" w:line="276" w:lineRule="auto"/>
        <w:ind w:left="105" w:right="103" w:firstLine="226"/>
        <w:jc w:val="both"/>
      </w:pPr>
      <w:r>
        <w:t>Το διάταγμα αριθ</w:t>
      </w:r>
      <w:r>
        <w:t>. 252/2014 του Υπουργείου Οικονομικών της Σλοβακικής Δημοκρατίας με το οποίο καθορίζονται οι λεπτομέρειες, η εκτέλεση και η τιμή των ένσημων ταινιών ειδικού φόρου κατανάλωσης που προορίζονται για τη σήμανση της συσκευασίας οινοπνευματωδών ποτών στον κατανα</w:t>
      </w:r>
      <w:r>
        <w:t>λωτή τροποποιείται ως εξής:</w:t>
      </w:r>
    </w:p>
    <w:p w14:paraId="5B053C46" w14:textId="77777777" w:rsidR="00625111" w:rsidRDefault="009413DB">
      <w:pPr>
        <w:pStyle w:val="ListParagraph"/>
        <w:numPr>
          <w:ilvl w:val="0"/>
          <w:numId w:val="1"/>
        </w:numPr>
        <w:tabs>
          <w:tab w:val="left" w:pos="389"/>
        </w:tabs>
        <w:jc w:val="both"/>
        <w:rPr>
          <w:sz w:val="20"/>
        </w:rPr>
      </w:pPr>
      <w:r>
        <w:rPr>
          <w:sz w:val="20"/>
        </w:rPr>
        <w:t>Το άρθρο 1 παράγραφος 2 διατυπώνεται ως εξής:</w:t>
      </w:r>
    </w:p>
    <w:p w14:paraId="72E61EEC" w14:textId="77777777" w:rsidR="00625111" w:rsidRDefault="009413DB">
      <w:pPr>
        <w:pStyle w:val="BodyText"/>
        <w:spacing w:before="220" w:line="276" w:lineRule="auto"/>
        <w:ind w:left="388" w:right="103" w:firstLine="226"/>
        <w:jc w:val="both"/>
      </w:pPr>
      <w:r>
        <w:t xml:space="preserve">«2) Η ένσημη ταινία ειδικού φόρου κατανάλωσης προορίζεται για τη σήμανση της συσκευασίας οινοπνευματωδών ποτών από τον καταναλωτή1) και έχει διαστάσεις σε χιλιοστά 16 x 55, 16 x 90, </w:t>
      </w:r>
      <w:r>
        <w:t xml:space="preserve">16 x 150 ή 16 x 210». </w:t>
      </w:r>
    </w:p>
    <w:p w14:paraId="013D273E" w14:textId="77777777" w:rsidR="00625111" w:rsidRDefault="009413DB">
      <w:pPr>
        <w:pStyle w:val="ListParagraph"/>
        <w:numPr>
          <w:ilvl w:val="0"/>
          <w:numId w:val="1"/>
        </w:numPr>
        <w:tabs>
          <w:tab w:val="left" w:pos="389"/>
        </w:tabs>
        <w:jc w:val="both"/>
        <w:rPr>
          <w:sz w:val="20"/>
        </w:rPr>
      </w:pPr>
      <w:r>
        <w:rPr>
          <w:sz w:val="20"/>
        </w:rPr>
        <w:t>Η υποσημείωση 2 διατυπώνεται ως εξής:</w:t>
      </w:r>
    </w:p>
    <w:p w14:paraId="22173165" w14:textId="77777777" w:rsidR="00625111" w:rsidRDefault="009413DB">
      <w:pPr>
        <w:spacing w:before="104" w:line="244" w:lineRule="auto"/>
        <w:ind w:left="388" w:right="103"/>
        <w:jc w:val="both"/>
        <w:rPr>
          <w:sz w:val="18"/>
        </w:rPr>
      </w:pPr>
      <w:r>
        <w:rPr>
          <w:sz w:val="18"/>
        </w:rPr>
        <w:t>«</w:t>
      </w:r>
      <w:r>
        <w:rPr>
          <w:sz w:val="10"/>
        </w:rPr>
        <w:t>2</w:t>
      </w:r>
      <w:r>
        <w:rPr>
          <w:sz w:val="18"/>
        </w:rPr>
        <w:t>) Οδηγία (ΕΕ) 2015/1535 του Ευρωπαϊκού Κοινοβουλίου και του Συμβουλίου, της 9ης Σεπτεμβρίου 2015, για την καθιέρωση μιας διαδικασίας πληροφόρησης στον τομέα των τεχνικών προδιαγραφών και των κα</w:t>
      </w:r>
      <w:r>
        <w:rPr>
          <w:sz w:val="18"/>
        </w:rPr>
        <w:t xml:space="preserve">νόνων σχετικά με τις υπηρεσίες της κοινωνίας των πληροφοριών (ΕΕ L 241 της 17.9.2015)».  </w:t>
      </w:r>
    </w:p>
    <w:p w14:paraId="6ECEA830" w14:textId="77777777" w:rsidR="00625111" w:rsidRDefault="009413DB">
      <w:pPr>
        <w:pStyle w:val="BodyText"/>
        <w:spacing w:before="205"/>
        <w:ind w:left="105" w:right="105"/>
        <w:jc w:val="center"/>
        <w:rPr>
          <w:b/>
        </w:rPr>
      </w:pPr>
      <w:r>
        <w:rPr>
          <w:b/>
        </w:rPr>
        <w:t>Άρθρο II</w:t>
      </w:r>
    </w:p>
    <w:p w14:paraId="09171D22" w14:textId="77777777" w:rsidR="00625111" w:rsidRDefault="009413DB">
      <w:pPr>
        <w:pStyle w:val="BodyText"/>
        <w:spacing w:before="218"/>
        <w:ind w:left="332"/>
        <w:jc w:val="both"/>
      </w:pPr>
      <w:r>
        <w:t>Το παρόν διάταγμα αρχίζει να ισχύει την 1η Ιουνίου 2024.</w:t>
      </w:r>
    </w:p>
    <w:p w14:paraId="56C55B92" w14:textId="77777777" w:rsidR="00625111" w:rsidRDefault="00625111">
      <w:pPr>
        <w:pStyle w:val="BodyText"/>
        <w:rPr>
          <w:sz w:val="26"/>
        </w:rPr>
      </w:pPr>
    </w:p>
    <w:p w14:paraId="6C56CF0C" w14:textId="77777777" w:rsidR="00625111" w:rsidRDefault="00625111">
      <w:pPr>
        <w:pStyle w:val="BodyText"/>
        <w:spacing w:before="3"/>
        <w:rPr>
          <w:sz w:val="24"/>
        </w:rPr>
      </w:pPr>
    </w:p>
    <w:p w14:paraId="5951E57C" w14:textId="77777777" w:rsidR="00625111" w:rsidRDefault="009413DB">
      <w:pPr>
        <w:pStyle w:val="BodyText"/>
        <w:ind w:left="105" w:right="169"/>
        <w:jc w:val="center"/>
        <w:rPr>
          <w:b/>
        </w:rPr>
      </w:pPr>
      <w:r>
        <w:rPr>
          <w:b/>
        </w:rPr>
        <w:t>Ladislav Kamenický m. p.</w:t>
      </w:r>
    </w:p>
    <w:p w14:paraId="35DDB611" w14:textId="77777777" w:rsidR="00625111" w:rsidRDefault="00625111">
      <w:pPr>
        <w:jc w:val="center"/>
        <w:sectPr w:rsidR="00625111">
          <w:type w:val="continuous"/>
          <w:pgSz w:w="11910" w:h="16840"/>
          <w:pgMar w:top="820" w:right="1000" w:bottom="280" w:left="1000" w:header="720" w:footer="720" w:gutter="0"/>
          <w:cols w:space="720"/>
        </w:sectPr>
      </w:pPr>
    </w:p>
    <w:p w14:paraId="159E72DC" w14:textId="541D23B3" w:rsidR="00625111" w:rsidRDefault="009413DB">
      <w:pPr>
        <w:pStyle w:val="BodyText"/>
        <w:tabs>
          <w:tab w:val="left" w:pos="3075"/>
          <w:tab w:val="left" w:pos="8244"/>
        </w:tabs>
        <w:spacing w:before="117"/>
        <w:ind w:left="105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5ED89CC5" wp14:editId="76E89806">
                <wp:simplePos x="0" y="0"/>
                <wp:positionH relativeFrom="page">
                  <wp:posOffset>701675</wp:posOffset>
                </wp:positionH>
                <wp:positionV relativeFrom="paragraph">
                  <wp:posOffset>275590</wp:posOffset>
                </wp:positionV>
                <wp:extent cx="615569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217B2" id="Freeform 3" o:spid="_x0000_s1026" style="position:absolute;margin-left:55.25pt;margin-top:21.7pt;width:484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" path="m,l9694,e" filled="f" strokeweight=".39969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>
        <w:t>Σελίδα 2</w:t>
      </w:r>
      <w:r>
        <w:tab/>
      </w:r>
      <w:r>
        <w:t>Συλλογή της Νομοθεσίας της Σλοβακικής Δημοκρατίας</w:t>
      </w:r>
      <w:r>
        <w:rPr>
          <w:b/>
        </w:rPr>
        <w:t>114/2024</w:t>
      </w:r>
    </w:p>
    <w:p w14:paraId="7AA91CBD" w14:textId="77777777" w:rsidR="00625111" w:rsidRDefault="00625111">
      <w:pPr>
        <w:pStyle w:val="BodyText"/>
        <w:rPr>
          <w:b/>
        </w:rPr>
      </w:pPr>
    </w:p>
    <w:p w14:paraId="44C06F0D" w14:textId="77777777" w:rsidR="00625111" w:rsidRDefault="00625111">
      <w:pPr>
        <w:pStyle w:val="BodyText"/>
        <w:rPr>
          <w:b/>
        </w:rPr>
      </w:pPr>
    </w:p>
    <w:p w14:paraId="2571313F" w14:textId="77777777" w:rsidR="00625111" w:rsidRDefault="00625111">
      <w:pPr>
        <w:pStyle w:val="BodyText"/>
        <w:rPr>
          <w:b/>
        </w:rPr>
      </w:pPr>
    </w:p>
    <w:p w14:paraId="027B0A78" w14:textId="77777777" w:rsidR="00625111" w:rsidRDefault="00625111">
      <w:pPr>
        <w:pStyle w:val="BodyText"/>
        <w:rPr>
          <w:b/>
        </w:rPr>
      </w:pPr>
    </w:p>
    <w:p w14:paraId="454D4322" w14:textId="77777777" w:rsidR="00625111" w:rsidRDefault="00625111">
      <w:pPr>
        <w:pStyle w:val="BodyText"/>
        <w:rPr>
          <w:b/>
        </w:rPr>
      </w:pPr>
    </w:p>
    <w:p w14:paraId="40154945" w14:textId="77777777" w:rsidR="00625111" w:rsidRDefault="00625111">
      <w:pPr>
        <w:pStyle w:val="BodyText"/>
        <w:rPr>
          <w:b/>
        </w:rPr>
      </w:pPr>
    </w:p>
    <w:p w14:paraId="0BA8A55A" w14:textId="77777777" w:rsidR="00625111" w:rsidRDefault="00625111">
      <w:pPr>
        <w:pStyle w:val="BodyText"/>
        <w:rPr>
          <w:b/>
        </w:rPr>
      </w:pPr>
    </w:p>
    <w:p w14:paraId="5FDC1388" w14:textId="77777777" w:rsidR="00625111" w:rsidRDefault="00625111">
      <w:pPr>
        <w:pStyle w:val="BodyText"/>
        <w:rPr>
          <w:b/>
        </w:rPr>
      </w:pPr>
    </w:p>
    <w:p w14:paraId="18E63E32" w14:textId="77777777" w:rsidR="00625111" w:rsidRDefault="00625111">
      <w:pPr>
        <w:pStyle w:val="BodyText"/>
        <w:rPr>
          <w:b/>
        </w:rPr>
      </w:pPr>
    </w:p>
    <w:p w14:paraId="53ECCC52" w14:textId="77777777" w:rsidR="00625111" w:rsidRDefault="00625111">
      <w:pPr>
        <w:pStyle w:val="BodyText"/>
        <w:rPr>
          <w:b/>
        </w:rPr>
      </w:pPr>
    </w:p>
    <w:p w14:paraId="3E673C8E" w14:textId="77777777" w:rsidR="00625111" w:rsidRDefault="00625111">
      <w:pPr>
        <w:pStyle w:val="BodyText"/>
        <w:rPr>
          <w:b/>
        </w:rPr>
      </w:pPr>
    </w:p>
    <w:p w14:paraId="198AFA77" w14:textId="77777777" w:rsidR="00625111" w:rsidRDefault="00625111">
      <w:pPr>
        <w:pStyle w:val="BodyText"/>
        <w:rPr>
          <w:b/>
        </w:rPr>
      </w:pPr>
    </w:p>
    <w:p w14:paraId="03B769C5" w14:textId="77777777" w:rsidR="00625111" w:rsidRDefault="00625111">
      <w:pPr>
        <w:pStyle w:val="BodyText"/>
        <w:rPr>
          <w:b/>
        </w:rPr>
      </w:pPr>
    </w:p>
    <w:p w14:paraId="2E61696F" w14:textId="77777777" w:rsidR="00625111" w:rsidRDefault="00625111">
      <w:pPr>
        <w:pStyle w:val="BodyText"/>
        <w:rPr>
          <w:b/>
        </w:rPr>
      </w:pPr>
    </w:p>
    <w:p w14:paraId="6A168A02" w14:textId="77777777" w:rsidR="00625111" w:rsidRDefault="00625111">
      <w:pPr>
        <w:pStyle w:val="BodyText"/>
        <w:rPr>
          <w:b/>
        </w:rPr>
      </w:pPr>
    </w:p>
    <w:p w14:paraId="7DB961E3" w14:textId="77777777" w:rsidR="00625111" w:rsidRDefault="00625111">
      <w:pPr>
        <w:pStyle w:val="BodyText"/>
        <w:rPr>
          <w:b/>
        </w:rPr>
      </w:pPr>
    </w:p>
    <w:p w14:paraId="4BED48A3" w14:textId="77777777" w:rsidR="00625111" w:rsidRDefault="00625111">
      <w:pPr>
        <w:pStyle w:val="BodyText"/>
        <w:rPr>
          <w:b/>
        </w:rPr>
      </w:pPr>
    </w:p>
    <w:p w14:paraId="690862C3" w14:textId="77777777" w:rsidR="00625111" w:rsidRDefault="00625111">
      <w:pPr>
        <w:pStyle w:val="BodyText"/>
        <w:rPr>
          <w:b/>
        </w:rPr>
      </w:pPr>
    </w:p>
    <w:p w14:paraId="01C1D2F9" w14:textId="77777777" w:rsidR="00625111" w:rsidRDefault="00625111">
      <w:pPr>
        <w:pStyle w:val="BodyText"/>
        <w:rPr>
          <w:b/>
        </w:rPr>
      </w:pPr>
    </w:p>
    <w:p w14:paraId="03C73ECD" w14:textId="77777777" w:rsidR="00625111" w:rsidRDefault="00625111">
      <w:pPr>
        <w:pStyle w:val="BodyText"/>
        <w:rPr>
          <w:b/>
        </w:rPr>
      </w:pPr>
    </w:p>
    <w:p w14:paraId="0DC0F5A0" w14:textId="77777777" w:rsidR="00625111" w:rsidRDefault="00625111">
      <w:pPr>
        <w:pStyle w:val="BodyText"/>
        <w:rPr>
          <w:b/>
        </w:rPr>
      </w:pPr>
    </w:p>
    <w:p w14:paraId="3E9BB99B" w14:textId="77777777" w:rsidR="00625111" w:rsidRDefault="00625111">
      <w:pPr>
        <w:pStyle w:val="BodyText"/>
        <w:rPr>
          <w:b/>
        </w:rPr>
      </w:pPr>
    </w:p>
    <w:p w14:paraId="772C4CA1" w14:textId="77777777" w:rsidR="00625111" w:rsidRDefault="00625111">
      <w:pPr>
        <w:pStyle w:val="BodyText"/>
        <w:rPr>
          <w:b/>
        </w:rPr>
      </w:pPr>
    </w:p>
    <w:p w14:paraId="7984B26C" w14:textId="77777777" w:rsidR="00625111" w:rsidRDefault="00625111">
      <w:pPr>
        <w:pStyle w:val="BodyText"/>
        <w:rPr>
          <w:b/>
        </w:rPr>
      </w:pPr>
    </w:p>
    <w:p w14:paraId="72BDD5D6" w14:textId="77777777" w:rsidR="00625111" w:rsidRDefault="00625111">
      <w:pPr>
        <w:pStyle w:val="BodyText"/>
        <w:rPr>
          <w:b/>
        </w:rPr>
      </w:pPr>
    </w:p>
    <w:p w14:paraId="77C175A4" w14:textId="77777777" w:rsidR="00625111" w:rsidRDefault="00625111">
      <w:pPr>
        <w:pStyle w:val="BodyText"/>
        <w:rPr>
          <w:b/>
        </w:rPr>
      </w:pPr>
    </w:p>
    <w:p w14:paraId="53CAFB01" w14:textId="77777777" w:rsidR="00625111" w:rsidRDefault="00625111">
      <w:pPr>
        <w:pStyle w:val="BodyText"/>
        <w:rPr>
          <w:b/>
        </w:rPr>
      </w:pPr>
    </w:p>
    <w:p w14:paraId="2D0C3AE5" w14:textId="77777777" w:rsidR="00625111" w:rsidRDefault="00625111">
      <w:pPr>
        <w:pStyle w:val="BodyText"/>
        <w:rPr>
          <w:b/>
        </w:rPr>
      </w:pPr>
    </w:p>
    <w:p w14:paraId="493C1B63" w14:textId="77777777" w:rsidR="00625111" w:rsidRDefault="00625111">
      <w:pPr>
        <w:pStyle w:val="BodyText"/>
        <w:rPr>
          <w:b/>
        </w:rPr>
      </w:pPr>
    </w:p>
    <w:p w14:paraId="21F387A6" w14:textId="77777777" w:rsidR="00625111" w:rsidRDefault="00625111">
      <w:pPr>
        <w:pStyle w:val="BodyText"/>
        <w:rPr>
          <w:b/>
        </w:rPr>
      </w:pPr>
    </w:p>
    <w:p w14:paraId="16A7A740" w14:textId="77777777" w:rsidR="00625111" w:rsidRDefault="00625111">
      <w:pPr>
        <w:pStyle w:val="BodyText"/>
        <w:rPr>
          <w:b/>
        </w:rPr>
      </w:pPr>
    </w:p>
    <w:p w14:paraId="38C801B7" w14:textId="77777777" w:rsidR="00625111" w:rsidRDefault="00625111">
      <w:pPr>
        <w:pStyle w:val="BodyText"/>
        <w:rPr>
          <w:b/>
        </w:rPr>
      </w:pPr>
    </w:p>
    <w:p w14:paraId="6BF69D8C" w14:textId="77777777" w:rsidR="00625111" w:rsidRDefault="00625111">
      <w:pPr>
        <w:pStyle w:val="BodyText"/>
        <w:rPr>
          <w:b/>
        </w:rPr>
      </w:pPr>
    </w:p>
    <w:p w14:paraId="6F06FC6B" w14:textId="77777777" w:rsidR="00625111" w:rsidRDefault="00625111">
      <w:pPr>
        <w:pStyle w:val="BodyText"/>
        <w:rPr>
          <w:b/>
        </w:rPr>
      </w:pPr>
    </w:p>
    <w:p w14:paraId="7A0E78BF" w14:textId="77777777" w:rsidR="00625111" w:rsidRDefault="00625111">
      <w:pPr>
        <w:pStyle w:val="BodyText"/>
        <w:rPr>
          <w:b/>
        </w:rPr>
      </w:pPr>
    </w:p>
    <w:p w14:paraId="183B3C89" w14:textId="77777777" w:rsidR="00625111" w:rsidRDefault="00625111">
      <w:pPr>
        <w:pStyle w:val="BodyText"/>
        <w:rPr>
          <w:b/>
        </w:rPr>
      </w:pPr>
    </w:p>
    <w:p w14:paraId="338E2511" w14:textId="77777777" w:rsidR="00625111" w:rsidRDefault="00625111">
      <w:pPr>
        <w:pStyle w:val="BodyText"/>
        <w:rPr>
          <w:b/>
        </w:rPr>
      </w:pPr>
    </w:p>
    <w:p w14:paraId="6F30DA16" w14:textId="77777777" w:rsidR="00625111" w:rsidRDefault="00625111">
      <w:pPr>
        <w:pStyle w:val="BodyText"/>
        <w:rPr>
          <w:b/>
        </w:rPr>
      </w:pPr>
    </w:p>
    <w:p w14:paraId="402B60D3" w14:textId="77777777" w:rsidR="00625111" w:rsidRDefault="00625111">
      <w:pPr>
        <w:pStyle w:val="BodyText"/>
        <w:rPr>
          <w:b/>
        </w:rPr>
      </w:pPr>
    </w:p>
    <w:p w14:paraId="5B2E489B" w14:textId="77777777" w:rsidR="00625111" w:rsidRDefault="00625111">
      <w:pPr>
        <w:pStyle w:val="BodyText"/>
        <w:rPr>
          <w:b/>
        </w:rPr>
      </w:pPr>
    </w:p>
    <w:p w14:paraId="19A446DD" w14:textId="77777777" w:rsidR="00625111" w:rsidRDefault="00625111">
      <w:pPr>
        <w:pStyle w:val="BodyText"/>
        <w:rPr>
          <w:b/>
        </w:rPr>
      </w:pPr>
    </w:p>
    <w:p w14:paraId="4E3F5CFB" w14:textId="77777777" w:rsidR="00625111" w:rsidRDefault="00625111">
      <w:pPr>
        <w:pStyle w:val="BodyText"/>
        <w:rPr>
          <w:b/>
        </w:rPr>
      </w:pPr>
    </w:p>
    <w:p w14:paraId="6FDEFB12" w14:textId="77777777" w:rsidR="00625111" w:rsidRDefault="00625111">
      <w:pPr>
        <w:pStyle w:val="BodyText"/>
        <w:rPr>
          <w:b/>
        </w:rPr>
      </w:pPr>
    </w:p>
    <w:p w14:paraId="5852E556" w14:textId="77777777" w:rsidR="00625111" w:rsidRDefault="00625111">
      <w:pPr>
        <w:pStyle w:val="BodyText"/>
        <w:rPr>
          <w:b/>
        </w:rPr>
      </w:pPr>
    </w:p>
    <w:p w14:paraId="7F35018F" w14:textId="77777777" w:rsidR="00625111" w:rsidRDefault="00625111">
      <w:pPr>
        <w:pStyle w:val="BodyText"/>
        <w:rPr>
          <w:b/>
        </w:rPr>
      </w:pPr>
    </w:p>
    <w:p w14:paraId="2F89CBAD" w14:textId="77777777" w:rsidR="00625111" w:rsidRDefault="00625111">
      <w:pPr>
        <w:pStyle w:val="BodyText"/>
        <w:rPr>
          <w:b/>
        </w:rPr>
      </w:pPr>
    </w:p>
    <w:p w14:paraId="54578815" w14:textId="77777777" w:rsidR="00625111" w:rsidRDefault="00625111">
      <w:pPr>
        <w:pStyle w:val="BodyText"/>
        <w:rPr>
          <w:b/>
        </w:rPr>
      </w:pPr>
    </w:p>
    <w:p w14:paraId="3D0C7E79" w14:textId="77777777" w:rsidR="00625111" w:rsidRDefault="00625111">
      <w:pPr>
        <w:pStyle w:val="BodyText"/>
        <w:rPr>
          <w:b/>
        </w:rPr>
      </w:pPr>
    </w:p>
    <w:p w14:paraId="235CB091" w14:textId="77777777" w:rsidR="00625111" w:rsidRDefault="00625111">
      <w:pPr>
        <w:pStyle w:val="BodyText"/>
        <w:rPr>
          <w:b/>
        </w:rPr>
      </w:pPr>
    </w:p>
    <w:p w14:paraId="35EE5E87" w14:textId="77777777" w:rsidR="00625111" w:rsidRDefault="00625111">
      <w:pPr>
        <w:pStyle w:val="BodyText"/>
        <w:rPr>
          <w:b/>
        </w:rPr>
      </w:pPr>
    </w:p>
    <w:p w14:paraId="14AD2F32" w14:textId="77777777" w:rsidR="00625111" w:rsidRDefault="00625111">
      <w:pPr>
        <w:pStyle w:val="BodyText"/>
        <w:rPr>
          <w:b/>
        </w:rPr>
      </w:pPr>
    </w:p>
    <w:p w14:paraId="52F855F3" w14:textId="77777777" w:rsidR="00625111" w:rsidRDefault="00625111">
      <w:pPr>
        <w:pStyle w:val="BodyText"/>
        <w:rPr>
          <w:b/>
        </w:rPr>
      </w:pPr>
    </w:p>
    <w:p w14:paraId="1C061B61" w14:textId="77777777" w:rsidR="00625111" w:rsidRDefault="00625111">
      <w:pPr>
        <w:pStyle w:val="BodyText"/>
        <w:rPr>
          <w:b/>
        </w:rPr>
      </w:pPr>
    </w:p>
    <w:p w14:paraId="31551262" w14:textId="302524CA" w:rsidR="00625111" w:rsidRDefault="009413DB">
      <w:pPr>
        <w:pStyle w:val="BodyText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0311A0" wp14:editId="52E1812B">
                <wp:simplePos x="0" y="0"/>
                <wp:positionH relativeFrom="page">
                  <wp:posOffset>701675</wp:posOffset>
                </wp:positionH>
                <wp:positionV relativeFrom="paragraph">
                  <wp:posOffset>150495</wp:posOffset>
                </wp:positionV>
                <wp:extent cx="61556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43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5F2FB" id="Freeform 2" o:spid="_x0000_s1026" style="position:absolute;margin-left:55.25pt;margin-top:11.85pt;width:484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" path="m,l9694,e" filled="f" strokeweight=".39969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</w:p>
    <w:p w14:paraId="27AF11A5" w14:textId="77777777" w:rsidR="00625111" w:rsidRDefault="00625111">
      <w:pPr>
        <w:pStyle w:val="BodyText"/>
        <w:spacing w:before="6"/>
        <w:rPr>
          <w:b/>
          <w:sz w:val="22"/>
        </w:rPr>
      </w:pPr>
    </w:p>
    <w:p w14:paraId="0244AAD5" w14:textId="77777777" w:rsidR="00625111" w:rsidRDefault="009413DB">
      <w:pPr>
        <w:spacing w:before="123" w:line="244" w:lineRule="auto"/>
        <w:ind w:left="105" w:right="103"/>
        <w:jc w:val="center"/>
        <w:rPr>
          <w:sz w:val="18"/>
        </w:rPr>
      </w:pPr>
      <w:r>
        <w:rPr>
          <w:sz w:val="18"/>
        </w:rPr>
        <w:t xml:space="preserve">Ο εκδότης της Συλλογής Νομοθεσίας της Σλοβακικής Δημοκρατίας και ο φορέας εκμετάλλευσης της νομικής και ενημερωτικής δικτυακής πύλης Slov-Lex, η οποία είναι διαθέσιμη στη διεύθυνση </w:t>
      </w:r>
      <w:hyperlink r:id="rId6">
        <w:r>
          <w:rPr>
            <w:sz w:val="18"/>
          </w:rPr>
          <w:t xml:space="preserve">www.slov-lex.sk </w:t>
        </w:r>
      </w:hyperlink>
      <w:r>
        <w:rPr>
          <w:sz w:val="18"/>
        </w:rPr>
        <w:t>είναι</w:t>
      </w:r>
    </w:p>
    <w:p w14:paraId="1F5A5039" w14:textId="77777777" w:rsidR="00625111" w:rsidRDefault="009413DB">
      <w:pPr>
        <w:spacing w:before="1"/>
        <w:ind w:left="103" w:right="103"/>
        <w:jc w:val="center"/>
        <w:rPr>
          <w:sz w:val="18"/>
        </w:rPr>
      </w:pPr>
      <w:r>
        <w:rPr>
          <w:sz w:val="18"/>
        </w:rPr>
        <w:t>το Υπουργε</w:t>
      </w:r>
      <w:r>
        <w:rPr>
          <w:sz w:val="18"/>
        </w:rPr>
        <w:t>ίο Δικαιοσύνης της Σλοβακικής Δημοκρατίας, Račianska 71, 813 11 Μπρατισλάβα,</w:t>
      </w:r>
    </w:p>
    <w:p w14:paraId="66C45FF1" w14:textId="77777777" w:rsidR="00625111" w:rsidRDefault="009413DB">
      <w:pPr>
        <w:spacing w:before="4"/>
        <w:ind w:left="105" w:right="105"/>
        <w:jc w:val="center"/>
        <w:rPr>
          <w:sz w:val="18"/>
        </w:rPr>
      </w:pPr>
      <w:r>
        <w:rPr>
          <w:sz w:val="18"/>
        </w:rPr>
        <w:t>τηλέφωνο: +421 2 888 91 864, +421 2 888 91 865, ηλ. ταχυδρομείο:</w:t>
      </w:r>
      <w:hyperlink r:id="rId7">
        <w:r>
          <w:rPr>
            <w:sz w:val="18"/>
          </w:rPr>
          <w:t xml:space="preserve"> helpdesk@slov-lex.sk.</w:t>
        </w:r>
      </w:hyperlink>
    </w:p>
    <w:sectPr w:rsidR="00625111">
      <w:pgSz w:w="11910" w:h="16840"/>
      <w:pgMar w:top="7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A1046"/>
    <w:multiLevelType w:val="hybridMultilevel"/>
    <w:tmpl w:val="12687E10"/>
    <w:lvl w:ilvl="0" w:tplc="B22AA910">
      <w:start w:val="1"/>
      <w:numFmt w:val="decimal"/>
      <w:lvlText w:val="%1."/>
      <w:lvlJc w:val="left"/>
      <w:pPr>
        <w:ind w:left="388" w:hanging="284"/>
        <w:jc w:val="left"/>
      </w:pPr>
      <w:rPr>
        <w:rFonts w:ascii="Bookman Old Style" w:eastAsia="Bookman Old Style" w:hAnsi="Bookman Old Style" w:cs="Bookman Old Style" w:hint="default"/>
        <w:w w:val="100"/>
        <w:sz w:val="20"/>
        <w:szCs w:val="20"/>
        <w:lang w:val="sk-SK" w:eastAsia="sk-SK" w:bidi="sk-SK"/>
      </w:rPr>
    </w:lvl>
    <w:lvl w:ilvl="1" w:tplc="5628B06E">
      <w:numFmt w:val="bullet"/>
      <w:lvlText w:val="•"/>
      <w:lvlJc w:val="left"/>
      <w:pPr>
        <w:ind w:left="380" w:hanging="284"/>
      </w:pPr>
      <w:rPr>
        <w:rFonts w:hint="default"/>
        <w:lang w:val="sk-SK" w:eastAsia="sk-SK" w:bidi="sk-SK"/>
      </w:rPr>
    </w:lvl>
    <w:lvl w:ilvl="2" w:tplc="0C86DE02">
      <w:numFmt w:val="bullet"/>
      <w:lvlText w:val="•"/>
      <w:lvlJc w:val="left"/>
      <w:pPr>
        <w:ind w:left="1438" w:hanging="284"/>
      </w:pPr>
      <w:rPr>
        <w:rFonts w:hint="default"/>
        <w:lang w:val="sk-SK" w:eastAsia="sk-SK" w:bidi="sk-SK"/>
      </w:rPr>
    </w:lvl>
    <w:lvl w:ilvl="3" w:tplc="9A8A18E6">
      <w:numFmt w:val="bullet"/>
      <w:lvlText w:val="•"/>
      <w:lvlJc w:val="left"/>
      <w:pPr>
        <w:ind w:left="2496" w:hanging="284"/>
      </w:pPr>
      <w:rPr>
        <w:rFonts w:hint="default"/>
        <w:lang w:val="sk-SK" w:eastAsia="sk-SK" w:bidi="sk-SK"/>
      </w:rPr>
    </w:lvl>
    <w:lvl w:ilvl="4" w:tplc="78F6E5CE">
      <w:numFmt w:val="bullet"/>
      <w:lvlText w:val="•"/>
      <w:lvlJc w:val="left"/>
      <w:pPr>
        <w:ind w:left="3554" w:hanging="284"/>
      </w:pPr>
      <w:rPr>
        <w:rFonts w:hint="default"/>
        <w:lang w:val="sk-SK" w:eastAsia="sk-SK" w:bidi="sk-SK"/>
      </w:rPr>
    </w:lvl>
    <w:lvl w:ilvl="5" w:tplc="B852BA4A">
      <w:numFmt w:val="bullet"/>
      <w:lvlText w:val="•"/>
      <w:lvlJc w:val="left"/>
      <w:pPr>
        <w:ind w:left="4613" w:hanging="284"/>
      </w:pPr>
      <w:rPr>
        <w:rFonts w:hint="default"/>
        <w:lang w:val="sk-SK" w:eastAsia="sk-SK" w:bidi="sk-SK"/>
      </w:rPr>
    </w:lvl>
    <w:lvl w:ilvl="6" w:tplc="29ECC6C6">
      <w:numFmt w:val="bullet"/>
      <w:lvlText w:val="•"/>
      <w:lvlJc w:val="left"/>
      <w:pPr>
        <w:ind w:left="5671" w:hanging="284"/>
      </w:pPr>
      <w:rPr>
        <w:rFonts w:hint="default"/>
        <w:lang w:val="sk-SK" w:eastAsia="sk-SK" w:bidi="sk-SK"/>
      </w:rPr>
    </w:lvl>
    <w:lvl w:ilvl="7" w:tplc="5552A0F4">
      <w:numFmt w:val="bullet"/>
      <w:lvlText w:val="•"/>
      <w:lvlJc w:val="left"/>
      <w:pPr>
        <w:ind w:left="6729" w:hanging="284"/>
      </w:pPr>
      <w:rPr>
        <w:rFonts w:hint="default"/>
        <w:lang w:val="sk-SK" w:eastAsia="sk-SK" w:bidi="sk-SK"/>
      </w:rPr>
    </w:lvl>
    <w:lvl w:ilvl="8" w:tplc="4D96DA82">
      <w:numFmt w:val="bullet"/>
      <w:lvlText w:val="•"/>
      <w:lvlJc w:val="left"/>
      <w:pPr>
        <w:ind w:left="7788" w:hanging="284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11"/>
    <w:rsid w:val="00625111"/>
    <w:rsid w:val="009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B577"/>
  <w15:docId w15:val="{851951B8-DE0A-43A2-A1EE-AF868FFB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5"/>
      <w:ind w:left="388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desk@slov-lex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-lex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2077</Characters>
  <Application>Microsoft Office Word</Application>
  <DocSecurity>0</DocSecurity>
  <Lines>109</Lines>
  <Paragraphs>28</Paragraphs>
  <ScaleCrop>false</ScaleCrop>
  <Company>Transperfect Translations, Inc.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spravodlivosti SR</dc:creator>
  <cp:keywords>PDF/A;class='Internal'</cp:keywords>
  <cp:lastModifiedBy>Ragnhild Efraimsson</cp:lastModifiedBy>
  <cp:revision>2</cp:revision>
  <dcterms:created xsi:type="dcterms:W3CDTF">2024-08-14T13:28:00Z</dcterms:created>
  <dcterms:modified xsi:type="dcterms:W3CDTF">2024-08-14T13:28:00Z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2024-07-12T00:00:00Z</vt:filetime>
  </property>
</Properties>
</file>