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077" w14:textId="77777777" w:rsidR="00917870" w:rsidRDefault="005A3ED6">
      <w:pPr>
        <w:spacing w:before="6"/>
        <w:ind w:left="105" w:right="225"/>
        <w:jc w:val="center"/>
        <w:rPr>
          <w:sz w:val="46"/>
        </w:rPr>
      </w:pPr>
      <w:r>
        <w:rPr>
          <w:sz w:val="46"/>
        </w:rPr>
        <w:t xml:space="preserve">SLOVAKIJOS </w:t>
      </w:r>
      <w:r>
        <w:rPr>
          <w:noProof/>
        </w:rPr>
        <w:drawing>
          <wp:inline distT="0" distB="0" distL="0" distR="0" wp14:anchorId="7EF047EB" wp14:editId="63040E1C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6"/>
        </w:rPr>
        <w:t xml:space="preserve"> </w:t>
      </w:r>
      <w:r>
        <w:rPr>
          <w:sz w:val="46"/>
        </w:rPr>
        <w:t>RESPUBLIKOS</w:t>
      </w:r>
    </w:p>
    <w:p w14:paraId="3311F4CE" w14:textId="77777777" w:rsidR="00917870" w:rsidRDefault="005A3ED6">
      <w:pPr>
        <w:spacing w:before="66"/>
        <w:ind w:left="105" w:right="105"/>
        <w:jc w:val="center"/>
        <w:rPr>
          <w:sz w:val="34"/>
        </w:rPr>
      </w:pPr>
      <w:r>
        <w:rPr>
          <w:sz w:val="34"/>
        </w:rPr>
        <w:t>ĮSTATYMŲ RINKINYS</w:t>
      </w:r>
    </w:p>
    <w:p w14:paraId="52E958ED" w14:textId="798DAB22" w:rsidR="00917870" w:rsidRDefault="005A3ED6">
      <w:pPr>
        <w:spacing w:before="216"/>
        <w:ind w:left="105" w:right="105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9E3F3C" wp14:editId="1A6A42B4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72E7" id="Freeform 4" o:spid="_x0000_s1026" style="position:absolute;margin-left:55.25pt;margin-top:33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2024 tomas</w:t>
      </w:r>
    </w:p>
    <w:p w14:paraId="5D0570FC" w14:textId="77777777" w:rsidR="00917870" w:rsidRDefault="005A3ED6">
      <w:pPr>
        <w:tabs>
          <w:tab w:val="left" w:pos="3680"/>
        </w:tabs>
        <w:spacing w:before="38" w:line="403" w:lineRule="auto"/>
        <w:ind w:left="105" w:right="103"/>
        <w:jc w:val="center"/>
      </w:pPr>
      <w:r>
        <w:t>Paskelbta: 24. 5. 2024</w:t>
      </w:r>
      <w:r>
        <w:tab/>
        <w:t>Paskelbta Slovakijos Respublikos įstatymų rinkinio versija. Šio dokumento turinys yra teisiškai privalomas.</w:t>
      </w:r>
    </w:p>
    <w:p w14:paraId="34CC5B2C" w14:textId="77777777" w:rsidR="00917870" w:rsidRDefault="005A3ED6">
      <w:pPr>
        <w:pStyle w:val="BodyText"/>
        <w:spacing w:before="171"/>
        <w:ind w:left="105" w:right="105"/>
        <w:jc w:val="center"/>
        <w:rPr>
          <w:b/>
        </w:rPr>
      </w:pPr>
      <w:r>
        <w:rPr>
          <w:b/>
        </w:rPr>
        <w:t>114</w:t>
      </w:r>
    </w:p>
    <w:p w14:paraId="1ED288D8" w14:textId="77777777" w:rsidR="00917870" w:rsidRDefault="005A3ED6">
      <w:pPr>
        <w:pStyle w:val="BodyText"/>
        <w:spacing w:before="129"/>
        <w:ind w:left="105" w:right="15"/>
        <w:jc w:val="center"/>
        <w:rPr>
          <w:b/>
        </w:rPr>
      </w:pPr>
      <w:r>
        <w:rPr>
          <w:b/>
        </w:rPr>
        <w:t>ĮGYVENDINIMO DEKRETAS</w:t>
      </w:r>
    </w:p>
    <w:p w14:paraId="0DD8827D" w14:textId="77777777" w:rsidR="00917870" w:rsidRDefault="005A3ED6">
      <w:pPr>
        <w:pStyle w:val="BodyText"/>
        <w:spacing w:before="62"/>
        <w:ind w:left="105" w:right="105"/>
        <w:jc w:val="center"/>
        <w:rPr>
          <w:b/>
        </w:rPr>
      </w:pPr>
      <w:r>
        <w:rPr>
          <w:b/>
        </w:rPr>
        <w:t>Slovakijos Respublikos finansų ministerija</w:t>
      </w:r>
    </w:p>
    <w:p w14:paraId="4612BBD8" w14:textId="77777777" w:rsidR="00917870" w:rsidRDefault="005A3ED6">
      <w:pPr>
        <w:pStyle w:val="BodyText"/>
        <w:spacing w:before="88"/>
        <w:ind w:left="105" w:right="105"/>
        <w:jc w:val="center"/>
      </w:pPr>
      <w:r>
        <w:t>2024 m. gegužės 20 d.</w:t>
      </w:r>
    </w:p>
    <w:p w14:paraId="57BD1D6B" w14:textId="77777777" w:rsidR="00917870" w:rsidRDefault="005A3ED6">
      <w:pPr>
        <w:pStyle w:val="BodyText"/>
        <w:spacing w:before="93" w:line="244" w:lineRule="auto"/>
        <w:ind w:left="1409" w:right="1407"/>
        <w:jc w:val="center"/>
        <w:rPr>
          <w:b/>
        </w:rPr>
      </w:pPr>
      <w:r>
        <w:rPr>
          <w:b/>
        </w:rPr>
        <w:t>Iš dalies keičiantis Slovakijos Respublikos finansų ministerijos dekretą Nr. 252/2014, kuriuo nustatomi akcizo banderolių, skirtų vartotojams pateikiamoms spiritinių gėrimų pakuotėms ženklint</w:t>
      </w:r>
      <w:r>
        <w:rPr>
          <w:b/>
        </w:rPr>
        <w:t>i, išsamūs duomenys, vykdymas ir kaina</w:t>
      </w:r>
    </w:p>
    <w:p w14:paraId="0D1E6472" w14:textId="77777777" w:rsidR="00917870" w:rsidRDefault="00917870">
      <w:pPr>
        <w:pStyle w:val="BodyText"/>
        <w:spacing w:before="1" w:line="244" w:lineRule="auto"/>
        <w:ind w:left="1409" w:right="1407"/>
        <w:jc w:val="center"/>
        <w:rPr>
          <w:b/>
        </w:rPr>
      </w:pPr>
    </w:p>
    <w:p w14:paraId="62002355" w14:textId="77777777" w:rsidR="00917870" w:rsidRDefault="00917870">
      <w:pPr>
        <w:pStyle w:val="BodyText"/>
        <w:rPr>
          <w:b/>
          <w:sz w:val="28"/>
        </w:rPr>
      </w:pPr>
    </w:p>
    <w:p w14:paraId="3A585D61" w14:textId="77777777" w:rsidR="00917870" w:rsidRDefault="00917870">
      <w:pPr>
        <w:pStyle w:val="BodyText"/>
        <w:spacing w:before="6"/>
        <w:rPr>
          <w:b/>
          <w:sz w:val="31"/>
        </w:rPr>
      </w:pPr>
    </w:p>
    <w:p w14:paraId="6B03227C" w14:textId="77777777" w:rsidR="00917870" w:rsidRDefault="005A3ED6">
      <w:pPr>
        <w:pStyle w:val="BodyText"/>
        <w:ind w:left="332"/>
        <w:jc w:val="both"/>
      </w:pPr>
      <w:r>
        <w:t>Pagal Akto Nr. 530/2011 dėl akcizų už alkoholinius gėrimus su pakeitimais, padarytais Įstatymu Nr. 362/2013, 51 skyriaus 10 dalį Slovakijos Respublikos finansų ministerija nustato:</w:t>
      </w:r>
    </w:p>
    <w:p w14:paraId="724EDD7D" w14:textId="77777777" w:rsidR="00917870" w:rsidRDefault="00917870">
      <w:pPr>
        <w:pStyle w:val="BodyText"/>
        <w:spacing w:before="5"/>
        <w:ind w:left="105"/>
        <w:jc w:val="both"/>
      </w:pPr>
    </w:p>
    <w:p w14:paraId="5693FAB9" w14:textId="77777777" w:rsidR="00917870" w:rsidRDefault="005A3ED6">
      <w:pPr>
        <w:pStyle w:val="BodyText"/>
        <w:spacing w:before="208"/>
        <w:ind w:left="105" w:right="105"/>
        <w:jc w:val="center"/>
        <w:rPr>
          <w:b/>
        </w:rPr>
      </w:pPr>
      <w:r>
        <w:rPr>
          <w:b/>
        </w:rPr>
        <w:t>I straipsnis</w:t>
      </w:r>
    </w:p>
    <w:p w14:paraId="06065DDB" w14:textId="77777777" w:rsidR="00917870" w:rsidRDefault="005A3ED6">
      <w:pPr>
        <w:pStyle w:val="BodyText"/>
        <w:spacing w:before="218" w:line="276" w:lineRule="auto"/>
        <w:ind w:left="105" w:right="103" w:firstLine="226"/>
        <w:jc w:val="both"/>
      </w:pPr>
      <w:r>
        <w:t>Slovakijos Respublikos finansų ministerijos dekretas Nr. 252/</w:t>
      </w:r>
      <w:r>
        <w:t>2014, kuriuo nustatomi akcizo banderolių, skirtų vartotojams pateikiamoms spiritinių gėrimų pakuotėms ženklinti, išsamūs duomenys, vykdymas ir kaina, iš dalies keičiamas taip:</w:t>
      </w:r>
    </w:p>
    <w:p w14:paraId="3D4B5B72" w14:textId="77777777" w:rsidR="00917870" w:rsidRDefault="005A3ED6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1 skyriaus 2 dalis išdėstoma taip:</w:t>
      </w:r>
    </w:p>
    <w:p w14:paraId="0F0009CC" w14:textId="77777777" w:rsidR="00917870" w:rsidRDefault="005A3ED6">
      <w:pPr>
        <w:pStyle w:val="BodyText"/>
        <w:spacing w:before="220" w:line="276" w:lineRule="auto"/>
        <w:ind w:left="388" w:right="103" w:firstLine="226"/>
        <w:jc w:val="both"/>
      </w:pPr>
      <w:r>
        <w:t>„2. Akcizo banderolė yra skirta vartotojams p</w:t>
      </w:r>
      <w:r>
        <w:t>ateikiamoms spiritinių gėrimų</w:t>
      </w:r>
      <w:r>
        <w:rPr>
          <w:sz w:val="10"/>
        </w:rPr>
        <w:t>1</w:t>
      </w:r>
      <w:r>
        <w:t xml:space="preserve"> pakuotėms ženklinti. Jos matmenys milimetrais yra 16 x 55, 16 x 90, 16 x 150 arba 16 x 210.“</w:t>
      </w:r>
    </w:p>
    <w:p w14:paraId="0F84815F" w14:textId="77777777" w:rsidR="00917870" w:rsidRDefault="005A3ED6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2 išnaša išdėstoma taip:</w:t>
      </w:r>
    </w:p>
    <w:p w14:paraId="6963DE12" w14:textId="77777777" w:rsidR="00917870" w:rsidRDefault="005A3ED6">
      <w:pPr>
        <w:spacing w:before="104" w:line="244" w:lineRule="auto"/>
        <w:ind w:left="388" w:right="103"/>
        <w:jc w:val="both"/>
        <w:rPr>
          <w:sz w:val="18"/>
        </w:rPr>
      </w:pPr>
      <w:r>
        <w:rPr>
          <w:sz w:val="18"/>
        </w:rPr>
        <w:t>„</w:t>
      </w:r>
      <w:r>
        <w:rPr>
          <w:sz w:val="10"/>
        </w:rPr>
        <w:t>2</w:t>
      </w:r>
      <w:r>
        <w:rPr>
          <w:sz w:val="18"/>
        </w:rPr>
        <w:t>) 2015 m. rugsėjo 9 d. Europos Parlamento ir Tarybos direktyva (ES) 2015/1535, kuria nustatoma informacij</w:t>
      </w:r>
      <w:r>
        <w:rPr>
          <w:sz w:val="18"/>
        </w:rPr>
        <w:t xml:space="preserve">os apie techninius reglamentus ir informacinės visuomenės paslaugų taisykles teikimo tvarka (kodifikavimas) (OL L 241, 2015 9 17).“.  </w:t>
      </w:r>
    </w:p>
    <w:p w14:paraId="374B3A19" w14:textId="77777777" w:rsidR="00917870" w:rsidRDefault="005A3ED6">
      <w:pPr>
        <w:pStyle w:val="BodyText"/>
        <w:spacing w:before="205"/>
        <w:ind w:left="105" w:right="105"/>
        <w:jc w:val="center"/>
        <w:rPr>
          <w:b/>
        </w:rPr>
      </w:pPr>
      <w:r>
        <w:rPr>
          <w:b/>
        </w:rPr>
        <w:t>II straipsnis</w:t>
      </w:r>
    </w:p>
    <w:p w14:paraId="5C009797" w14:textId="77777777" w:rsidR="00917870" w:rsidRDefault="005A3ED6">
      <w:pPr>
        <w:pStyle w:val="BodyText"/>
        <w:spacing w:before="218"/>
        <w:ind w:left="332"/>
        <w:jc w:val="both"/>
      </w:pPr>
      <w:r>
        <w:t>Šis dekretas įsigalioja 2024 m. birželio 1 d.</w:t>
      </w:r>
    </w:p>
    <w:p w14:paraId="1DC452C6" w14:textId="77777777" w:rsidR="00917870" w:rsidRDefault="00917870">
      <w:pPr>
        <w:pStyle w:val="BodyText"/>
        <w:rPr>
          <w:sz w:val="26"/>
        </w:rPr>
      </w:pPr>
    </w:p>
    <w:p w14:paraId="0FA84462" w14:textId="77777777" w:rsidR="00917870" w:rsidRDefault="00917870">
      <w:pPr>
        <w:pStyle w:val="BodyText"/>
        <w:spacing w:before="3"/>
        <w:rPr>
          <w:sz w:val="24"/>
        </w:rPr>
      </w:pPr>
    </w:p>
    <w:p w14:paraId="45541DE5" w14:textId="77777777" w:rsidR="00917870" w:rsidRDefault="005A3ED6">
      <w:pPr>
        <w:pStyle w:val="BodyText"/>
        <w:ind w:left="105" w:right="169"/>
        <w:jc w:val="center"/>
        <w:rPr>
          <w:b/>
        </w:rPr>
      </w:pPr>
      <w:r>
        <w:rPr>
          <w:b/>
        </w:rPr>
        <w:t>Ladislav Kamenický m. p.</w:t>
      </w:r>
    </w:p>
    <w:p w14:paraId="470BC02B" w14:textId="77777777" w:rsidR="00917870" w:rsidRDefault="00917870">
      <w:pPr>
        <w:jc w:val="center"/>
        <w:sectPr w:rsidR="00917870"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28D813A1" w14:textId="27909708" w:rsidR="00917870" w:rsidRDefault="005A3ED6">
      <w:pPr>
        <w:pStyle w:val="BodyText"/>
        <w:tabs>
          <w:tab w:val="left" w:pos="3075"/>
          <w:tab w:val="left" w:pos="8244"/>
        </w:tabs>
        <w:spacing w:before="117"/>
        <w:ind w:left="10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AECAC54" wp14:editId="5B7EB91E">
                <wp:simplePos x="0" y="0"/>
                <wp:positionH relativeFrom="page">
                  <wp:posOffset>701675</wp:posOffset>
                </wp:positionH>
                <wp:positionV relativeFrom="paragraph">
                  <wp:posOffset>275590</wp:posOffset>
                </wp:positionV>
                <wp:extent cx="6155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B44C" id="Freeform 3" o:spid="_x0000_s1026" style="position:absolute;margin-left:55.25pt;margin-top:21.7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p. 2</w:t>
      </w:r>
      <w:r>
        <w:tab/>
      </w:r>
      <w:r>
        <w:t>Slovakijos Respublikos įstatymų rinkinys</w:t>
      </w:r>
      <w:r>
        <w:tab/>
      </w:r>
      <w:r>
        <w:rPr>
          <w:b/>
        </w:rPr>
        <w:t>114/2024</w:t>
      </w:r>
    </w:p>
    <w:p w14:paraId="0475D172" w14:textId="77777777" w:rsidR="00917870" w:rsidRDefault="00917870">
      <w:pPr>
        <w:pStyle w:val="BodyText"/>
        <w:rPr>
          <w:b/>
        </w:rPr>
      </w:pPr>
    </w:p>
    <w:p w14:paraId="36F0C09B" w14:textId="77777777" w:rsidR="00917870" w:rsidRDefault="00917870">
      <w:pPr>
        <w:pStyle w:val="BodyText"/>
        <w:rPr>
          <w:b/>
        </w:rPr>
      </w:pPr>
    </w:p>
    <w:p w14:paraId="4D19CB02" w14:textId="77777777" w:rsidR="00917870" w:rsidRDefault="00917870">
      <w:pPr>
        <w:pStyle w:val="BodyText"/>
        <w:rPr>
          <w:b/>
        </w:rPr>
      </w:pPr>
    </w:p>
    <w:p w14:paraId="718DD740" w14:textId="77777777" w:rsidR="00917870" w:rsidRDefault="00917870">
      <w:pPr>
        <w:pStyle w:val="BodyText"/>
        <w:rPr>
          <w:b/>
        </w:rPr>
      </w:pPr>
    </w:p>
    <w:p w14:paraId="6987B60C" w14:textId="77777777" w:rsidR="00917870" w:rsidRDefault="00917870">
      <w:pPr>
        <w:pStyle w:val="BodyText"/>
        <w:rPr>
          <w:b/>
        </w:rPr>
      </w:pPr>
    </w:p>
    <w:p w14:paraId="165FD7AF" w14:textId="77777777" w:rsidR="00917870" w:rsidRDefault="00917870">
      <w:pPr>
        <w:pStyle w:val="BodyText"/>
        <w:rPr>
          <w:b/>
        </w:rPr>
      </w:pPr>
    </w:p>
    <w:p w14:paraId="75E20892" w14:textId="77777777" w:rsidR="00917870" w:rsidRDefault="00917870">
      <w:pPr>
        <w:pStyle w:val="BodyText"/>
        <w:rPr>
          <w:b/>
        </w:rPr>
      </w:pPr>
    </w:p>
    <w:p w14:paraId="7B6FCB7C" w14:textId="77777777" w:rsidR="00917870" w:rsidRDefault="00917870">
      <w:pPr>
        <w:pStyle w:val="BodyText"/>
        <w:rPr>
          <w:b/>
        </w:rPr>
      </w:pPr>
    </w:p>
    <w:p w14:paraId="0ADE5D65" w14:textId="77777777" w:rsidR="00917870" w:rsidRDefault="00917870">
      <w:pPr>
        <w:pStyle w:val="BodyText"/>
        <w:rPr>
          <w:b/>
        </w:rPr>
      </w:pPr>
    </w:p>
    <w:p w14:paraId="0FB19D39" w14:textId="77777777" w:rsidR="00917870" w:rsidRDefault="00917870">
      <w:pPr>
        <w:pStyle w:val="BodyText"/>
        <w:rPr>
          <w:b/>
        </w:rPr>
      </w:pPr>
    </w:p>
    <w:p w14:paraId="2BE949A8" w14:textId="77777777" w:rsidR="00917870" w:rsidRDefault="00917870">
      <w:pPr>
        <w:pStyle w:val="BodyText"/>
        <w:rPr>
          <w:b/>
        </w:rPr>
      </w:pPr>
    </w:p>
    <w:p w14:paraId="2FBB837B" w14:textId="77777777" w:rsidR="00917870" w:rsidRDefault="00917870">
      <w:pPr>
        <w:pStyle w:val="BodyText"/>
        <w:rPr>
          <w:b/>
        </w:rPr>
      </w:pPr>
    </w:p>
    <w:p w14:paraId="47AFCA2B" w14:textId="77777777" w:rsidR="00917870" w:rsidRDefault="00917870">
      <w:pPr>
        <w:pStyle w:val="BodyText"/>
        <w:rPr>
          <w:b/>
        </w:rPr>
      </w:pPr>
    </w:p>
    <w:p w14:paraId="3DEBAE36" w14:textId="77777777" w:rsidR="00917870" w:rsidRDefault="00917870">
      <w:pPr>
        <w:pStyle w:val="BodyText"/>
        <w:rPr>
          <w:b/>
        </w:rPr>
      </w:pPr>
    </w:p>
    <w:p w14:paraId="15871840" w14:textId="77777777" w:rsidR="00917870" w:rsidRDefault="00917870">
      <w:pPr>
        <w:pStyle w:val="BodyText"/>
        <w:rPr>
          <w:b/>
        </w:rPr>
      </w:pPr>
    </w:p>
    <w:p w14:paraId="7AB9FF6D" w14:textId="77777777" w:rsidR="00917870" w:rsidRDefault="00917870">
      <w:pPr>
        <w:pStyle w:val="BodyText"/>
        <w:rPr>
          <w:b/>
        </w:rPr>
      </w:pPr>
    </w:p>
    <w:p w14:paraId="4C88F0EF" w14:textId="77777777" w:rsidR="00917870" w:rsidRDefault="00917870">
      <w:pPr>
        <w:pStyle w:val="BodyText"/>
        <w:rPr>
          <w:b/>
        </w:rPr>
      </w:pPr>
    </w:p>
    <w:p w14:paraId="3C8FCFE0" w14:textId="77777777" w:rsidR="00917870" w:rsidRDefault="00917870">
      <w:pPr>
        <w:pStyle w:val="BodyText"/>
        <w:rPr>
          <w:b/>
        </w:rPr>
      </w:pPr>
    </w:p>
    <w:p w14:paraId="7426900D" w14:textId="77777777" w:rsidR="00917870" w:rsidRDefault="00917870">
      <w:pPr>
        <w:pStyle w:val="BodyText"/>
        <w:rPr>
          <w:b/>
        </w:rPr>
      </w:pPr>
    </w:p>
    <w:p w14:paraId="06712E19" w14:textId="77777777" w:rsidR="00917870" w:rsidRDefault="00917870">
      <w:pPr>
        <w:pStyle w:val="BodyText"/>
        <w:rPr>
          <w:b/>
        </w:rPr>
      </w:pPr>
    </w:p>
    <w:p w14:paraId="3F0233CC" w14:textId="77777777" w:rsidR="00917870" w:rsidRDefault="00917870">
      <w:pPr>
        <w:pStyle w:val="BodyText"/>
        <w:rPr>
          <w:b/>
        </w:rPr>
      </w:pPr>
    </w:p>
    <w:p w14:paraId="5289F439" w14:textId="77777777" w:rsidR="00917870" w:rsidRDefault="00917870">
      <w:pPr>
        <w:pStyle w:val="BodyText"/>
        <w:rPr>
          <w:b/>
        </w:rPr>
      </w:pPr>
    </w:p>
    <w:p w14:paraId="116B03C1" w14:textId="77777777" w:rsidR="00917870" w:rsidRDefault="00917870">
      <w:pPr>
        <w:pStyle w:val="BodyText"/>
        <w:rPr>
          <w:b/>
        </w:rPr>
      </w:pPr>
    </w:p>
    <w:p w14:paraId="517BBCCF" w14:textId="77777777" w:rsidR="00917870" w:rsidRDefault="00917870">
      <w:pPr>
        <w:pStyle w:val="BodyText"/>
        <w:rPr>
          <w:b/>
        </w:rPr>
      </w:pPr>
    </w:p>
    <w:p w14:paraId="130725CC" w14:textId="77777777" w:rsidR="00917870" w:rsidRDefault="00917870">
      <w:pPr>
        <w:pStyle w:val="BodyText"/>
        <w:rPr>
          <w:b/>
        </w:rPr>
      </w:pPr>
    </w:p>
    <w:p w14:paraId="1441B95C" w14:textId="77777777" w:rsidR="00917870" w:rsidRDefault="00917870">
      <w:pPr>
        <w:pStyle w:val="BodyText"/>
        <w:rPr>
          <w:b/>
        </w:rPr>
      </w:pPr>
    </w:p>
    <w:p w14:paraId="3870C561" w14:textId="77777777" w:rsidR="00917870" w:rsidRDefault="00917870">
      <w:pPr>
        <w:pStyle w:val="BodyText"/>
        <w:rPr>
          <w:b/>
        </w:rPr>
      </w:pPr>
    </w:p>
    <w:p w14:paraId="5950F49A" w14:textId="77777777" w:rsidR="00917870" w:rsidRDefault="00917870">
      <w:pPr>
        <w:pStyle w:val="BodyText"/>
        <w:rPr>
          <w:b/>
        </w:rPr>
      </w:pPr>
    </w:p>
    <w:p w14:paraId="11C49409" w14:textId="77777777" w:rsidR="00917870" w:rsidRDefault="00917870">
      <w:pPr>
        <w:pStyle w:val="BodyText"/>
        <w:rPr>
          <w:b/>
        </w:rPr>
      </w:pPr>
    </w:p>
    <w:p w14:paraId="3D6FD9D0" w14:textId="77777777" w:rsidR="00917870" w:rsidRDefault="00917870">
      <w:pPr>
        <w:pStyle w:val="BodyText"/>
        <w:rPr>
          <w:b/>
        </w:rPr>
      </w:pPr>
    </w:p>
    <w:p w14:paraId="0703D16A" w14:textId="77777777" w:rsidR="00917870" w:rsidRDefault="00917870">
      <w:pPr>
        <w:pStyle w:val="BodyText"/>
        <w:rPr>
          <w:b/>
        </w:rPr>
      </w:pPr>
    </w:p>
    <w:p w14:paraId="3885829C" w14:textId="77777777" w:rsidR="00917870" w:rsidRDefault="00917870">
      <w:pPr>
        <w:pStyle w:val="BodyText"/>
        <w:rPr>
          <w:b/>
        </w:rPr>
      </w:pPr>
    </w:p>
    <w:p w14:paraId="74F06FDD" w14:textId="77777777" w:rsidR="00917870" w:rsidRDefault="00917870">
      <w:pPr>
        <w:pStyle w:val="BodyText"/>
        <w:rPr>
          <w:b/>
        </w:rPr>
      </w:pPr>
    </w:p>
    <w:p w14:paraId="47005F48" w14:textId="77777777" w:rsidR="00917870" w:rsidRDefault="00917870">
      <w:pPr>
        <w:pStyle w:val="BodyText"/>
        <w:rPr>
          <w:b/>
        </w:rPr>
      </w:pPr>
    </w:p>
    <w:p w14:paraId="74541981" w14:textId="77777777" w:rsidR="00917870" w:rsidRDefault="00917870">
      <w:pPr>
        <w:pStyle w:val="BodyText"/>
        <w:rPr>
          <w:b/>
        </w:rPr>
      </w:pPr>
    </w:p>
    <w:p w14:paraId="59636D96" w14:textId="77777777" w:rsidR="00917870" w:rsidRDefault="00917870">
      <w:pPr>
        <w:pStyle w:val="BodyText"/>
        <w:rPr>
          <w:b/>
        </w:rPr>
      </w:pPr>
    </w:p>
    <w:p w14:paraId="566FF9EB" w14:textId="77777777" w:rsidR="00917870" w:rsidRDefault="00917870">
      <w:pPr>
        <w:pStyle w:val="BodyText"/>
        <w:rPr>
          <w:b/>
        </w:rPr>
      </w:pPr>
    </w:p>
    <w:p w14:paraId="20D391D4" w14:textId="77777777" w:rsidR="00917870" w:rsidRDefault="00917870">
      <w:pPr>
        <w:pStyle w:val="BodyText"/>
        <w:rPr>
          <w:b/>
        </w:rPr>
      </w:pPr>
    </w:p>
    <w:p w14:paraId="6F8E233E" w14:textId="77777777" w:rsidR="00917870" w:rsidRDefault="00917870">
      <w:pPr>
        <w:pStyle w:val="BodyText"/>
        <w:rPr>
          <w:b/>
        </w:rPr>
      </w:pPr>
    </w:p>
    <w:p w14:paraId="3AEAE853" w14:textId="77777777" w:rsidR="00917870" w:rsidRDefault="00917870">
      <w:pPr>
        <w:pStyle w:val="BodyText"/>
        <w:rPr>
          <w:b/>
        </w:rPr>
      </w:pPr>
    </w:p>
    <w:p w14:paraId="60DF9A15" w14:textId="77777777" w:rsidR="00917870" w:rsidRDefault="00917870">
      <w:pPr>
        <w:pStyle w:val="BodyText"/>
        <w:rPr>
          <w:b/>
        </w:rPr>
      </w:pPr>
    </w:p>
    <w:p w14:paraId="7D2700FA" w14:textId="77777777" w:rsidR="00917870" w:rsidRDefault="00917870">
      <w:pPr>
        <w:pStyle w:val="BodyText"/>
        <w:rPr>
          <w:b/>
        </w:rPr>
      </w:pPr>
    </w:p>
    <w:p w14:paraId="5C5D5F7E" w14:textId="77777777" w:rsidR="00917870" w:rsidRDefault="00917870">
      <w:pPr>
        <w:pStyle w:val="BodyText"/>
        <w:rPr>
          <w:b/>
        </w:rPr>
      </w:pPr>
    </w:p>
    <w:p w14:paraId="05255B8A" w14:textId="77777777" w:rsidR="00917870" w:rsidRDefault="00917870">
      <w:pPr>
        <w:pStyle w:val="BodyText"/>
        <w:rPr>
          <w:b/>
        </w:rPr>
      </w:pPr>
    </w:p>
    <w:p w14:paraId="05356CCB" w14:textId="77777777" w:rsidR="00917870" w:rsidRDefault="00917870">
      <w:pPr>
        <w:pStyle w:val="BodyText"/>
        <w:rPr>
          <w:b/>
        </w:rPr>
      </w:pPr>
    </w:p>
    <w:p w14:paraId="6D9B48F0" w14:textId="77777777" w:rsidR="00917870" w:rsidRDefault="00917870">
      <w:pPr>
        <w:pStyle w:val="BodyText"/>
        <w:rPr>
          <w:b/>
        </w:rPr>
      </w:pPr>
    </w:p>
    <w:p w14:paraId="794A0AEE" w14:textId="77777777" w:rsidR="00917870" w:rsidRDefault="00917870">
      <w:pPr>
        <w:pStyle w:val="BodyText"/>
        <w:rPr>
          <w:b/>
        </w:rPr>
      </w:pPr>
    </w:p>
    <w:p w14:paraId="28925475" w14:textId="77777777" w:rsidR="00917870" w:rsidRDefault="00917870">
      <w:pPr>
        <w:pStyle w:val="BodyText"/>
        <w:rPr>
          <w:b/>
        </w:rPr>
      </w:pPr>
    </w:p>
    <w:p w14:paraId="10BEDA0F" w14:textId="77777777" w:rsidR="00917870" w:rsidRDefault="00917870">
      <w:pPr>
        <w:pStyle w:val="BodyText"/>
        <w:rPr>
          <w:b/>
        </w:rPr>
      </w:pPr>
    </w:p>
    <w:p w14:paraId="04C024DB" w14:textId="77777777" w:rsidR="00917870" w:rsidRDefault="00917870">
      <w:pPr>
        <w:pStyle w:val="BodyText"/>
        <w:rPr>
          <w:b/>
        </w:rPr>
      </w:pPr>
    </w:p>
    <w:p w14:paraId="5A5289E6" w14:textId="77777777" w:rsidR="00917870" w:rsidRDefault="00917870">
      <w:pPr>
        <w:pStyle w:val="BodyText"/>
        <w:rPr>
          <w:b/>
        </w:rPr>
      </w:pPr>
    </w:p>
    <w:p w14:paraId="2B811A11" w14:textId="77777777" w:rsidR="00917870" w:rsidRDefault="00917870">
      <w:pPr>
        <w:pStyle w:val="BodyText"/>
        <w:rPr>
          <w:b/>
        </w:rPr>
      </w:pPr>
    </w:p>
    <w:p w14:paraId="12D1CC08" w14:textId="77777777" w:rsidR="00917870" w:rsidRDefault="00917870">
      <w:pPr>
        <w:pStyle w:val="BodyText"/>
        <w:rPr>
          <w:b/>
        </w:rPr>
      </w:pPr>
    </w:p>
    <w:p w14:paraId="158CF7D2" w14:textId="0726B6AB" w:rsidR="00917870" w:rsidRDefault="005A3ED6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9BC996" wp14:editId="65D713FD">
                <wp:simplePos x="0" y="0"/>
                <wp:positionH relativeFrom="page">
                  <wp:posOffset>701675</wp:posOffset>
                </wp:positionH>
                <wp:positionV relativeFrom="paragraph">
                  <wp:posOffset>150495</wp:posOffset>
                </wp:positionV>
                <wp:extent cx="6155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55FF" id="Freeform 2" o:spid="_x0000_s1026" style="position:absolute;margin-left:55.25pt;margin-top:11.85pt;width:48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5C0BED82" w14:textId="77777777" w:rsidR="00917870" w:rsidRDefault="00917870">
      <w:pPr>
        <w:pStyle w:val="BodyText"/>
        <w:spacing w:before="6"/>
        <w:rPr>
          <w:b/>
          <w:sz w:val="22"/>
        </w:rPr>
      </w:pPr>
    </w:p>
    <w:p w14:paraId="50A3733C" w14:textId="77777777" w:rsidR="00917870" w:rsidRDefault="005A3ED6">
      <w:pPr>
        <w:spacing w:before="123" w:line="244" w:lineRule="auto"/>
        <w:ind w:left="105" w:right="103"/>
        <w:jc w:val="center"/>
        <w:rPr>
          <w:sz w:val="18"/>
        </w:rPr>
      </w:pPr>
      <w:r>
        <w:rPr>
          <w:sz w:val="18"/>
        </w:rPr>
        <w:t xml:space="preserve">Slovakijos Respublikos įstatymų rinkinio leidėjas ir Slov-Lex teisinio ir informacinio portalo, esančio adresu </w:t>
      </w:r>
      <w:hyperlink r:id="rId6">
        <w:r>
          <w:rPr>
            <w:sz w:val="18"/>
          </w:rPr>
          <w:t xml:space="preserve">www.slov-lex.sk, </w:t>
        </w:r>
      </w:hyperlink>
      <w:r>
        <w:rPr>
          <w:sz w:val="18"/>
        </w:rPr>
        <w:t>valdytojas yra</w:t>
      </w:r>
    </w:p>
    <w:p w14:paraId="2988AAED" w14:textId="77777777" w:rsidR="00917870" w:rsidRDefault="005A3ED6">
      <w:pPr>
        <w:spacing w:before="1"/>
        <w:ind w:left="103" w:right="103"/>
        <w:jc w:val="center"/>
        <w:rPr>
          <w:sz w:val="18"/>
        </w:rPr>
      </w:pPr>
      <w:r>
        <w:rPr>
          <w:sz w:val="18"/>
        </w:rPr>
        <w:t>Slovakijos Respublikos teisingumo ministerija, Račianska 71, 813 11 Br</w:t>
      </w:r>
      <w:r>
        <w:rPr>
          <w:sz w:val="18"/>
        </w:rPr>
        <w:t>atislava,</w:t>
      </w:r>
    </w:p>
    <w:p w14:paraId="7B120FAD" w14:textId="77777777" w:rsidR="00917870" w:rsidRDefault="005A3ED6">
      <w:pPr>
        <w:spacing w:before="4"/>
        <w:ind w:left="105" w:right="105"/>
        <w:jc w:val="center"/>
        <w:rPr>
          <w:sz w:val="18"/>
        </w:rPr>
      </w:pPr>
      <w:r>
        <w:rPr>
          <w:sz w:val="18"/>
        </w:rPr>
        <w:t>tel. + 421 2 888 91 864, + 421 2 888 91 865, e. paštas</w:t>
      </w:r>
      <w:hyperlink r:id="rId7">
        <w:r>
          <w:rPr>
            <w:sz w:val="18"/>
          </w:rPr>
          <w:t xml:space="preserve"> helpdesk@slov-lex.sk.</w:t>
        </w:r>
      </w:hyperlink>
    </w:p>
    <w:sectPr w:rsidR="00917870">
      <w:pgSz w:w="11910" w:h="1684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161C"/>
    <w:multiLevelType w:val="hybridMultilevel"/>
    <w:tmpl w:val="AFE4677E"/>
    <w:lvl w:ilvl="0" w:tplc="D51076FC">
      <w:start w:val="1"/>
      <w:numFmt w:val="decimal"/>
      <w:lvlText w:val="%1."/>
      <w:lvlJc w:val="left"/>
      <w:pPr>
        <w:ind w:left="388" w:hanging="284"/>
        <w:jc w:val="left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12CEA702">
      <w:numFmt w:val="bullet"/>
      <w:lvlText w:val="•"/>
      <w:lvlJc w:val="left"/>
      <w:pPr>
        <w:ind w:left="380" w:hanging="284"/>
      </w:pPr>
      <w:rPr>
        <w:rFonts w:hint="default"/>
        <w:lang w:val="sk-SK" w:eastAsia="sk-SK" w:bidi="sk-SK"/>
      </w:rPr>
    </w:lvl>
    <w:lvl w:ilvl="2" w:tplc="93128022">
      <w:numFmt w:val="bullet"/>
      <w:lvlText w:val="•"/>
      <w:lvlJc w:val="left"/>
      <w:pPr>
        <w:ind w:left="1438" w:hanging="284"/>
      </w:pPr>
      <w:rPr>
        <w:rFonts w:hint="default"/>
        <w:lang w:val="sk-SK" w:eastAsia="sk-SK" w:bidi="sk-SK"/>
      </w:rPr>
    </w:lvl>
    <w:lvl w:ilvl="3" w:tplc="2C54DBA6">
      <w:numFmt w:val="bullet"/>
      <w:lvlText w:val="•"/>
      <w:lvlJc w:val="left"/>
      <w:pPr>
        <w:ind w:left="2496" w:hanging="284"/>
      </w:pPr>
      <w:rPr>
        <w:rFonts w:hint="default"/>
        <w:lang w:val="sk-SK" w:eastAsia="sk-SK" w:bidi="sk-SK"/>
      </w:rPr>
    </w:lvl>
    <w:lvl w:ilvl="4" w:tplc="054C9EF6">
      <w:numFmt w:val="bullet"/>
      <w:lvlText w:val="•"/>
      <w:lvlJc w:val="left"/>
      <w:pPr>
        <w:ind w:left="3554" w:hanging="284"/>
      </w:pPr>
      <w:rPr>
        <w:rFonts w:hint="default"/>
        <w:lang w:val="sk-SK" w:eastAsia="sk-SK" w:bidi="sk-SK"/>
      </w:rPr>
    </w:lvl>
    <w:lvl w:ilvl="5" w:tplc="C208318C">
      <w:numFmt w:val="bullet"/>
      <w:lvlText w:val="•"/>
      <w:lvlJc w:val="left"/>
      <w:pPr>
        <w:ind w:left="4613" w:hanging="284"/>
      </w:pPr>
      <w:rPr>
        <w:rFonts w:hint="default"/>
        <w:lang w:val="sk-SK" w:eastAsia="sk-SK" w:bidi="sk-SK"/>
      </w:rPr>
    </w:lvl>
    <w:lvl w:ilvl="6" w:tplc="4BF08384">
      <w:numFmt w:val="bullet"/>
      <w:lvlText w:val="•"/>
      <w:lvlJc w:val="left"/>
      <w:pPr>
        <w:ind w:left="5671" w:hanging="284"/>
      </w:pPr>
      <w:rPr>
        <w:rFonts w:hint="default"/>
        <w:lang w:val="sk-SK" w:eastAsia="sk-SK" w:bidi="sk-SK"/>
      </w:rPr>
    </w:lvl>
    <w:lvl w:ilvl="7" w:tplc="DC7ACA16">
      <w:numFmt w:val="bullet"/>
      <w:lvlText w:val="•"/>
      <w:lvlJc w:val="left"/>
      <w:pPr>
        <w:ind w:left="6729" w:hanging="284"/>
      </w:pPr>
      <w:rPr>
        <w:rFonts w:hint="default"/>
        <w:lang w:val="sk-SK" w:eastAsia="sk-SK" w:bidi="sk-SK"/>
      </w:rPr>
    </w:lvl>
    <w:lvl w:ilvl="8" w:tplc="3D3483CA">
      <w:numFmt w:val="bullet"/>
      <w:lvlText w:val="•"/>
      <w:lvlJc w:val="left"/>
      <w:pPr>
        <w:ind w:left="7788" w:hanging="284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0"/>
    <w:rsid w:val="005A3ED6"/>
    <w:rsid w:val="009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935E"/>
  <w15:docId w15:val="{851951B8-DE0A-43A2-A1EE-AF868FF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slov-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1735</Characters>
  <Application>Microsoft Office Word</Application>
  <DocSecurity>0</DocSecurity>
  <Lines>108</Lines>
  <Paragraphs>28</Paragraphs>
  <ScaleCrop>false</ScaleCrop>
  <Company>Transperfect Translations,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keywords>PDF/A;class='Internal'</cp:keywords>
  <cp:lastModifiedBy>Ragnhild Efraimsson</cp:lastModifiedBy>
  <cp:revision>2</cp:revision>
  <dcterms:created xsi:type="dcterms:W3CDTF">2024-08-14T13:31:00Z</dcterms:created>
  <dcterms:modified xsi:type="dcterms:W3CDTF">2024-08-14T13:31:00Z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2024-07-12T00:00:00Z</vt:filetime>
  </property>
</Properties>
</file>