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546668">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5417B6D8"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AFE23B9"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2413521"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2D91C5D"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14F35ED"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546668">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38355FD8"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53758CF"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Mediapalvelusäännöstö ja</w:t>
      </w:r>
      <w:r>
        <w:rPr>
          <w:color w:val="FFFFFF"/>
        </w:rPr>
        <w:br/>
        <w:t>mediapalvelusäännöt</w:t>
      </w:r>
    </w:p>
    <w:p w14:paraId="428FC6FE" w14:textId="77777777" w:rsidR="0006113D" w:rsidRDefault="00546668">
      <w:pPr>
        <w:pStyle w:val="Title"/>
        <w:spacing w:before="695" w:line="206" w:lineRule="auto"/>
      </w:pPr>
      <w:r>
        <w:rPr>
          <w:color w:val="FFFFFF"/>
        </w:rPr>
        <w:t>Tilattavien audiovisuaalisten mediapalvelujen tarjoajat</w:t>
      </w:r>
    </w:p>
    <w:p w14:paraId="20D1D664" w14:textId="77777777" w:rsidR="0006113D" w:rsidRDefault="0006113D">
      <w:pPr>
        <w:pStyle w:val="BodyText"/>
        <w:spacing w:before="349"/>
        <w:rPr>
          <w:rFonts w:ascii="Georgia"/>
          <w:sz w:val="72"/>
        </w:rPr>
      </w:pPr>
    </w:p>
    <w:p w14:paraId="2D1A852F" w14:textId="77777777" w:rsidR="0006113D" w:rsidRDefault="00546668">
      <w:pPr>
        <w:pStyle w:val="BodyText"/>
        <w:ind w:left="107"/>
      </w:pPr>
      <w:r>
        <w:rPr>
          <w:color w:val="FFFFFF"/>
        </w:rPr>
        <w:t>Julkaisupäivä: marraskuu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546668">
      <w:pPr>
        <w:spacing w:before="23"/>
        <w:ind w:left="720"/>
        <w:rPr>
          <w:rFonts w:ascii="Georgia"/>
          <w:sz w:val="36"/>
        </w:rPr>
      </w:pPr>
      <w:r>
        <w:rPr>
          <w:rFonts w:ascii="Georgia"/>
          <w:color w:val="391200"/>
          <w:sz w:val="36"/>
        </w:rPr>
        <w:lastRenderedPageBreak/>
        <w:t>Sis</w:t>
      </w:r>
      <w:r>
        <w:rPr>
          <w:rFonts w:ascii="Georgia"/>
          <w:color w:val="391200"/>
          <w:sz w:val="36"/>
        </w:rPr>
        <w:t>ä</w:t>
      </w:r>
      <w:r>
        <w:rPr>
          <w:rFonts w:ascii="Georgia"/>
          <w:color w:val="391200"/>
          <w:sz w:val="36"/>
        </w:rPr>
        <w:t>lt</w:t>
      </w:r>
      <w:r>
        <w:rPr>
          <w:rFonts w:ascii="Georgia"/>
          <w:color w:val="391200"/>
          <w:sz w:val="36"/>
        </w:rPr>
        <w:t>ö</w:t>
      </w:r>
    </w:p>
    <w:sdt>
      <w:sdtPr>
        <w:rPr>
          <w:rFonts w:ascii="Arial" w:eastAsia="Arial" w:hAnsi="Arial" w:cs="Arial"/>
          <w:b w:val="0"/>
          <w:bCs w:val="0"/>
          <w:sz w:val="22"/>
          <w:szCs w:val="22"/>
        </w:rPr>
        <w:id w:val="-294757254"/>
        <w:docPartObj>
          <w:docPartGallery w:val="Table of Contents"/>
          <w:docPartUnique/>
        </w:docPartObj>
      </w:sdtPr>
      <w:sdtEndPr/>
      <w:sdtContent>
        <w:p w14:paraId="28DAB5C4" w14:textId="7A0C7FE9" w:rsidR="003C0382" w:rsidRDefault="00546668">
          <w:pPr>
            <w:pStyle w:val="TOC1"/>
            <w:tabs>
              <w:tab w:val="left" w:pos="1320"/>
              <w:tab w:val="right" w:pos="10600"/>
            </w:tabs>
            <w:rPr>
              <w:rFonts w:asciiTheme="minorHAnsi" w:eastAsiaTheme="minorEastAsia" w:hAnsiTheme="minorHAnsi" w:cstheme="minorBidi"/>
              <w:b w:val="0"/>
              <w:bCs w:val="0"/>
              <w:noProof/>
              <w:kern w:val="2"/>
              <w:sz w:val="24"/>
              <w:szCs w:val="21"/>
              <w14:ligatures w14:val="standardContextual"/>
            </w:rPr>
          </w:pPr>
          <w:r>
            <w:fldChar w:fldCharType="begin"/>
          </w:r>
          <w:r>
            <w:instrText xml:space="preserve">TOC \o "1-2" \h \z \u </w:instrText>
          </w:r>
          <w:r>
            <w:fldChar w:fldCharType="separate"/>
          </w:r>
          <w:hyperlink w:anchor="_Toc183087706" w:history="1">
            <w:r w:rsidR="003C0382" w:rsidRPr="009A2BFC">
              <w:rPr>
                <w:rStyle w:val="Hyperlink"/>
              </w:rPr>
              <w:t>1.</w:t>
            </w:r>
            <w:r w:rsidR="003C0382">
              <w:rPr>
                <w:rFonts w:asciiTheme="minorHAnsi" w:eastAsiaTheme="minorEastAsia" w:hAnsiTheme="minorHAnsi" w:cstheme="minorBidi"/>
                <w:b w:val="0"/>
                <w:sz w:val="24"/>
              </w:rPr>
              <w:tab/>
            </w:r>
            <w:r w:rsidR="003C0382" w:rsidRPr="009A2BFC">
              <w:rPr>
                <w:rStyle w:val="Hyperlink"/>
              </w:rPr>
              <w:t>Introduction</w:t>
            </w:r>
            <w:r w:rsidR="003C0382">
              <w:rPr>
                <w:webHidden/>
              </w:rPr>
              <w:tab/>
            </w:r>
            <w:r w:rsidR="003C0382">
              <w:rPr>
                <w:webHidden/>
              </w:rPr>
              <w:fldChar w:fldCharType="begin"/>
            </w:r>
            <w:r w:rsidR="003C0382">
              <w:rPr>
                <w:webHidden/>
              </w:rPr>
              <w:instrText xml:space="preserve"> PAGEREF _Toc183087706 \h </w:instrText>
            </w:r>
            <w:r w:rsidR="003C0382">
              <w:rPr>
                <w:webHidden/>
              </w:rPr>
            </w:r>
            <w:r w:rsidR="003C0382">
              <w:rPr>
                <w:webHidden/>
              </w:rPr>
              <w:fldChar w:fldCharType="separate"/>
            </w:r>
            <w:r w:rsidR="003C0382">
              <w:rPr>
                <w:webHidden/>
              </w:rPr>
              <w:t>3</w:t>
            </w:r>
            <w:r w:rsidR="003C0382">
              <w:rPr>
                <w:webHidden/>
              </w:rPr>
              <w:fldChar w:fldCharType="end"/>
            </w:r>
          </w:hyperlink>
        </w:p>
        <w:p w14:paraId="697BEC67" w14:textId="5DD21161"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07" w:history="1">
            <w:r w:rsidR="003C0382" w:rsidRPr="009A2BFC">
              <w:rPr>
                <w:rStyle w:val="Hyperlink"/>
              </w:rPr>
              <w:t>2.</w:t>
            </w:r>
            <w:r w:rsidR="003C0382">
              <w:rPr>
                <w:rFonts w:asciiTheme="minorHAnsi" w:eastAsiaTheme="minorEastAsia" w:hAnsiTheme="minorHAnsi" w:cstheme="minorBidi"/>
                <w:b w:val="0"/>
                <w:sz w:val="24"/>
              </w:rPr>
              <w:tab/>
            </w:r>
            <w:r w:rsidR="003C0382" w:rsidRPr="009A2BFC">
              <w:rPr>
                <w:rStyle w:val="Hyperlink"/>
              </w:rPr>
              <w:t>Scope and Jurisdiction</w:t>
            </w:r>
            <w:r w:rsidR="003C0382">
              <w:rPr>
                <w:webHidden/>
              </w:rPr>
              <w:tab/>
            </w:r>
            <w:r w:rsidR="003C0382">
              <w:rPr>
                <w:webHidden/>
              </w:rPr>
              <w:fldChar w:fldCharType="begin"/>
            </w:r>
            <w:r w:rsidR="003C0382">
              <w:rPr>
                <w:webHidden/>
              </w:rPr>
              <w:instrText xml:space="preserve"> PAGEREF _Toc183087707 \h </w:instrText>
            </w:r>
            <w:r w:rsidR="003C0382">
              <w:rPr>
                <w:webHidden/>
              </w:rPr>
            </w:r>
            <w:r w:rsidR="003C0382">
              <w:rPr>
                <w:webHidden/>
              </w:rPr>
              <w:fldChar w:fldCharType="separate"/>
            </w:r>
            <w:r w:rsidR="003C0382">
              <w:rPr>
                <w:webHidden/>
              </w:rPr>
              <w:t>3</w:t>
            </w:r>
            <w:r w:rsidR="003C0382">
              <w:rPr>
                <w:webHidden/>
              </w:rPr>
              <w:fldChar w:fldCharType="end"/>
            </w:r>
          </w:hyperlink>
        </w:p>
        <w:p w14:paraId="52292134" w14:textId="3F3C9CCC"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08" w:history="1">
            <w:r w:rsidR="003C0382" w:rsidRPr="009A2BFC">
              <w:rPr>
                <w:rStyle w:val="Hyperlink"/>
              </w:rPr>
              <w:t>3.</w:t>
            </w:r>
            <w:r w:rsidR="003C0382">
              <w:rPr>
                <w:rFonts w:asciiTheme="minorHAnsi" w:eastAsiaTheme="minorEastAsia" w:hAnsiTheme="minorHAnsi" w:cstheme="minorBidi"/>
                <w:b w:val="0"/>
                <w:sz w:val="24"/>
              </w:rPr>
              <w:tab/>
            </w:r>
            <w:r w:rsidR="003C0382" w:rsidRPr="009A2BFC">
              <w:rPr>
                <w:rStyle w:val="Hyperlink"/>
              </w:rPr>
              <w:t>Purpose, Preparation, and Application of the Code and Rules</w:t>
            </w:r>
            <w:r w:rsidR="003C0382">
              <w:rPr>
                <w:webHidden/>
              </w:rPr>
              <w:tab/>
            </w:r>
            <w:r w:rsidR="003C0382">
              <w:rPr>
                <w:webHidden/>
              </w:rPr>
              <w:fldChar w:fldCharType="begin"/>
            </w:r>
            <w:r w:rsidR="003C0382">
              <w:rPr>
                <w:webHidden/>
              </w:rPr>
              <w:instrText xml:space="preserve"> PAGEREF _Toc183087708 \h </w:instrText>
            </w:r>
            <w:r w:rsidR="003C0382">
              <w:rPr>
                <w:webHidden/>
              </w:rPr>
            </w:r>
            <w:r w:rsidR="003C0382">
              <w:rPr>
                <w:webHidden/>
              </w:rPr>
              <w:fldChar w:fldCharType="separate"/>
            </w:r>
            <w:r w:rsidR="003C0382">
              <w:rPr>
                <w:webHidden/>
              </w:rPr>
              <w:t>4</w:t>
            </w:r>
            <w:r w:rsidR="003C0382">
              <w:rPr>
                <w:webHidden/>
              </w:rPr>
              <w:fldChar w:fldCharType="end"/>
            </w:r>
          </w:hyperlink>
        </w:p>
        <w:p w14:paraId="0EEBB66A" w14:textId="07DEEB9A" w:rsidR="003C0382" w:rsidRDefault="00546668">
          <w:pPr>
            <w:pStyle w:val="TOC2"/>
            <w:tabs>
              <w:tab w:val="right" w:pos="10600"/>
            </w:tabs>
            <w:rPr>
              <w:rFonts w:asciiTheme="minorHAnsi" w:eastAsiaTheme="minorEastAsia" w:hAnsiTheme="minorHAnsi" w:cstheme="minorBidi"/>
              <w:b w:val="0"/>
              <w:sz w:val="24"/>
            </w:rPr>
          </w:pPr>
          <w:hyperlink w:anchor="_Toc183087709" w:history="1">
            <w:r w:rsidR="003C0382" w:rsidRPr="009A2BFC">
              <w:rPr>
                <w:rStyle w:val="Hyperlink"/>
              </w:rPr>
              <w:t>Purpose</w:t>
            </w:r>
            <w:r w:rsidR="003C0382">
              <w:rPr>
                <w:webHidden/>
              </w:rPr>
              <w:tab/>
            </w:r>
            <w:r w:rsidR="003C0382">
              <w:rPr>
                <w:webHidden/>
              </w:rPr>
              <w:fldChar w:fldCharType="begin"/>
            </w:r>
            <w:r w:rsidR="003C0382">
              <w:rPr>
                <w:webHidden/>
              </w:rPr>
              <w:instrText xml:space="preserve"> PAGEREF _Toc183087709 \h </w:instrText>
            </w:r>
            <w:r w:rsidR="003C0382">
              <w:rPr>
                <w:webHidden/>
              </w:rPr>
            </w:r>
            <w:r w:rsidR="003C0382">
              <w:rPr>
                <w:webHidden/>
              </w:rPr>
              <w:fldChar w:fldCharType="separate"/>
            </w:r>
            <w:r w:rsidR="003C0382">
              <w:rPr>
                <w:webHidden/>
              </w:rPr>
              <w:t>4</w:t>
            </w:r>
            <w:r w:rsidR="003C0382">
              <w:rPr>
                <w:webHidden/>
              </w:rPr>
              <w:fldChar w:fldCharType="end"/>
            </w:r>
          </w:hyperlink>
        </w:p>
        <w:p w14:paraId="03C1B0EA" w14:textId="1027B851" w:rsidR="003C0382" w:rsidRDefault="00546668">
          <w:pPr>
            <w:pStyle w:val="TOC2"/>
            <w:tabs>
              <w:tab w:val="right" w:pos="10600"/>
            </w:tabs>
            <w:rPr>
              <w:rFonts w:asciiTheme="minorHAnsi" w:eastAsiaTheme="minorEastAsia" w:hAnsiTheme="minorHAnsi" w:cstheme="minorBidi"/>
              <w:b w:val="0"/>
              <w:sz w:val="24"/>
            </w:rPr>
          </w:pPr>
          <w:hyperlink w:anchor="_Toc183087710" w:history="1">
            <w:r w:rsidR="003C0382" w:rsidRPr="009A2BFC">
              <w:rPr>
                <w:rStyle w:val="Hyperlink"/>
              </w:rPr>
              <w:t>Preparation of the Code and Rules</w:t>
            </w:r>
            <w:r w:rsidR="003C0382">
              <w:rPr>
                <w:webHidden/>
              </w:rPr>
              <w:tab/>
            </w:r>
            <w:r w:rsidR="003C0382">
              <w:rPr>
                <w:webHidden/>
              </w:rPr>
              <w:fldChar w:fldCharType="begin"/>
            </w:r>
            <w:r w:rsidR="003C0382">
              <w:rPr>
                <w:webHidden/>
              </w:rPr>
              <w:instrText xml:space="preserve"> PAGEREF _Toc183087710 \h </w:instrText>
            </w:r>
            <w:r w:rsidR="003C0382">
              <w:rPr>
                <w:webHidden/>
              </w:rPr>
            </w:r>
            <w:r w:rsidR="003C0382">
              <w:rPr>
                <w:webHidden/>
              </w:rPr>
              <w:fldChar w:fldCharType="separate"/>
            </w:r>
            <w:r w:rsidR="003C0382">
              <w:rPr>
                <w:webHidden/>
              </w:rPr>
              <w:t>4</w:t>
            </w:r>
            <w:r w:rsidR="003C0382">
              <w:rPr>
                <w:webHidden/>
              </w:rPr>
              <w:fldChar w:fldCharType="end"/>
            </w:r>
          </w:hyperlink>
        </w:p>
        <w:p w14:paraId="38ACC186" w14:textId="119EA568"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11" w:history="1">
            <w:r w:rsidR="003C0382" w:rsidRPr="009A2BFC">
              <w:rPr>
                <w:rStyle w:val="Hyperlink"/>
              </w:rPr>
              <w:t>4.</w:t>
            </w:r>
            <w:r w:rsidR="003C0382">
              <w:rPr>
                <w:rFonts w:asciiTheme="minorHAnsi" w:eastAsiaTheme="minorEastAsia" w:hAnsiTheme="minorHAnsi" w:cstheme="minorBidi"/>
                <w:b w:val="0"/>
                <w:sz w:val="24"/>
              </w:rPr>
              <w:tab/>
            </w:r>
            <w:r w:rsidR="003C0382" w:rsidRPr="009A2BFC">
              <w:rPr>
                <w:rStyle w:val="Hyperlink"/>
              </w:rPr>
              <w:t>Regulatory Principles Relevant to the Code and Rules</w:t>
            </w:r>
            <w:r w:rsidR="003C0382">
              <w:rPr>
                <w:webHidden/>
              </w:rPr>
              <w:tab/>
            </w:r>
            <w:r w:rsidR="003C0382">
              <w:rPr>
                <w:webHidden/>
              </w:rPr>
              <w:fldChar w:fldCharType="begin"/>
            </w:r>
            <w:r w:rsidR="003C0382">
              <w:rPr>
                <w:webHidden/>
              </w:rPr>
              <w:instrText xml:space="preserve"> PAGEREF _Toc183087711 \h </w:instrText>
            </w:r>
            <w:r w:rsidR="003C0382">
              <w:rPr>
                <w:webHidden/>
              </w:rPr>
            </w:r>
            <w:r w:rsidR="003C0382">
              <w:rPr>
                <w:webHidden/>
              </w:rPr>
              <w:fldChar w:fldCharType="separate"/>
            </w:r>
            <w:r w:rsidR="003C0382">
              <w:rPr>
                <w:webHidden/>
              </w:rPr>
              <w:t>4</w:t>
            </w:r>
            <w:r w:rsidR="003C0382">
              <w:rPr>
                <w:webHidden/>
              </w:rPr>
              <w:fldChar w:fldCharType="end"/>
            </w:r>
          </w:hyperlink>
        </w:p>
        <w:p w14:paraId="5688F437" w14:textId="3CC97455" w:rsidR="003C0382" w:rsidRDefault="00546668">
          <w:pPr>
            <w:pStyle w:val="TOC2"/>
            <w:tabs>
              <w:tab w:val="right" w:pos="10600"/>
            </w:tabs>
            <w:rPr>
              <w:rFonts w:asciiTheme="minorHAnsi" w:eastAsiaTheme="minorEastAsia" w:hAnsiTheme="minorHAnsi" w:cstheme="minorBidi"/>
              <w:b w:val="0"/>
              <w:sz w:val="24"/>
            </w:rPr>
          </w:pPr>
          <w:hyperlink w:anchor="_Toc183087712" w:history="1">
            <w:r w:rsidR="003C0382" w:rsidRPr="009A2BFC">
              <w:rPr>
                <w:rStyle w:val="Hyperlink"/>
                <w:rFonts w:ascii="Arial"/>
              </w:rPr>
              <w:t>General Statutory Objectives and Functions</w:t>
            </w:r>
            <w:r w:rsidR="003C0382">
              <w:rPr>
                <w:webHidden/>
              </w:rPr>
              <w:tab/>
            </w:r>
            <w:r w:rsidR="003C0382">
              <w:rPr>
                <w:webHidden/>
              </w:rPr>
              <w:fldChar w:fldCharType="begin"/>
            </w:r>
            <w:r w:rsidR="003C0382">
              <w:rPr>
                <w:webHidden/>
              </w:rPr>
              <w:instrText xml:space="preserve"> PAGEREF _Toc183087712 \h </w:instrText>
            </w:r>
            <w:r w:rsidR="003C0382">
              <w:rPr>
                <w:webHidden/>
              </w:rPr>
            </w:r>
            <w:r w:rsidR="003C0382">
              <w:rPr>
                <w:webHidden/>
              </w:rPr>
              <w:fldChar w:fldCharType="separate"/>
            </w:r>
            <w:r w:rsidR="003C0382">
              <w:rPr>
                <w:webHidden/>
              </w:rPr>
              <w:t>5</w:t>
            </w:r>
            <w:r w:rsidR="003C0382">
              <w:rPr>
                <w:webHidden/>
              </w:rPr>
              <w:fldChar w:fldCharType="end"/>
            </w:r>
          </w:hyperlink>
        </w:p>
        <w:p w14:paraId="5F0DC735" w14:textId="56FFB869" w:rsidR="003C0382" w:rsidRDefault="00546668">
          <w:pPr>
            <w:pStyle w:val="TOC2"/>
            <w:tabs>
              <w:tab w:val="right" w:pos="10600"/>
            </w:tabs>
            <w:rPr>
              <w:rFonts w:asciiTheme="minorHAnsi" w:eastAsiaTheme="minorEastAsia" w:hAnsiTheme="minorHAnsi" w:cstheme="minorBidi"/>
              <w:b w:val="0"/>
              <w:sz w:val="24"/>
            </w:rPr>
          </w:pPr>
          <w:hyperlink w:anchor="_Toc183087713" w:history="1">
            <w:r w:rsidR="003C0382" w:rsidRPr="009A2BFC">
              <w:rPr>
                <w:rStyle w:val="Hyperlink"/>
                <w:rFonts w:ascii="Arial"/>
              </w:rPr>
              <w:t>Specific Statutory Objectives</w:t>
            </w:r>
            <w:r w:rsidR="003C0382">
              <w:rPr>
                <w:webHidden/>
              </w:rPr>
              <w:tab/>
            </w:r>
            <w:r w:rsidR="003C0382">
              <w:rPr>
                <w:webHidden/>
              </w:rPr>
              <w:fldChar w:fldCharType="begin"/>
            </w:r>
            <w:r w:rsidR="003C0382">
              <w:rPr>
                <w:webHidden/>
              </w:rPr>
              <w:instrText xml:space="preserve"> PAGEREF _Toc183087713 \h </w:instrText>
            </w:r>
            <w:r w:rsidR="003C0382">
              <w:rPr>
                <w:webHidden/>
              </w:rPr>
            </w:r>
            <w:r w:rsidR="003C0382">
              <w:rPr>
                <w:webHidden/>
              </w:rPr>
              <w:fldChar w:fldCharType="separate"/>
            </w:r>
            <w:r w:rsidR="003C0382">
              <w:rPr>
                <w:webHidden/>
              </w:rPr>
              <w:t>6</w:t>
            </w:r>
            <w:r w:rsidR="003C0382">
              <w:rPr>
                <w:webHidden/>
              </w:rPr>
              <w:fldChar w:fldCharType="end"/>
            </w:r>
          </w:hyperlink>
        </w:p>
        <w:p w14:paraId="2EA0254E" w14:textId="1D6ECC18"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14" w:history="1">
            <w:r w:rsidR="003C0382" w:rsidRPr="009A2BFC">
              <w:rPr>
                <w:rStyle w:val="Hyperlink"/>
              </w:rPr>
              <w:t>5</w:t>
            </w:r>
            <w:r w:rsidR="003C0382">
              <w:rPr>
                <w:rFonts w:asciiTheme="minorHAnsi" w:eastAsiaTheme="minorEastAsia" w:hAnsiTheme="minorHAnsi" w:cstheme="minorBidi"/>
                <w:b w:val="0"/>
                <w:sz w:val="24"/>
              </w:rPr>
              <w:tab/>
            </w:r>
            <w:r w:rsidR="003C0382" w:rsidRPr="009A2BFC">
              <w:rPr>
                <w:rStyle w:val="Hyperlink"/>
              </w:rPr>
              <w:t>Severability</w:t>
            </w:r>
            <w:r w:rsidR="003C0382">
              <w:rPr>
                <w:webHidden/>
              </w:rPr>
              <w:tab/>
            </w:r>
            <w:r w:rsidR="003C0382">
              <w:rPr>
                <w:webHidden/>
              </w:rPr>
              <w:fldChar w:fldCharType="begin"/>
            </w:r>
            <w:r w:rsidR="003C0382">
              <w:rPr>
                <w:webHidden/>
              </w:rPr>
              <w:instrText xml:space="preserve"> PAGEREF _Toc183087714 \h </w:instrText>
            </w:r>
            <w:r w:rsidR="003C0382">
              <w:rPr>
                <w:webHidden/>
              </w:rPr>
            </w:r>
            <w:r w:rsidR="003C0382">
              <w:rPr>
                <w:webHidden/>
              </w:rPr>
              <w:fldChar w:fldCharType="separate"/>
            </w:r>
            <w:r w:rsidR="003C0382">
              <w:rPr>
                <w:webHidden/>
              </w:rPr>
              <w:t>6</w:t>
            </w:r>
            <w:r w:rsidR="003C0382">
              <w:rPr>
                <w:webHidden/>
              </w:rPr>
              <w:fldChar w:fldCharType="end"/>
            </w:r>
          </w:hyperlink>
        </w:p>
        <w:p w14:paraId="50C3EE23" w14:textId="70F20ACC"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15" w:history="1">
            <w:r w:rsidR="003C0382" w:rsidRPr="009A2BFC">
              <w:rPr>
                <w:rStyle w:val="Hyperlink"/>
              </w:rPr>
              <w:t>6</w:t>
            </w:r>
            <w:r w:rsidR="003C0382">
              <w:rPr>
                <w:rFonts w:asciiTheme="minorHAnsi" w:eastAsiaTheme="minorEastAsia" w:hAnsiTheme="minorHAnsi" w:cstheme="minorBidi"/>
                <w:b w:val="0"/>
                <w:sz w:val="24"/>
              </w:rPr>
              <w:tab/>
            </w:r>
            <w:r w:rsidR="003C0382" w:rsidRPr="009A2BFC">
              <w:rPr>
                <w:rStyle w:val="Hyperlink"/>
              </w:rPr>
              <w:t>Waiver</w:t>
            </w:r>
            <w:r w:rsidR="003C0382">
              <w:rPr>
                <w:webHidden/>
              </w:rPr>
              <w:tab/>
            </w:r>
            <w:r w:rsidR="003C0382">
              <w:rPr>
                <w:webHidden/>
              </w:rPr>
              <w:fldChar w:fldCharType="begin"/>
            </w:r>
            <w:r w:rsidR="003C0382">
              <w:rPr>
                <w:webHidden/>
              </w:rPr>
              <w:instrText xml:space="preserve"> PAGEREF _Toc183087715 \h </w:instrText>
            </w:r>
            <w:r w:rsidR="003C0382">
              <w:rPr>
                <w:webHidden/>
              </w:rPr>
            </w:r>
            <w:r w:rsidR="003C0382">
              <w:rPr>
                <w:webHidden/>
              </w:rPr>
              <w:fldChar w:fldCharType="separate"/>
            </w:r>
            <w:r w:rsidR="003C0382">
              <w:rPr>
                <w:webHidden/>
              </w:rPr>
              <w:t>6</w:t>
            </w:r>
            <w:r w:rsidR="003C0382">
              <w:rPr>
                <w:webHidden/>
              </w:rPr>
              <w:fldChar w:fldCharType="end"/>
            </w:r>
          </w:hyperlink>
        </w:p>
        <w:p w14:paraId="07939587" w14:textId="009A11E0"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16" w:history="1">
            <w:r w:rsidR="003C0382" w:rsidRPr="009A2BFC">
              <w:rPr>
                <w:rStyle w:val="Hyperlink"/>
              </w:rPr>
              <w:t>7</w:t>
            </w:r>
            <w:r w:rsidR="003C0382">
              <w:rPr>
                <w:rFonts w:asciiTheme="minorHAnsi" w:eastAsiaTheme="minorEastAsia" w:hAnsiTheme="minorHAnsi" w:cstheme="minorBidi"/>
                <w:b w:val="0"/>
                <w:sz w:val="24"/>
              </w:rPr>
              <w:tab/>
            </w:r>
            <w:r w:rsidR="003C0382" w:rsidRPr="009A2BFC">
              <w:rPr>
                <w:rStyle w:val="Hyperlink"/>
              </w:rPr>
              <w:t>Compliance and Enforcement</w:t>
            </w:r>
            <w:r w:rsidR="003C0382">
              <w:rPr>
                <w:webHidden/>
              </w:rPr>
              <w:tab/>
            </w:r>
            <w:r w:rsidR="003C0382">
              <w:rPr>
                <w:webHidden/>
              </w:rPr>
              <w:fldChar w:fldCharType="begin"/>
            </w:r>
            <w:r w:rsidR="003C0382">
              <w:rPr>
                <w:webHidden/>
              </w:rPr>
              <w:instrText xml:space="preserve"> PAGEREF _Toc183087716 \h </w:instrText>
            </w:r>
            <w:r w:rsidR="003C0382">
              <w:rPr>
                <w:webHidden/>
              </w:rPr>
            </w:r>
            <w:r w:rsidR="003C0382">
              <w:rPr>
                <w:webHidden/>
              </w:rPr>
              <w:fldChar w:fldCharType="separate"/>
            </w:r>
            <w:r w:rsidR="003C0382">
              <w:rPr>
                <w:webHidden/>
              </w:rPr>
              <w:t>7</w:t>
            </w:r>
            <w:r w:rsidR="003C0382">
              <w:rPr>
                <w:webHidden/>
              </w:rPr>
              <w:fldChar w:fldCharType="end"/>
            </w:r>
          </w:hyperlink>
        </w:p>
        <w:p w14:paraId="43DC033B" w14:textId="63AE9D12"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17" w:history="1">
            <w:r w:rsidR="003C0382" w:rsidRPr="009A2BFC">
              <w:rPr>
                <w:rStyle w:val="Hyperlink"/>
              </w:rPr>
              <w:t>8</w:t>
            </w:r>
            <w:r w:rsidR="003C0382">
              <w:rPr>
                <w:rFonts w:asciiTheme="minorHAnsi" w:eastAsiaTheme="minorEastAsia" w:hAnsiTheme="minorHAnsi" w:cstheme="minorBidi"/>
                <w:b w:val="0"/>
                <w:sz w:val="24"/>
              </w:rPr>
              <w:tab/>
            </w:r>
            <w:r w:rsidR="003C0382" w:rsidRPr="009A2BFC">
              <w:rPr>
                <w:rStyle w:val="Hyperlink"/>
              </w:rPr>
              <w:t>Complaints and Information</w:t>
            </w:r>
            <w:r w:rsidR="003C0382">
              <w:rPr>
                <w:webHidden/>
              </w:rPr>
              <w:tab/>
            </w:r>
            <w:r w:rsidR="003C0382">
              <w:rPr>
                <w:webHidden/>
              </w:rPr>
              <w:fldChar w:fldCharType="begin"/>
            </w:r>
            <w:r w:rsidR="003C0382">
              <w:rPr>
                <w:webHidden/>
              </w:rPr>
              <w:instrText xml:space="preserve"> PAGEREF _Toc183087717 \h </w:instrText>
            </w:r>
            <w:r w:rsidR="003C0382">
              <w:rPr>
                <w:webHidden/>
              </w:rPr>
            </w:r>
            <w:r w:rsidR="003C0382">
              <w:rPr>
                <w:webHidden/>
              </w:rPr>
              <w:fldChar w:fldCharType="separate"/>
            </w:r>
            <w:r w:rsidR="003C0382">
              <w:rPr>
                <w:webHidden/>
              </w:rPr>
              <w:t>7</w:t>
            </w:r>
            <w:r w:rsidR="003C0382">
              <w:rPr>
                <w:webHidden/>
              </w:rPr>
              <w:fldChar w:fldCharType="end"/>
            </w:r>
          </w:hyperlink>
        </w:p>
        <w:p w14:paraId="6A74C832" w14:textId="4F27D137"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18" w:history="1">
            <w:r w:rsidR="003C0382" w:rsidRPr="009A2BFC">
              <w:rPr>
                <w:rStyle w:val="Hyperlink"/>
              </w:rPr>
              <w:t>9</w:t>
            </w:r>
            <w:r w:rsidR="003C0382">
              <w:rPr>
                <w:rFonts w:asciiTheme="minorHAnsi" w:eastAsiaTheme="minorEastAsia" w:hAnsiTheme="minorHAnsi" w:cstheme="minorBidi"/>
                <w:b w:val="0"/>
                <w:sz w:val="24"/>
              </w:rPr>
              <w:tab/>
            </w:r>
            <w:r w:rsidR="003C0382" w:rsidRPr="009A2BFC">
              <w:rPr>
                <w:rStyle w:val="Hyperlink"/>
              </w:rPr>
              <w:t>Guidance</w:t>
            </w:r>
            <w:r w:rsidR="003C0382">
              <w:rPr>
                <w:webHidden/>
              </w:rPr>
              <w:tab/>
            </w:r>
            <w:r w:rsidR="003C0382">
              <w:rPr>
                <w:webHidden/>
              </w:rPr>
              <w:fldChar w:fldCharType="begin"/>
            </w:r>
            <w:r w:rsidR="003C0382">
              <w:rPr>
                <w:webHidden/>
              </w:rPr>
              <w:instrText xml:space="preserve"> PAGEREF _Toc183087718 \h </w:instrText>
            </w:r>
            <w:r w:rsidR="003C0382">
              <w:rPr>
                <w:webHidden/>
              </w:rPr>
            </w:r>
            <w:r w:rsidR="003C0382">
              <w:rPr>
                <w:webHidden/>
              </w:rPr>
              <w:fldChar w:fldCharType="separate"/>
            </w:r>
            <w:r w:rsidR="003C0382">
              <w:rPr>
                <w:webHidden/>
              </w:rPr>
              <w:t>7</w:t>
            </w:r>
            <w:r w:rsidR="003C0382">
              <w:rPr>
                <w:webHidden/>
              </w:rPr>
              <w:fldChar w:fldCharType="end"/>
            </w:r>
          </w:hyperlink>
        </w:p>
        <w:p w14:paraId="1D31173C" w14:textId="59A18994"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19" w:history="1">
            <w:r w:rsidR="003C0382" w:rsidRPr="009A2BFC">
              <w:rPr>
                <w:rStyle w:val="Hyperlink"/>
              </w:rPr>
              <w:t>10</w:t>
            </w:r>
            <w:r w:rsidR="003C0382">
              <w:rPr>
                <w:rFonts w:asciiTheme="minorHAnsi" w:eastAsiaTheme="minorEastAsia" w:hAnsiTheme="minorHAnsi" w:cstheme="minorBidi"/>
                <w:b w:val="0"/>
                <w:sz w:val="24"/>
              </w:rPr>
              <w:tab/>
            </w:r>
            <w:r w:rsidR="003C0382" w:rsidRPr="009A2BFC">
              <w:rPr>
                <w:rStyle w:val="Hyperlink"/>
              </w:rPr>
              <w:t>Definitions – Media Service Code &amp; Media Service Rules</w:t>
            </w:r>
            <w:r w:rsidR="003C0382">
              <w:rPr>
                <w:webHidden/>
              </w:rPr>
              <w:tab/>
            </w:r>
            <w:r w:rsidR="003C0382">
              <w:rPr>
                <w:webHidden/>
              </w:rPr>
              <w:fldChar w:fldCharType="begin"/>
            </w:r>
            <w:r w:rsidR="003C0382">
              <w:rPr>
                <w:webHidden/>
              </w:rPr>
              <w:instrText xml:space="preserve"> PAGEREF _Toc183087719 \h </w:instrText>
            </w:r>
            <w:r w:rsidR="003C0382">
              <w:rPr>
                <w:webHidden/>
              </w:rPr>
            </w:r>
            <w:r w:rsidR="003C0382">
              <w:rPr>
                <w:webHidden/>
              </w:rPr>
              <w:fldChar w:fldCharType="separate"/>
            </w:r>
            <w:r w:rsidR="003C0382">
              <w:rPr>
                <w:webHidden/>
              </w:rPr>
              <w:t>8</w:t>
            </w:r>
            <w:r w:rsidR="003C0382">
              <w:rPr>
                <w:webHidden/>
              </w:rPr>
              <w:fldChar w:fldCharType="end"/>
            </w:r>
          </w:hyperlink>
        </w:p>
        <w:p w14:paraId="7F550FF1" w14:textId="2810C599" w:rsidR="003C0382" w:rsidRDefault="00546668">
          <w:pPr>
            <w:pStyle w:val="TOC1"/>
            <w:tabs>
              <w:tab w:val="right" w:pos="10600"/>
            </w:tabs>
            <w:rPr>
              <w:rFonts w:asciiTheme="minorHAnsi" w:eastAsiaTheme="minorEastAsia" w:hAnsiTheme="minorHAnsi" w:cstheme="minorBidi"/>
              <w:b w:val="0"/>
              <w:sz w:val="24"/>
            </w:rPr>
          </w:pPr>
          <w:hyperlink w:anchor="_Toc183087720" w:history="1">
            <w:r w:rsidR="003C0382" w:rsidRPr="009A2BFC">
              <w:rPr>
                <w:rStyle w:val="Hyperlink"/>
              </w:rPr>
              <w:t>Media Service Code Provisions</w:t>
            </w:r>
            <w:r w:rsidR="003C0382">
              <w:rPr>
                <w:webHidden/>
              </w:rPr>
              <w:tab/>
            </w:r>
            <w:r w:rsidR="003C0382">
              <w:rPr>
                <w:webHidden/>
              </w:rPr>
              <w:fldChar w:fldCharType="begin"/>
            </w:r>
            <w:r w:rsidR="003C0382">
              <w:rPr>
                <w:webHidden/>
              </w:rPr>
              <w:instrText xml:space="preserve"> PAGEREF _Toc183087720 \h </w:instrText>
            </w:r>
            <w:r w:rsidR="003C0382">
              <w:rPr>
                <w:webHidden/>
              </w:rPr>
            </w:r>
            <w:r w:rsidR="003C0382">
              <w:rPr>
                <w:webHidden/>
              </w:rPr>
              <w:fldChar w:fldCharType="separate"/>
            </w:r>
            <w:r w:rsidR="003C0382">
              <w:rPr>
                <w:webHidden/>
              </w:rPr>
              <w:t>11</w:t>
            </w:r>
            <w:r w:rsidR="003C0382">
              <w:rPr>
                <w:webHidden/>
              </w:rPr>
              <w:fldChar w:fldCharType="end"/>
            </w:r>
          </w:hyperlink>
        </w:p>
        <w:p w14:paraId="7D5184C3" w14:textId="421ABCB2"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21" w:history="1">
            <w:r w:rsidR="003C0382" w:rsidRPr="009A2BFC">
              <w:rPr>
                <w:rStyle w:val="Hyperlink"/>
              </w:rPr>
              <w:t>11</w:t>
            </w:r>
            <w:r w:rsidR="003C0382">
              <w:rPr>
                <w:rFonts w:asciiTheme="minorHAnsi" w:eastAsiaTheme="minorEastAsia" w:hAnsiTheme="minorHAnsi" w:cstheme="minorBidi"/>
                <w:b w:val="0"/>
                <w:sz w:val="24"/>
              </w:rPr>
              <w:tab/>
            </w:r>
            <w:r w:rsidR="003C0382" w:rsidRPr="009A2BFC">
              <w:rPr>
                <w:rStyle w:val="Hyperlink"/>
              </w:rPr>
              <w:t>Harmful Content</w:t>
            </w:r>
            <w:r w:rsidR="003C0382">
              <w:rPr>
                <w:webHidden/>
              </w:rPr>
              <w:tab/>
            </w:r>
            <w:r w:rsidR="003C0382">
              <w:rPr>
                <w:webHidden/>
              </w:rPr>
              <w:fldChar w:fldCharType="begin"/>
            </w:r>
            <w:r w:rsidR="003C0382">
              <w:rPr>
                <w:webHidden/>
              </w:rPr>
              <w:instrText xml:space="preserve"> PAGEREF _Toc183087721 \h </w:instrText>
            </w:r>
            <w:r w:rsidR="003C0382">
              <w:rPr>
                <w:webHidden/>
              </w:rPr>
            </w:r>
            <w:r w:rsidR="003C0382">
              <w:rPr>
                <w:webHidden/>
              </w:rPr>
              <w:fldChar w:fldCharType="separate"/>
            </w:r>
            <w:r w:rsidR="003C0382">
              <w:rPr>
                <w:webHidden/>
              </w:rPr>
              <w:t>11</w:t>
            </w:r>
            <w:r w:rsidR="003C0382">
              <w:rPr>
                <w:webHidden/>
              </w:rPr>
              <w:fldChar w:fldCharType="end"/>
            </w:r>
          </w:hyperlink>
        </w:p>
        <w:p w14:paraId="3B5F228E" w14:textId="6888A744"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22" w:history="1">
            <w:r w:rsidR="003C0382" w:rsidRPr="009A2BFC">
              <w:rPr>
                <w:rStyle w:val="Hyperlink"/>
              </w:rPr>
              <w:t>12</w:t>
            </w:r>
            <w:r w:rsidR="003C0382">
              <w:rPr>
                <w:rFonts w:asciiTheme="minorHAnsi" w:eastAsiaTheme="minorEastAsia" w:hAnsiTheme="minorHAnsi" w:cstheme="minorBidi"/>
                <w:b w:val="0"/>
                <w:sz w:val="24"/>
              </w:rPr>
              <w:tab/>
            </w:r>
            <w:r w:rsidR="003C0382" w:rsidRPr="009A2BFC">
              <w:rPr>
                <w:rStyle w:val="Hyperlink"/>
              </w:rPr>
              <w:t>Rights to Cinematographic Works</w:t>
            </w:r>
            <w:r w:rsidR="003C0382">
              <w:rPr>
                <w:webHidden/>
              </w:rPr>
              <w:tab/>
            </w:r>
            <w:r w:rsidR="003C0382">
              <w:rPr>
                <w:webHidden/>
              </w:rPr>
              <w:fldChar w:fldCharType="begin"/>
            </w:r>
            <w:r w:rsidR="003C0382">
              <w:rPr>
                <w:webHidden/>
              </w:rPr>
              <w:instrText xml:space="preserve"> PAGEREF _Toc183087722 \h </w:instrText>
            </w:r>
            <w:r w:rsidR="003C0382">
              <w:rPr>
                <w:webHidden/>
              </w:rPr>
            </w:r>
            <w:r w:rsidR="003C0382">
              <w:rPr>
                <w:webHidden/>
              </w:rPr>
              <w:fldChar w:fldCharType="separate"/>
            </w:r>
            <w:r w:rsidR="003C0382">
              <w:rPr>
                <w:webHidden/>
              </w:rPr>
              <w:t>12</w:t>
            </w:r>
            <w:r w:rsidR="003C0382">
              <w:rPr>
                <w:webHidden/>
              </w:rPr>
              <w:fldChar w:fldCharType="end"/>
            </w:r>
          </w:hyperlink>
        </w:p>
        <w:p w14:paraId="4BBD62D9" w14:textId="455E4F86"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23" w:history="1">
            <w:r w:rsidR="003C0382" w:rsidRPr="009A2BFC">
              <w:rPr>
                <w:rStyle w:val="Hyperlink"/>
              </w:rPr>
              <w:t>13</w:t>
            </w:r>
            <w:r w:rsidR="003C0382">
              <w:rPr>
                <w:rFonts w:asciiTheme="minorHAnsi" w:eastAsiaTheme="minorEastAsia" w:hAnsiTheme="minorHAnsi" w:cstheme="minorBidi"/>
                <w:b w:val="0"/>
                <w:sz w:val="24"/>
              </w:rPr>
              <w:tab/>
            </w:r>
            <w:r w:rsidR="003C0382" w:rsidRPr="009A2BFC">
              <w:rPr>
                <w:rStyle w:val="Hyperlink"/>
              </w:rPr>
              <w:t>Audiovisual Commercial Communications</w:t>
            </w:r>
            <w:r w:rsidR="003C0382">
              <w:rPr>
                <w:webHidden/>
              </w:rPr>
              <w:tab/>
            </w:r>
            <w:r w:rsidR="003C0382">
              <w:rPr>
                <w:webHidden/>
              </w:rPr>
              <w:fldChar w:fldCharType="begin"/>
            </w:r>
            <w:r w:rsidR="003C0382">
              <w:rPr>
                <w:webHidden/>
              </w:rPr>
              <w:instrText xml:space="preserve"> PAGEREF _Toc183087723 \h </w:instrText>
            </w:r>
            <w:r w:rsidR="003C0382">
              <w:rPr>
                <w:webHidden/>
              </w:rPr>
            </w:r>
            <w:r w:rsidR="003C0382">
              <w:rPr>
                <w:webHidden/>
              </w:rPr>
              <w:fldChar w:fldCharType="separate"/>
            </w:r>
            <w:r w:rsidR="003C0382">
              <w:rPr>
                <w:webHidden/>
              </w:rPr>
              <w:t>12</w:t>
            </w:r>
            <w:r w:rsidR="003C0382">
              <w:rPr>
                <w:webHidden/>
              </w:rPr>
              <w:fldChar w:fldCharType="end"/>
            </w:r>
          </w:hyperlink>
        </w:p>
        <w:p w14:paraId="3B8600B0" w14:textId="4DD383A5"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24" w:history="1">
            <w:r w:rsidR="003C0382" w:rsidRPr="009A2BFC">
              <w:rPr>
                <w:rStyle w:val="Hyperlink"/>
              </w:rPr>
              <w:t>14</w:t>
            </w:r>
            <w:r w:rsidR="003C0382">
              <w:rPr>
                <w:rFonts w:asciiTheme="minorHAnsi" w:eastAsiaTheme="minorEastAsia" w:hAnsiTheme="minorHAnsi" w:cstheme="minorBidi"/>
                <w:b w:val="0"/>
                <w:sz w:val="24"/>
              </w:rPr>
              <w:tab/>
            </w:r>
            <w:r w:rsidR="003C0382" w:rsidRPr="009A2BFC">
              <w:rPr>
                <w:rStyle w:val="Hyperlink"/>
              </w:rPr>
              <w:t>Sponsorship</w:t>
            </w:r>
            <w:r w:rsidR="003C0382">
              <w:rPr>
                <w:webHidden/>
              </w:rPr>
              <w:tab/>
            </w:r>
            <w:r w:rsidR="003C0382">
              <w:rPr>
                <w:webHidden/>
              </w:rPr>
              <w:fldChar w:fldCharType="begin"/>
            </w:r>
            <w:r w:rsidR="003C0382">
              <w:rPr>
                <w:webHidden/>
              </w:rPr>
              <w:instrText xml:space="preserve"> PAGEREF _Toc183087724 \h </w:instrText>
            </w:r>
            <w:r w:rsidR="003C0382">
              <w:rPr>
                <w:webHidden/>
              </w:rPr>
            </w:r>
            <w:r w:rsidR="003C0382">
              <w:rPr>
                <w:webHidden/>
              </w:rPr>
              <w:fldChar w:fldCharType="separate"/>
            </w:r>
            <w:r w:rsidR="003C0382">
              <w:rPr>
                <w:webHidden/>
              </w:rPr>
              <w:t>14</w:t>
            </w:r>
            <w:r w:rsidR="003C0382">
              <w:rPr>
                <w:webHidden/>
              </w:rPr>
              <w:fldChar w:fldCharType="end"/>
            </w:r>
          </w:hyperlink>
        </w:p>
        <w:p w14:paraId="1ED54252" w14:textId="4AC47496"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25" w:history="1">
            <w:r w:rsidR="003C0382" w:rsidRPr="009A2BFC">
              <w:rPr>
                <w:rStyle w:val="Hyperlink"/>
              </w:rPr>
              <w:t>15</w:t>
            </w:r>
            <w:r w:rsidR="003C0382">
              <w:rPr>
                <w:rFonts w:asciiTheme="minorHAnsi" w:eastAsiaTheme="minorEastAsia" w:hAnsiTheme="minorHAnsi" w:cstheme="minorBidi"/>
                <w:b w:val="0"/>
                <w:sz w:val="24"/>
              </w:rPr>
              <w:tab/>
            </w:r>
            <w:r w:rsidR="003C0382" w:rsidRPr="009A2BFC">
              <w:rPr>
                <w:rStyle w:val="Hyperlink"/>
              </w:rPr>
              <w:t>Product Placement</w:t>
            </w:r>
            <w:r w:rsidR="003C0382">
              <w:rPr>
                <w:webHidden/>
              </w:rPr>
              <w:tab/>
            </w:r>
            <w:r w:rsidR="003C0382">
              <w:rPr>
                <w:webHidden/>
              </w:rPr>
              <w:fldChar w:fldCharType="begin"/>
            </w:r>
            <w:r w:rsidR="003C0382">
              <w:rPr>
                <w:webHidden/>
              </w:rPr>
              <w:instrText xml:space="preserve"> PAGEREF _Toc183087725 \h </w:instrText>
            </w:r>
            <w:r w:rsidR="003C0382">
              <w:rPr>
                <w:webHidden/>
              </w:rPr>
            </w:r>
            <w:r w:rsidR="003C0382">
              <w:rPr>
                <w:webHidden/>
              </w:rPr>
              <w:fldChar w:fldCharType="separate"/>
            </w:r>
            <w:r w:rsidR="003C0382">
              <w:rPr>
                <w:webHidden/>
              </w:rPr>
              <w:t>15</w:t>
            </w:r>
            <w:r w:rsidR="003C0382">
              <w:rPr>
                <w:webHidden/>
              </w:rPr>
              <w:fldChar w:fldCharType="end"/>
            </w:r>
          </w:hyperlink>
        </w:p>
        <w:p w14:paraId="765E0A38" w14:textId="7A996710" w:rsidR="003C0382" w:rsidRDefault="00546668">
          <w:pPr>
            <w:pStyle w:val="TOC1"/>
            <w:tabs>
              <w:tab w:val="right" w:pos="10600"/>
            </w:tabs>
            <w:rPr>
              <w:rFonts w:asciiTheme="minorHAnsi" w:eastAsiaTheme="minorEastAsia" w:hAnsiTheme="minorHAnsi" w:cstheme="minorBidi"/>
              <w:b w:val="0"/>
              <w:sz w:val="24"/>
            </w:rPr>
          </w:pPr>
          <w:hyperlink w:anchor="_Toc183087726" w:history="1">
            <w:r w:rsidR="003C0382" w:rsidRPr="009A2BFC">
              <w:rPr>
                <w:rStyle w:val="Hyperlink"/>
              </w:rPr>
              <w:t>Media Service Rules Provisions</w:t>
            </w:r>
            <w:r w:rsidR="003C0382">
              <w:rPr>
                <w:webHidden/>
              </w:rPr>
              <w:tab/>
            </w:r>
            <w:r w:rsidR="003C0382">
              <w:rPr>
                <w:webHidden/>
              </w:rPr>
              <w:fldChar w:fldCharType="begin"/>
            </w:r>
            <w:r w:rsidR="003C0382">
              <w:rPr>
                <w:webHidden/>
              </w:rPr>
              <w:instrText xml:space="preserve"> PAGEREF _Toc183087726 \h </w:instrText>
            </w:r>
            <w:r w:rsidR="003C0382">
              <w:rPr>
                <w:webHidden/>
              </w:rPr>
            </w:r>
            <w:r w:rsidR="003C0382">
              <w:rPr>
                <w:webHidden/>
              </w:rPr>
              <w:fldChar w:fldCharType="separate"/>
            </w:r>
            <w:r w:rsidR="003C0382">
              <w:rPr>
                <w:webHidden/>
              </w:rPr>
              <w:t>16</w:t>
            </w:r>
            <w:r w:rsidR="003C0382">
              <w:rPr>
                <w:webHidden/>
              </w:rPr>
              <w:fldChar w:fldCharType="end"/>
            </w:r>
          </w:hyperlink>
        </w:p>
        <w:p w14:paraId="10BAFCA9" w14:textId="489960F3" w:rsidR="003C0382" w:rsidRDefault="00546668">
          <w:pPr>
            <w:pStyle w:val="TOC1"/>
            <w:tabs>
              <w:tab w:val="left" w:pos="1320"/>
              <w:tab w:val="right" w:pos="10600"/>
            </w:tabs>
            <w:rPr>
              <w:rFonts w:asciiTheme="minorHAnsi" w:eastAsiaTheme="minorEastAsia" w:hAnsiTheme="minorHAnsi" w:cstheme="minorBidi"/>
              <w:b w:val="0"/>
              <w:sz w:val="24"/>
            </w:rPr>
          </w:pPr>
          <w:hyperlink w:anchor="_Toc183087727" w:history="1">
            <w:r w:rsidR="003C0382" w:rsidRPr="009A2BFC">
              <w:rPr>
                <w:rStyle w:val="Hyperlink"/>
              </w:rPr>
              <w:t>16</w:t>
            </w:r>
            <w:r w:rsidR="003C0382">
              <w:rPr>
                <w:rFonts w:asciiTheme="minorHAnsi" w:eastAsiaTheme="minorEastAsia" w:hAnsiTheme="minorHAnsi" w:cstheme="minorBidi"/>
                <w:b w:val="0"/>
                <w:sz w:val="24"/>
              </w:rPr>
              <w:tab/>
            </w:r>
            <w:r w:rsidR="003C0382" w:rsidRPr="009A2BFC">
              <w:rPr>
                <w:rStyle w:val="Hyperlink"/>
              </w:rPr>
              <w:t>Accessibility of audiovisual on-demand services</w:t>
            </w:r>
            <w:r w:rsidR="003C0382">
              <w:rPr>
                <w:webHidden/>
              </w:rPr>
              <w:tab/>
            </w:r>
            <w:r w:rsidR="003C0382">
              <w:rPr>
                <w:webHidden/>
              </w:rPr>
              <w:fldChar w:fldCharType="begin"/>
            </w:r>
            <w:r w:rsidR="003C0382">
              <w:rPr>
                <w:webHidden/>
              </w:rPr>
              <w:instrText xml:space="preserve"> PAGEREF _Toc183087727 \h </w:instrText>
            </w:r>
            <w:r w:rsidR="003C0382">
              <w:rPr>
                <w:webHidden/>
              </w:rPr>
            </w:r>
            <w:r w:rsidR="003C0382">
              <w:rPr>
                <w:webHidden/>
              </w:rPr>
              <w:fldChar w:fldCharType="separate"/>
            </w:r>
            <w:r w:rsidR="003C0382">
              <w:rPr>
                <w:webHidden/>
              </w:rPr>
              <w:t>16</w:t>
            </w:r>
            <w:r w:rsidR="003C0382">
              <w:rPr>
                <w:webHidden/>
              </w:rPr>
              <w:fldChar w:fldCharType="end"/>
            </w:r>
          </w:hyperlink>
        </w:p>
        <w:p w14:paraId="707B8BAD" w14:textId="68EDA5B5" w:rsidR="003C0382" w:rsidRDefault="00546668">
          <w:pPr>
            <w:pStyle w:val="TOC1"/>
            <w:tabs>
              <w:tab w:val="right" w:pos="10600"/>
            </w:tabs>
            <w:rPr>
              <w:rFonts w:asciiTheme="minorHAnsi" w:eastAsiaTheme="minorEastAsia" w:hAnsiTheme="minorHAnsi" w:cstheme="minorBidi"/>
              <w:b w:val="0"/>
              <w:sz w:val="24"/>
            </w:rPr>
          </w:pPr>
          <w:hyperlink w:anchor="_Toc183087728" w:history="1">
            <w:r w:rsidR="003C0382" w:rsidRPr="009A2BFC">
              <w:rPr>
                <w:rStyle w:val="Hyperlink"/>
              </w:rPr>
              <w:t>Guidance</w:t>
            </w:r>
            <w:r w:rsidR="003C0382">
              <w:rPr>
                <w:webHidden/>
              </w:rPr>
              <w:tab/>
            </w:r>
            <w:r w:rsidR="003C0382">
              <w:rPr>
                <w:webHidden/>
              </w:rPr>
              <w:fldChar w:fldCharType="begin"/>
            </w:r>
            <w:r w:rsidR="003C0382">
              <w:rPr>
                <w:webHidden/>
              </w:rPr>
              <w:instrText xml:space="preserve"> PAGEREF _Toc183087728 \h </w:instrText>
            </w:r>
            <w:r w:rsidR="003C0382">
              <w:rPr>
                <w:webHidden/>
              </w:rPr>
            </w:r>
            <w:r w:rsidR="003C0382">
              <w:rPr>
                <w:webHidden/>
              </w:rPr>
              <w:fldChar w:fldCharType="separate"/>
            </w:r>
            <w:r w:rsidR="003C0382">
              <w:rPr>
                <w:webHidden/>
              </w:rPr>
              <w:t>19</w:t>
            </w:r>
            <w:r w:rsidR="003C0382">
              <w:rPr>
                <w:webHidden/>
              </w:rPr>
              <w:fldChar w:fldCharType="end"/>
            </w:r>
          </w:hyperlink>
        </w:p>
        <w:p w14:paraId="4EAA5319" w14:textId="3B6095A9" w:rsidR="003C0382" w:rsidRDefault="00546668">
          <w:pPr>
            <w:pStyle w:val="TOC1"/>
            <w:tabs>
              <w:tab w:val="right" w:pos="10600"/>
            </w:tabs>
            <w:rPr>
              <w:rFonts w:asciiTheme="minorHAnsi" w:eastAsiaTheme="minorEastAsia" w:hAnsiTheme="minorHAnsi" w:cstheme="minorBidi"/>
              <w:b w:val="0"/>
              <w:sz w:val="24"/>
            </w:rPr>
          </w:pPr>
          <w:hyperlink w:anchor="_Toc183087729" w:history="1">
            <w:r w:rsidR="003C0382" w:rsidRPr="009A2BFC">
              <w:rPr>
                <w:rStyle w:val="Hyperlink"/>
              </w:rPr>
              <w:t>Influencing Factors</w:t>
            </w:r>
            <w:r w:rsidR="003C0382">
              <w:rPr>
                <w:webHidden/>
              </w:rPr>
              <w:tab/>
            </w:r>
            <w:r w:rsidR="003C0382">
              <w:rPr>
                <w:webHidden/>
              </w:rPr>
              <w:fldChar w:fldCharType="begin"/>
            </w:r>
            <w:r w:rsidR="003C0382">
              <w:rPr>
                <w:webHidden/>
              </w:rPr>
              <w:instrText xml:space="preserve"> PAGEREF _Toc183087729 \h </w:instrText>
            </w:r>
            <w:r w:rsidR="003C0382">
              <w:rPr>
                <w:webHidden/>
              </w:rPr>
            </w:r>
            <w:r w:rsidR="003C0382">
              <w:rPr>
                <w:webHidden/>
              </w:rPr>
              <w:fldChar w:fldCharType="separate"/>
            </w:r>
            <w:r w:rsidR="003C0382">
              <w:rPr>
                <w:webHidden/>
              </w:rPr>
              <w:t>19</w:t>
            </w:r>
            <w:r w:rsidR="003C0382">
              <w:rPr>
                <w:webHidden/>
              </w:rPr>
              <w:fldChar w:fldCharType="end"/>
            </w:r>
          </w:hyperlink>
        </w:p>
        <w:p w14:paraId="73E94B53" w14:textId="7742CB9B" w:rsidR="0006113D" w:rsidRDefault="00546668">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546668">
      <w:pPr>
        <w:pStyle w:val="Heading1"/>
        <w:numPr>
          <w:ilvl w:val="0"/>
          <w:numId w:val="14"/>
        </w:numPr>
        <w:tabs>
          <w:tab w:val="left" w:pos="1853"/>
        </w:tabs>
        <w:spacing w:before="23"/>
      </w:pPr>
      <w:bookmarkStart w:id="0" w:name="_Toc183087706"/>
      <w:r>
        <w:rPr>
          <w:color w:val="391200"/>
        </w:rPr>
        <w:lastRenderedPageBreak/>
        <w:t>Johdanto</w:t>
      </w:r>
      <w:bookmarkEnd w:id="0"/>
    </w:p>
    <w:p w14:paraId="10A3A067" w14:textId="77777777" w:rsidR="0006113D" w:rsidRDefault="00546668">
      <w:pPr>
        <w:pStyle w:val="ListParagraph"/>
        <w:numPr>
          <w:ilvl w:val="1"/>
          <w:numId w:val="14"/>
        </w:numPr>
        <w:tabs>
          <w:tab w:val="left" w:pos="1851"/>
          <w:tab w:val="left" w:pos="1853"/>
        </w:tabs>
        <w:spacing w:before="278" w:line="292" w:lineRule="auto"/>
        <w:ind w:right="859"/>
        <w:jc w:val="both"/>
        <w:rPr>
          <w:sz w:val="20"/>
        </w:rPr>
      </w:pPr>
      <w:r>
        <w:rPr>
          <w:sz w:val="20"/>
        </w:rPr>
        <w:t>Vuoden 2009 yleisradiolain, sellaisena kuin se on muutettuna verkkoturvallisuudesta ja tiedotusvälineiden sääntelystä annetulla vuoden 2022 lailla, (jäljempänä ’</w:t>
      </w:r>
      <w:r>
        <w:rPr>
          <w:b/>
          <w:sz w:val="20"/>
        </w:rPr>
        <w:t>laki</w:t>
      </w:r>
      <w:r>
        <w:rPr>
          <w:sz w:val="20"/>
        </w:rPr>
        <w:t>’) 46N §:n 1 momentin ja 46O §:n 1 ja 5 momentin mukaan tiedotusvälinekomissio [</w:t>
      </w:r>
      <w:proofErr w:type="spellStart"/>
      <w:r>
        <w:rPr>
          <w:sz w:val="20"/>
        </w:rPr>
        <w:t>Coimisiún</w:t>
      </w:r>
      <w:proofErr w:type="spellEnd"/>
      <w:r>
        <w:rPr>
          <w:sz w:val="20"/>
        </w:rPr>
        <w:t xml:space="preserve"> </w:t>
      </w:r>
      <w:proofErr w:type="spellStart"/>
      <w:r>
        <w:rPr>
          <w:sz w:val="20"/>
        </w:rPr>
        <w:t>n</w:t>
      </w:r>
      <w:r>
        <w:rPr>
          <w:sz w:val="20"/>
        </w:rPr>
        <w:t>a</w:t>
      </w:r>
      <w:proofErr w:type="spellEnd"/>
      <w:r>
        <w:rPr>
          <w:sz w:val="20"/>
        </w:rPr>
        <w:t xml:space="preserve"> </w:t>
      </w:r>
      <w:proofErr w:type="spellStart"/>
      <w:r>
        <w:rPr>
          <w:sz w:val="20"/>
        </w:rPr>
        <w:t>Meán</w:t>
      </w:r>
      <w:proofErr w:type="spellEnd"/>
      <w:r>
        <w:rPr>
          <w:sz w:val="20"/>
        </w:rPr>
        <w:t>] (jäljempänä ’</w:t>
      </w:r>
      <w:r>
        <w:rPr>
          <w:b/>
          <w:sz w:val="20"/>
        </w:rPr>
        <w:t>komissio</w:t>
      </w:r>
      <w:r>
        <w:rPr>
          <w:sz w:val="20"/>
        </w:rPr>
        <w:t>’) voi antaa säännöstöjä ja sääntöjä (</w:t>
      </w:r>
      <w:r>
        <w:rPr>
          <w:b/>
          <w:sz w:val="20"/>
        </w:rPr>
        <w:t>jäljempänä ’mediapalvelusäännöstöt’ ja ’mediapalvelusäännöt</w:t>
      </w:r>
      <w:r>
        <w:rPr>
          <w:sz w:val="20"/>
        </w:rPr>
        <w:t>’), joilla säännellään lähetystoiminnan harjoittajien ja tilattavien audiovisuaalisten mediapalvelujen tarjoajien standardeja ja k</w:t>
      </w:r>
      <w:r>
        <w:rPr>
          <w:sz w:val="20"/>
        </w:rPr>
        <w:t>äytäntöjä.</w:t>
      </w:r>
    </w:p>
    <w:p w14:paraId="704D3BFF" w14:textId="77777777" w:rsidR="0006113D" w:rsidRDefault="0006113D">
      <w:pPr>
        <w:pStyle w:val="BodyText"/>
        <w:spacing w:before="6"/>
      </w:pPr>
    </w:p>
    <w:p w14:paraId="5E03A8C2" w14:textId="77777777" w:rsidR="0006113D" w:rsidRDefault="00546668">
      <w:pPr>
        <w:pStyle w:val="ListParagraph"/>
        <w:numPr>
          <w:ilvl w:val="1"/>
          <w:numId w:val="14"/>
        </w:numPr>
        <w:tabs>
          <w:tab w:val="left" w:pos="1851"/>
          <w:tab w:val="left" w:pos="1853"/>
        </w:tabs>
        <w:spacing w:line="292" w:lineRule="auto"/>
        <w:ind w:right="859"/>
        <w:jc w:val="both"/>
        <w:rPr>
          <w:sz w:val="20"/>
        </w:rPr>
      </w:pPr>
      <w:r>
        <w:rPr>
          <w:sz w:val="20"/>
        </w:rPr>
        <w:t>Lain 46N §:n 5 momentin mukaan komissio vahvistaa mediapalvelusäännöstöt, joissa säädetään seikoista, joista on säädettävä direktiivin (EU) 2010/13 (sellaisena kuin se on muutettuna direktiivillä (EU) 2018/1808) (jäljempänä ’</w:t>
      </w:r>
      <w:r>
        <w:rPr>
          <w:b/>
          <w:sz w:val="20"/>
        </w:rPr>
        <w:t>audiovisuaalisia me</w:t>
      </w:r>
      <w:r>
        <w:rPr>
          <w:b/>
          <w:sz w:val="20"/>
        </w:rPr>
        <w:t>diapalveluja koskeva direktiivi</w:t>
      </w:r>
      <w:r>
        <w:rPr>
          <w:sz w:val="20"/>
        </w:rPr>
        <w:t>’) 5 artiklan, 6 artiklan 1 kohdan, 6 a artiklan 1–3 kohdan sekä 7 b, 8, 9, 10 ja 11 artiklan mukaisesti (paitsi siltä osin kuin niistä säädetään mediapalvelusäännöissä).</w:t>
      </w:r>
    </w:p>
    <w:p w14:paraId="4D6E15E2" w14:textId="77777777" w:rsidR="0006113D" w:rsidRDefault="0006113D">
      <w:pPr>
        <w:pStyle w:val="BodyText"/>
        <w:spacing w:before="7"/>
      </w:pPr>
    </w:p>
    <w:p w14:paraId="134A5F2A" w14:textId="77777777" w:rsidR="0006113D" w:rsidRDefault="00546668">
      <w:pPr>
        <w:pStyle w:val="ListParagraph"/>
        <w:numPr>
          <w:ilvl w:val="1"/>
          <w:numId w:val="14"/>
        </w:numPr>
        <w:tabs>
          <w:tab w:val="left" w:pos="1851"/>
          <w:tab w:val="left" w:pos="1853"/>
        </w:tabs>
        <w:spacing w:line="292" w:lineRule="auto"/>
        <w:ind w:right="860"/>
        <w:jc w:val="both"/>
        <w:rPr>
          <w:sz w:val="20"/>
        </w:rPr>
      </w:pPr>
      <w:r>
        <w:rPr>
          <w:sz w:val="20"/>
        </w:rPr>
        <w:t>Lain 46O §:n 9 momentin mukaan mediapalvelusäännöissä</w:t>
      </w:r>
      <w:r>
        <w:rPr>
          <w:sz w:val="20"/>
        </w:rPr>
        <w:t xml:space="preserve"> on säädettävä seikoista, joista on säädettävä audiovisuaalisia mediapalveluja koskevan direktiivin 6 artiklan 1 kohdan, 6 a artiklan 1 kohdan sekä 7, 7 b, 8, 9, 10 ja 11 artiklan, VI luvun sekä 23 artiklan 2 kohdan ja 24 ja 25 artiklan mukaisesti (paitsi </w:t>
      </w:r>
      <w:r>
        <w:rPr>
          <w:sz w:val="20"/>
        </w:rPr>
        <w:t>siltä osin kuin niistä säädetään mediapalvelusäännöstöissä).</w:t>
      </w:r>
    </w:p>
    <w:p w14:paraId="27317C7E" w14:textId="77777777" w:rsidR="0006113D" w:rsidRDefault="0006113D">
      <w:pPr>
        <w:pStyle w:val="BodyText"/>
        <w:spacing w:before="9"/>
      </w:pPr>
    </w:p>
    <w:p w14:paraId="3081A406" w14:textId="3D6FC1D2" w:rsidR="0006113D" w:rsidRDefault="00546668">
      <w:pPr>
        <w:pStyle w:val="ListParagraph"/>
        <w:numPr>
          <w:ilvl w:val="1"/>
          <w:numId w:val="14"/>
        </w:numPr>
        <w:tabs>
          <w:tab w:val="left" w:pos="1851"/>
          <w:tab w:val="left" w:pos="1853"/>
        </w:tabs>
        <w:spacing w:line="292" w:lineRule="auto"/>
        <w:ind w:right="863"/>
        <w:jc w:val="both"/>
        <w:rPr>
          <w:sz w:val="20"/>
        </w:rPr>
      </w:pPr>
      <w:r>
        <w:rPr>
          <w:sz w:val="20"/>
        </w:rPr>
        <w:t>Komissio on laatinut edellä mainittujen lakisääteisten tehtäviensä ja velvoitteidensa mukaisesti tämän mediapalvelusäännöstön (jäljempänä ’</w:t>
      </w:r>
      <w:r>
        <w:rPr>
          <w:b/>
          <w:sz w:val="20"/>
        </w:rPr>
        <w:t>säännöstö</w:t>
      </w:r>
      <w:r>
        <w:rPr>
          <w:sz w:val="20"/>
        </w:rPr>
        <w:t>’) ja nämä mediapalvelusäännöt (jäljempänä ’</w:t>
      </w:r>
      <w:r>
        <w:rPr>
          <w:b/>
          <w:sz w:val="20"/>
        </w:rPr>
        <w:t>sä</w:t>
      </w:r>
      <w:r>
        <w:rPr>
          <w:b/>
          <w:sz w:val="20"/>
        </w:rPr>
        <w:t>ännöt</w:t>
      </w:r>
      <w:r>
        <w:rPr>
          <w:sz w:val="20"/>
        </w:rPr>
        <w:t>’).</w:t>
      </w:r>
      <w:r w:rsidR="003C0382">
        <w:rPr>
          <w:rStyle w:val="FootnoteReference"/>
          <w:sz w:val="20"/>
        </w:rPr>
        <w:footnoteReference w:id="1"/>
      </w:r>
      <w:r>
        <w:rPr>
          <w:sz w:val="13"/>
        </w:rPr>
        <w:t xml:space="preserve"> </w:t>
      </w:r>
      <w:r>
        <w:rPr>
          <w:sz w:val="20"/>
        </w:rPr>
        <w:t>Säännöstö ja säännöt tulevat voimaan 5. marraskuuta 2024.</w:t>
      </w:r>
    </w:p>
    <w:p w14:paraId="787E4122" w14:textId="77777777" w:rsidR="0006113D" w:rsidRDefault="0006113D">
      <w:pPr>
        <w:pStyle w:val="BodyText"/>
        <w:spacing w:before="182"/>
      </w:pPr>
    </w:p>
    <w:p w14:paraId="1E95B615" w14:textId="77777777" w:rsidR="0006113D" w:rsidRDefault="00546668">
      <w:pPr>
        <w:pStyle w:val="Heading1"/>
        <w:numPr>
          <w:ilvl w:val="0"/>
          <w:numId w:val="14"/>
        </w:numPr>
        <w:tabs>
          <w:tab w:val="left" w:pos="1853"/>
        </w:tabs>
      </w:pPr>
      <w:bookmarkStart w:id="1" w:name="_Toc183087707"/>
      <w:r>
        <w:rPr>
          <w:color w:val="391200"/>
        </w:rPr>
        <w:t>Soveltamisala ja lainkäyttövalta</w:t>
      </w:r>
      <w:bookmarkEnd w:id="1"/>
    </w:p>
    <w:p w14:paraId="7076F980" w14:textId="77777777" w:rsidR="0006113D" w:rsidRDefault="0006113D">
      <w:pPr>
        <w:pStyle w:val="BodyText"/>
        <w:spacing w:before="98"/>
        <w:rPr>
          <w:rFonts w:ascii="Georgia"/>
          <w:b/>
          <w:sz w:val="36"/>
        </w:rPr>
      </w:pPr>
    </w:p>
    <w:p w14:paraId="1F4E9458" w14:textId="77777777" w:rsidR="0006113D" w:rsidRDefault="00546668">
      <w:pPr>
        <w:pStyle w:val="ListParagraph"/>
        <w:numPr>
          <w:ilvl w:val="1"/>
          <w:numId w:val="14"/>
        </w:numPr>
        <w:tabs>
          <w:tab w:val="left" w:pos="1850"/>
          <w:tab w:val="left" w:pos="1853"/>
        </w:tabs>
        <w:spacing w:line="292" w:lineRule="auto"/>
        <w:ind w:right="859" w:hanging="776"/>
        <w:jc w:val="both"/>
        <w:rPr>
          <w:sz w:val="20"/>
        </w:rPr>
      </w:pPr>
      <w:r>
        <w:rPr>
          <w:sz w:val="20"/>
        </w:rPr>
        <w:t>Säännöstöllä ja säännöillä pannaan täytäntöön audiovisuaalisia mediapalveluja koskevan direktiivin 5 artikla, 6 artiklan 1 kohta, 6 a artiklan 1–3 kohta sekä 7, 8, 9, 10 ja 11 artikla Irlannissa siltä osin kuin ne koskevat tilattavia audiovisuaalisia media</w:t>
      </w:r>
      <w:r>
        <w:rPr>
          <w:sz w:val="20"/>
        </w:rPr>
        <w:t>palveluja.</w:t>
      </w:r>
    </w:p>
    <w:p w14:paraId="249DBCBA" w14:textId="77777777" w:rsidR="0006113D" w:rsidRDefault="0006113D">
      <w:pPr>
        <w:pStyle w:val="BodyText"/>
        <w:spacing w:before="8"/>
      </w:pPr>
    </w:p>
    <w:p w14:paraId="525DED5B" w14:textId="77777777" w:rsidR="0006113D" w:rsidRDefault="00546668">
      <w:pPr>
        <w:pStyle w:val="ListParagraph"/>
        <w:numPr>
          <w:ilvl w:val="1"/>
          <w:numId w:val="14"/>
        </w:numPr>
        <w:tabs>
          <w:tab w:val="left" w:pos="1850"/>
          <w:tab w:val="left" w:pos="1853"/>
        </w:tabs>
        <w:spacing w:line="292" w:lineRule="auto"/>
        <w:ind w:right="871" w:hanging="776"/>
        <w:jc w:val="both"/>
        <w:rPr>
          <w:sz w:val="20"/>
        </w:rPr>
      </w:pPr>
      <w:r>
        <w:rPr>
          <w:sz w:val="20"/>
        </w:rPr>
        <w:t>Säännöstöä ja sääntöjä sovelletaan vastaavasti mediapalvelun tarjoajiin, jotka tarjoavat tilattavia audiovisuaalisia mediapalveluja.</w:t>
      </w:r>
    </w:p>
    <w:p w14:paraId="7867A854" w14:textId="77777777" w:rsidR="0006113D" w:rsidRDefault="0006113D">
      <w:pPr>
        <w:pStyle w:val="BodyText"/>
        <w:spacing w:before="11"/>
      </w:pPr>
    </w:p>
    <w:p w14:paraId="3BB18A6A" w14:textId="77777777" w:rsidR="0006113D" w:rsidRDefault="00546668">
      <w:pPr>
        <w:pStyle w:val="ListParagraph"/>
        <w:numPr>
          <w:ilvl w:val="1"/>
          <w:numId w:val="14"/>
        </w:numPr>
        <w:tabs>
          <w:tab w:val="left" w:pos="1850"/>
          <w:tab w:val="left" w:pos="1853"/>
        </w:tabs>
        <w:spacing w:line="292" w:lineRule="auto"/>
        <w:ind w:right="859" w:hanging="776"/>
        <w:jc w:val="both"/>
        <w:rPr>
          <w:sz w:val="20"/>
        </w:rPr>
      </w:pPr>
      <w:r>
        <w:rPr>
          <w:sz w:val="20"/>
        </w:rPr>
        <w:t>Säännöstöä ja sääntöjä sovelletaan ainoastaan tilattavia audiovisuaalisia mediapalveluja tarjoaviin mediapalve</w:t>
      </w:r>
      <w:r>
        <w:rPr>
          <w:sz w:val="20"/>
        </w:rPr>
        <w:t>lun tarjoajiin, jotka kuuluvat valtion lainkäyttövaltaan lain 2A §:n mukaisesti.</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546668">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3087708"/>
      <w:bookmarkEnd w:id="2"/>
      <w:r>
        <w:rPr>
          <w:color w:val="391200"/>
        </w:rPr>
        <w:t>Säännöstön ja sääntöjen tarkoitus, laadinta ja soveltaminen</w:t>
      </w:r>
      <w:bookmarkEnd w:id="3"/>
    </w:p>
    <w:p w14:paraId="12662DF9" w14:textId="77777777" w:rsidR="0006113D" w:rsidRDefault="00546668">
      <w:pPr>
        <w:pStyle w:val="Heading2"/>
        <w:spacing w:before="329"/>
        <w:ind w:left="1853"/>
      </w:pPr>
      <w:bookmarkStart w:id="4" w:name="_Toc183087709"/>
      <w:r>
        <w:rPr>
          <w:color w:val="391200"/>
        </w:rPr>
        <w:t>Tarkoitus</w:t>
      </w:r>
      <w:bookmarkEnd w:id="4"/>
    </w:p>
    <w:p w14:paraId="74FE5271" w14:textId="77777777" w:rsidR="0006113D" w:rsidRDefault="00546668">
      <w:pPr>
        <w:pStyle w:val="ListParagraph"/>
        <w:numPr>
          <w:ilvl w:val="1"/>
          <w:numId w:val="14"/>
        </w:numPr>
        <w:tabs>
          <w:tab w:val="left" w:pos="1850"/>
          <w:tab w:val="left" w:pos="1853"/>
        </w:tabs>
        <w:spacing w:before="270" w:line="292" w:lineRule="auto"/>
        <w:ind w:right="860"/>
        <w:jc w:val="both"/>
        <w:rPr>
          <w:sz w:val="20"/>
        </w:rPr>
      </w:pPr>
      <w:r>
        <w:rPr>
          <w:sz w:val="20"/>
        </w:rPr>
        <w:t>Säännösten ja sääntöjen tarkoituksena on varmistaa, että tilattavia audiovisuaalisia mediapalveluja tarjoavat mediapalvelun tarjoajat, jotka kuuluvat valtion lainkäyttövaltaan, noudattavat audiovisuaalisia mediapalveluja koskevan direktiivin 5 artiklan, 6 </w:t>
      </w:r>
      <w:r>
        <w:rPr>
          <w:sz w:val="20"/>
        </w:rPr>
        <w:t>artiklan 1 kohdan, 6 a artiklan 1–3 kohdan sekä 7, 8, 9, 10 ja 11 artiklan vaatimuksia.</w:t>
      </w:r>
    </w:p>
    <w:p w14:paraId="5BADA09A" w14:textId="77777777" w:rsidR="0006113D" w:rsidRDefault="00546668">
      <w:pPr>
        <w:pStyle w:val="Heading2"/>
        <w:ind w:left="1853"/>
      </w:pPr>
      <w:bookmarkStart w:id="5" w:name="_Toc183087710"/>
      <w:r>
        <w:rPr>
          <w:color w:val="391200"/>
        </w:rPr>
        <w:t>Säännöstön ja sääntöjen laadinta</w:t>
      </w:r>
      <w:bookmarkEnd w:id="5"/>
    </w:p>
    <w:p w14:paraId="2EF70EFC" w14:textId="77777777" w:rsidR="0006113D" w:rsidRDefault="00546668">
      <w:pPr>
        <w:pStyle w:val="ListParagraph"/>
        <w:numPr>
          <w:ilvl w:val="1"/>
          <w:numId w:val="14"/>
        </w:numPr>
        <w:tabs>
          <w:tab w:val="left" w:pos="1850"/>
          <w:tab w:val="left" w:pos="1853"/>
        </w:tabs>
        <w:spacing w:before="269" w:line="292" w:lineRule="auto"/>
        <w:ind w:right="870"/>
        <w:jc w:val="both"/>
        <w:rPr>
          <w:sz w:val="20"/>
        </w:rPr>
      </w:pPr>
      <w:r>
        <w:rPr>
          <w:sz w:val="20"/>
        </w:rPr>
        <w:t>Lain 46 N §:n 6 momentin mukaan komissio on ottanut säännöstöä laatiessaan huomioon seuraavat seikat: -</w:t>
      </w:r>
    </w:p>
    <w:p w14:paraId="5706A79F" w14:textId="77777777" w:rsidR="0006113D" w:rsidRDefault="0006113D">
      <w:pPr>
        <w:pStyle w:val="BodyText"/>
        <w:spacing w:before="11"/>
      </w:pPr>
    </w:p>
    <w:p w14:paraId="355962F1" w14:textId="77777777" w:rsidR="0006113D" w:rsidRDefault="00546668">
      <w:pPr>
        <w:pStyle w:val="ListParagraph"/>
        <w:numPr>
          <w:ilvl w:val="2"/>
          <w:numId w:val="14"/>
        </w:numPr>
        <w:tabs>
          <w:tab w:val="left" w:pos="2705"/>
        </w:tabs>
        <w:spacing w:line="271" w:lineRule="auto"/>
        <w:ind w:right="863"/>
        <w:rPr>
          <w:sz w:val="20"/>
        </w:rPr>
      </w:pPr>
      <w:r>
        <w:rPr>
          <w:sz w:val="20"/>
        </w:rPr>
        <w:t>tietyn seikan sisällyttämisest</w:t>
      </w:r>
      <w:r>
        <w:rPr>
          <w:sz w:val="20"/>
        </w:rPr>
        <w:t>ä ohjelmaan todennäköisesti aiheutuvan vahingon tai rikkomuksen aste;</w:t>
      </w:r>
    </w:p>
    <w:p w14:paraId="41358BC5" w14:textId="77777777" w:rsidR="0006113D" w:rsidRDefault="0006113D">
      <w:pPr>
        <w:pStyle w:val="BodyText"/>
        <w:spacing w:before="32"/>
      </w:pPr>
    </w:p>
    <w:p w14:paraId="3E3FE4B3" w14:textId="77777777" w:rsidR="0006113D" w:rsidRDefault="00546668">
      <w:pPr>
        <w:pStyle w:val="ListParagraph"/>
        <w:numPr>
          <w:ilvl w:val="2"/>
          <w:numId w:val="14"/>
        </w:numPr>
        <w:tabs>
          <w:tab w:val="left" w:pos="2705"/>
        </w:tabs>
        <w:jc w:val="left"/>
        <w:rPr>
          <w:sz w:val="20"/>
        </w:rPr>
      </w:pPr>
      <w:r>
        <w:rPr>
          <w:sz w:val="20"/>
        </w:rPr>
        <w:t>ohjelman mahdollisen yleisön todennäköinen koko ja koostumus;</w:t>
      </w:r>
    </w:p>
    <w:p w14:paraId="34358297" w14:textId="77777777" w:rsidR="0006113D" w:rsidRDefault="0006113D">
      <w:pPr>
        <w:pStyle w:val="BodyText"/>
        <w:spacing w:before="43"/>
      </w:pPr>
    </w:p>
    <w:p w14:paraId="03DFB35A" w14:textId="77777777" w:rsidR="0006113D" w:rsidRDefault="00546668">
      <w:pPr>
        <w:pStyle w:val="ListParagraph"/>
        <w:numPr>
          <w:ilvl w:val="2"/>
          <w:numId w:val="14"/>
        </w:numPr>
        <w:tabs>
          <w:tab w:val="left" w:pos="2705"/>
        </w:tabs>
        <w:spacing w:line="280" w:lineRule="auto"/>
        <w:ind w:right="864"/>
        <w:rPr>
          <w:sz w:val="20"/>
        </w:rPr>
      </w:pPr>
      <w:r>
        <w:rPr>
          <w:sz w:val="20"/>
        </w:rPr>
        <w:t>yleisön todennäköiset odotukset ohjelman luonteesta ja laajuus, jossa ohjelman luonne voidaan saattaa mahdollisten katsoji</w:t>
      </w:r>
      <w:r>
        <w:rPr>
          <w:sz w:val="20"/>
        </w:rPr>
        <w:t>en tietoon;</w:t>
      </w:r>
    </w:p>
    <w:p w14:paraId="37F024AA" w14:textId="77777777" w:rsidR="0006113D" w:rsidRDefault="0006113D">
      <w:pPr>
        <w:pStyle w:val="BodyText"/>
        <w:spacing w:before="25"/>
      </w:pPr>
    </w:p>
    <w:p w14:paraId="12BB649A" w14:textId="77777777" w:rsidR="0006113D" w:rsidRDefault="00546668">
      <w:pPr>
        <w:pStyle w:val="ListParagraph"/>
        <w:numPr>
          <w:ilvl w:val="2"/>
          <w:numId w:val="14"/>
        </w:numPr>
        <w:tabs>
          <w:tab w:val="left" w:pos="2705"/>
        </w:tabs>
        <w:spacing w:line="271" w:lineRule="auto"/>
        <w:ind w:right="863"/>
        <w:rPr>
          <w:sz w:val="20"/>
        </w:rPr>
      </w:pPr>
      <w:r>
        <w:rPr>
          <w:sz w:val="20"/>
        </w:rPr>
        <w:t>todennäköisyys sille, että henkilöt, jotka eivät ole tietoisia ohjelman luonteesta, altistuvat sille tahattomasti omien toimiensa vuoksi;</w:t>
      </w:r>
    </w:p>
    <w:p w14:paraId="3A0F2F6D" w14:textId="77777777" w:rsidR="0006113D" w:rsidRDefault="0006113D">
      <w:pPr>
        <w:pStyle w:val="BodyText"/>
        <w:spacing w:before="32"/>
      </w:pPr>
    </w:p>
    <w:p w14:paraId="739B4D60" w14:textId="77777777" w:rsidR="0006113D" w:rsidRDefault="00546668">
      <w:pPr>
        <w:pStyle w:val="ListParagraph"/>
        <w:numPr>
          <w:ilvl w:val="2"/>
          <w:numId w:val="14"/>
        </w:numPr>
        <w:tabs>
          <w:tab w:val="left" w:pos="2705"/>
        </w:tabs>
        <w:spacing w:before="1" w:line="285" w:lineRule="auto"/>
        <w:ind w:right="864"/>
        <w:rPr>
          <w:sz w:val="20"/>
        </w:rPr>
      </w:pPr>
      <w:r>
        <w:rPr>
          <w:sz w:val="20"/>
        </w:rPr>
        <w:t>suotavuus varmistaa, että yleisradiopalvelun tai tilattavan audiovisuaalisen mediapalvelun tarjoaja ilmoittaa komissiolle kaikista palvelun luonteeseen vaikuttavista muutoksista ja erityisesti kaikista mediapalvelusäännöstöjen soveltamisen kannalta merkity</w:t>
      </w:r>
      <w:r>
        <w:rPr>
          <w:sz w:val="20"/>
        </w:rPr>
        <w:t>ksellisistä muutoksista;</w:t>
      </w:r>
    </w:p>
    <w:p w14:paraId="27F4417B" w14:textId="77777777" w:rsidR="0006113D" w:rsidRDefault="0006113D">
      <w:pPr>
        <w:pStyle w:val="BodyText"/>
        <w:spacing w:before="18"/>
      </w:pPr>
    </w:p>
    <w:p w14:paraId="6080CAD9" w14:textId="77777777" w:rsidR="0006113D" w:rsidRDefault="00546668">
      <w:pPr>
        <w:pStyle w:val="ListParagraph"/>
        <w:numPr>
          <w:ilvl w:val="2"/>
          <w:numId w:val="14"/>
        </w:numPr>
        <w:tabs>
          <w:tab w:val="left" w:pos="2705"/>
        </w:tabs>
        <w:spacing w:line="271" w:lineRule="auto"/>
        <w:ind w:right="868"/>
        <w:rPr>
          <w:sz w:val="20"/>
        </w:rPr>
      </w:pPr>
      <w:r>
        <w:rPr>
          <w:sz w:val="20"/>
        </w:rPr>
        <w:t>suotavuus säilyttää ohjelmien toimituksellisen valvonnan riippumattomuus.</w:t>
      </w:r>
    </w:p>
    <w:p w14:paraId="47F2C564" w14:textId="77777777" w:rsidR="0006113D" w:rsidRDefault="0006113D">
      <w:pPr>
        <w:pStyle w:val="BodyText"/>
        <w:spacing w:before="32"/>
      </w:pPr>
    </w:p>
    <w:p w14:paraId="478B7002" w14:textId="77777777" w:rsidR="0006113D" w:rsidRDefault="00546668">
      <w:pPr>
        <w:pStyle w:val="ListParagraph"/>
        <w:numPr>
          <w:ilvl w:val="1"/>
          <w:numId w:val="14"/>
        </w:numPr>
        <w:tabs>
          <w:tab w:val="left" w:pos="1850"/>
          <w:tab w:val="left" w:pos="1853"/>
        </w:tabs>
        <w:spacing w:line="292" w:lineRule="auto"/>
        <w:ind w:right="866"/>
        <w:jc w:val="both"/>
        <w:rPr>
          <w:sz w:val="20"/>
        </w:rPr>
      </w:pPr>
      <w:r>
        <w:rPr>
          <w:sz w:val="20"/>
        </w:rPr>
        <w:t>Säännöstö ja säännöt on laadittu lain 46Q §:ssä säädettyjen menettelyjen mukaisesti.</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546668">
      <w:pPr>
        <w:pStyle w:val="Heading1"/>
        <w:numPr>
          <w:ilvl w:val="0"/>
          <w:numId w:val="14"/>
        </w:numPr>
        <w:tabs>
          <w:tab w:val="left" w:pos="1853"/>
          <w:tab w:val="left" w:pos="1855"/>
        </w:tabs>
        <w:spacing w:line="206" w:lineRule="auto"/>
        <w:ind w:left="1855" w:right="861" w:hanging="852"/>
        <w:jc w:val="both"/>
      </w:pPr>
      <w:bookmarkStart w:id="6" w:name="_Toc183087711"/>
      <w:r>
        <w:rPr>
          <w:color w:val="391200"/>
        </w:rPr>
        <w:t>Säännöstön ja sääntöjen kannalta merkitykselliset sääntelyperiaattee</w:t>
      </w:r>
      <w:r>
        <w:rPr>
          <w:color w:val="391200"/>
        </w:rPr>
        <w:t>t</w:t>
      </w:r>
      <w:bookmarkEnd w:id="6"/>
    </w:p>
    <w:p w14:paraId="30A91B59" w14:textId="77777777" w:rsidR="0006113D" w:rsidRDefault="00546668">
      <w:pPr>
        <w:pStyle w:val="ListParagraph"/>
        <w:numPr>
          <w:ilvl w:val="1"/>
          <w:numId w:val="14"/>
        </w:numPr>
        <w:tabs>
          <w:tab w:val="left" w:pos="1850"/>
          <w:tab w:val="left" w:pos="1853"/>
        </w:tabs>
        <w:spacing w:before="276" w:line="292" w:lineRule="auto"/>
        <w:ind w:right="869" w:hanging="850"/>
        <w:jc w:val="both"/>
        <w:rPr>
          <w:sz w:val="20"/>
        </w:rPr>
      </w:pPr>
      <w:r>
        <w:rPr>
          <w:sz w:val="20"/>
        </w:rPr>
        <w:t>Tulkitessaan ja soveltaessaan säännöstöä ja sääntöjä ja pannessaan ne täytäntöön komission on julkisoikeudellisten tehtäviensä mukaisesti toimittava lainmukaisesti, järkevästi ja oikeudenmukaisesti.</w:t>
      </w:r>
    </w:p>
    <w:p w14:paraId="628AE2C5" w14:textId="77777777" w:rsidR="0006113D" w:rsidRDefault="0006113D">
      <w:pPr>
        <w:pStyle w:val="BodyText"/>
        <w:spacing w:before="10"/>
      </w:pPr>
    </w:p>
    <w:p w14:paraId="052A9DAD" w14:textId="77777777" w:rsidR="0006113D" w:rsidRDefault="00546668">
      <w:pPr>
        <w:pStyle w:val="ListParagraph"/>
        <w:numPr>
          <w:ilvl w:val="1"/>
          <w:numId w:val="14"/>
        </w:numPr>
        <w:tabs>
          <w:tab w:val="left" w:pos="1853"/>
        </w:tabs>
        <w:ind w:hanging="850"/>
        <w:rPr>
          <w:sz w:val="20"/>
        </w:rPr>
      </w:pPr>
      <w:r>
        <w:rPr>
          <w:sz w:val="20"/>
        </w:rPr>
        <w:t>Komission on noudatettava toiminnassaan erityisesti se</w:t>
      </w:r>
      <w:r>
        <w:rPr>
          <w:sz w:val="20"/>
        </w:rPr>
        <w:t>uraavia periaatteita:</w:t>
      </w:r>
    </w:p>
    <w:p w14:paraId="4EEF9DDC" w14:textId="77777777" w:rsidR="0006113D" w:rsidRDefault="0006113D">
      <w:pPr>
        <w:pStyle w:val="BodyText"/>
        <w:spacing w:before="61"/>
      </w:pPr>
    </w:p>
    <w:p w14:paraId="5987DA9C" w14:textId="77777777" w:rsidR="0006113D" w:rsidRDefault="00546668">
      <w:pPr>
        <w:pStyle w:val="ListParagraph"/>
        <w:numPr>
          <w:ilvl w:val="2"/>
          <w:numId w:val="14"/>
        </w:numPr>
        <w:tabs>
          <w:tab w:val="left" w:pos="2705"/>
        </w:tabs>
        <w:jc w:val="left"/>
        <w:rPr>
          <w:sz w:val="20"/>
        </w:rPr>
      </w:pPr>
      <w:r>
        <w:rPr>
          <w:sz w:val="20"/>
        </w:rPr>
        <w:t>sen yleiset lakisääteiset tavoitteet ja lain mukaiset tehtävät;</w:t>
      </w:r>
    </w:p>
    <w:p w14:paraId="77085E0C" w14:textId="77777777" w:rsidR="0006113D" w:rsidRDefault="0006113D">
      <w:pPr>
        <w:rPr>
          <w:sz w:val="20"/>
          <w:lang w:val="el-GR"/>
        </w:rPr>
      </w:pPr>
    </w:p>
    <w:p w14:paraId="17F17333" w14:textId="77777777" w:rsidR="0006113D" w:rsidRDefault="00546668">
      <w:pPr>
        <w:pStyle w:val="ListParagraph"/>
        <w:numPr>
          <w:ilvl w:val="2"/>
          <w:numId w:val="14"/>
        </w:numPr>
        <w:tabs>
          <w:tab w:val="left" w:pos="2705"/>
        </w:tabs>
        <w:spacing w:before="79"/>
        <w:jc w:val="left"/>
        <w:rPr>
          <w:sz w:val="20"/>
        </w:rPr>
      </w:pPr>
      <w:r>
        <w:rPr>
          <w:sz w:val="20"/>
        </w:rPr>
        <w:t>säännöstön ja sääntöjen taustalla olevat erityiset lakisääteiset tavoitteet;</w:t>
      </w:r>
    </w:p>
    <w:p w14:paraId="24DD3901" w14:textId="77777777" w:rsidR="0006113D" w:rsidRDefault="0006113D">
      <w:pPr>
        <w:pStyle w:val="BodyText"/>
        <w:spacing w:before="41"/>
      </w:pPr>
    </w:p>
    <w:p w14:paraId="55E0AE28" w14:textId="77777777" w:rsidR="0006113D" w:rsidRDefault="00546668">
      <w:pPr>
        <w:pStyle w:val="ListParagraph"/>
        <w:numPr>
          <w:ilvl w:val="2"/>
          <w:numId w:val="14"/>
        </w:numPr>
        <w:tabs>
          <w:tab w:val="left" w:pos="2705"/>
        </w:tabs>
        <w:spacing w:line="285" w:lineRule="auto"/>
        <w:ind w:right="865"/>
        <w:rPr>
          <w:sz w:val="20"/>
        </w:rPr>
      </w:pPr>
      <w:r>
        <w:rPr>
          <w:sz w:val="20"/>
        </w:rPr>
        <w:t>perustuslaissa, Euroopan unionin perusoikeuskirjassa ja Euroopan ihmisoikeussopimuksessa, siltä osin kuin sitä sovelletaan Euroopan ihmisoikeussopimuksesta annetun vuoden 2003 lain nojalla, ja EU:n perussopimuksissa annetut oikeudet.</w:t>
      </w:r>
    </w:p>
    <w:p w14:paraId="278629B9" w14:textId="77777777" w:rsidR="0006113D" w:rsidRDefault="0006113D">
      <w:pPr>
        <w:pStyle w:val="BodyText"/>
        <w:spacing w:before="19"/>
      </w:pPr>
    </w:p>
    <w:p w14:paraId="60FB54FA" w14:textId="77777777" w:rsidR="0006113D" w:rsidRDefault="00546668">
      <w:pPr>
        <w:pStyle w:val="ListParagraph"/>
        <w:numPr>
          <w:ilvl w:val="1"/>
          <w:numId w:val="14"/>
        </w:numPr>
        <w:tabs>
          <w:tab w:val="left" w:pos="1853"/>
        </w:tabs>
        <w:spacing w:line="292" w:lineRule="auto"/>
        <w:ind w:right="870" w:hanging="850"/>
        <w:rPr>
          <w:sz w:val="20"/>
        </w:rPr>
      </w:pPr>
      <w:r>
        <w:rPr>
          <w:sz w:val="20"/>
        </w:rPr>
        <w:t>Säännöstöä ja sääntöj</w:t>
      </w:r>
      <w:r>
        <w:rPr>
          <w:sz w:val="20"/>
        </w:rPr>
        <w:t>ä tulkitessaan ja soveltaessaan komissio ottaa asianmukaisesti huomioon seuraavat:</w:t>
      </w:r>
    </w:p>
    <w:p w14:paraId="24F7F28F" w14:textId="77777777" w:rsidR="0006113D" w:rsidRDefault="0006113D">
      <w:pPr>
        <w:pStyle w:val="BodyText"/>
        <w:spacing w:before="49"/>
      </w:pPr>
    </w:p>
    <w:p w14:paraId="57211577" w14:textId="77777777" w:rsidR="0006113D" w:rsidRDefault="00546668">
      <w:pPr>
        <w:pStyle w:val="ListParagraph"/>
        <w:numPr>
          <w:ilvl w:val="2"/>
          <w:numId w:val="14"/>
        </w:numPr>
        <w:tabs>
          <w:tab w:val="left" w:pos="2705"/>
        </w:tabs>
        <w:spacing w:line="285" w:lineRule="auto"/>
        <w:ind w:right="864"/>
        <w:rPr>
          <w:sz w:val="20"/>
        </w:rPr>
      </w:pPr>
      <w:r>
        <w:rPr>
          <w:sz w:val="20"/>
        </w:rPr>
        <w:t>valtio ratifioi vammaisten henkilöiden oikeuksia koskevan Yhdistyneiden kansakuntien yleissopimuksen ja erityisesti sen 9 artiklan (esteettömyys), 21 artiklan (sananvapaus)</w:t>
      </w:r>
      <w:r>
        <w:rPr>
          <w:sz w:val="20"/>
        </w:rPr>
        <w:t xml:space="preserve"> ja 30 artiklan (osallistuminen kulttuurielämään, virkistystoimintaan, vapaa-aikaan ja urheiluun).</w:t>
      </w:r>
    </w:p>
    <w:p w14:paraId="2B4154F1" w14:textId="77777777" w:rsidR="0006113D" w:rsidRDefault="0006113D">
      <w:pPr>
        <w:pStyle w:val="BodyText"/>
        <w:spacing w:before="57"/>
      </w:pPr>
    </w:p>
    <w:p w14:paraId="04646BCF" w14:textId="77777777" w:rsidR="0006113D" w:rsidRDefault="00546668">
      <w:pPr>
        <w:pStyle w:val="ListParagraph"/>
        <w:numPr>
          <w:ilvl w:val="2"/>
          <w:numId w:val="14"/>
        </w:numPr>
        <w:tabs>
          <w:tab w:val="left" w:pos="2705"/>
        </w:tabs>
        <w:spacing w:line="283" w:lineRule="auto"/>
        <w:ind w:right="858"/>
        <w:rPr>
          <w:sz w:val="20"/>
        </w:rPr>
      </w:pPr>
      <w:r>
        <w:rPr>
          <w:sz w:val="20"/>
        </w:rPr>
        <w:t>esteettömyyttä koskevan eurooppalaisen säädöksen ja hallinnollisen määräyksen nro 636/2023 – Euroopan unionin (tuotteiden ja palvelujen esteettömyysvaatimuk</w:t>
      </w:r>
      <w:r>
        <w:rPr>
          <w:sz w:val="20"/>
        </w:rPr>
        <w:t>set) vuoden 2023 asetusten säännökset (joiden on määrä tulla voimaan 28. kesäkuuta 2025).</w:t>
      </w:r>
    </w:p>
    <w:p w14:paraId="1B8897E7" w14:textId="77777777" w:rsidR="0006113D" w:rsidRDefault="00546668">
      <w:pPr>
        <w:pStyle w:val="Heading2"/>
        <w:spacing w:before="212"/>
        <w:ind w:left="1853"/>
        <w:rPr>
          <w:rFonts w:ascii="Arial"/>
        </w:rPr>
      </w:pPr>
      <w:bookmarkStart w:id="7" w:name="_Toc183087712"/>
      <w:r>
        <w:rPr>
          <w:rFonts w:ascii="Arial"/>
          <w:color w:val="391200"/>
        </w:rPr>
        <w:t>Yleiset lakis</w:t>
      </w:r>
      <w:r>
        <w:rPr>
          <w:rFonts w:ascii="Arial"/>
          <w:color w:val="391200"/>
        </w:rPr>
        <w:t>ää</w:t>
      </w:r>
      <w:r>
        <w:rPr>
          <w:rFonts w:ascii="Arial"/>
          <w:color w:val="391200"/>
        </w:rPr>
        <w:t>teiset tavoitteet ja teht</w:t>
      </w:r>
      <w:r>
        <w:rPr>
          <w:rFonts w:ascii="Arial"/>
          <w:color w:val="391200"/>
        </w:rPr>
        <w:t>ä</w:t>
      </w:r>
      <w:r>
        <w:rPr>
          <w:rFonts w:ascii="Arial"/>
          <w:color w:val="391200"/>
        </w:rPr>
        <w:t>v</w:t>
      </w:r>
      <w:r>
        <w:rPr>
          <w:rFonts w:ascii="Arial"/>
          <w:color w:val="391200"/>
        </w:rPr>
        <w:t>ä</w:t>
      </w:r>
      <w:r>
        <w:rPr>
          <w:rFonts w:ascii="Arial"/>
          <w:color w:val="391200"/>
        </w:rPr>
        <w:t>t</w:t>
      </w:r>
      <w:bookmarkEnd w:id="7"/>
    </w:p>
    <w:p w14:paraId="62383921" w14:textId="77777777" w:rsidR="0006113D" w:rsidRDefault="00546668">
      <w:pPr>
        <w:pStyle w:val="ListParagraph"/>
        <w:numPr>
          <w:ilvl w:val="1"/>
          <w:numId w:val="14"/>
        </w:numPr>
        <w:tabs>
          <w:tab w:val="left" w:pos="1853"/>
        </w:tabs>
        <w:spacing w:before="156" w:line="292" w:lineRule="auto"/>
        <w:ind w:right="811" w:hanging="850"/>
        <w:rPr>
          <w:sz w:val="20"/>
        </w:rPr>
      </w:pPr>
      <w:r>
        <w:rPr>
          <w:sz w:val="20"/>
        </w:rPr>
        <w:t>Lain 7 §:n 2 momentissa säädetään, että komission on tehtäviään hoitaessaan pyrittävä varmistamaan, että perustuslakiin k</w:t>
      </w:r>
      <w:r>
        <w:rPr>
          <w:sz w:val="20"/>
        </w:rPr>
        <w:t>irjattuja demokraattisia arvoja, erityisesti oikeutettuun sananvapauteen liittyviä arvoja, kunnioitetaan ja että yleisön etuja, myös lasten etuja, suojellaan ja että lasten turvallisuuteen kiinnitetään erityistä huomiota. Komissio pyrkii myös varmistamaan,</w:t>
      </w:r>
      <w:r>
        <w:rPr>
          <w:sz w:val="20"/>
        </w:rPr>
        <w:t xml:space="preserve"> että tilattavia audiovisuaalisia mediapalveluja koskevat komission toimintaperiaatteet palvelevat parhaiten Irlannin saaren asukkaiden ja erityisesti vammaisten tarpeita ja heidän vaatimuksiaan palvelujen esteettömyydestä.</w:t>
      </w:r>
    </w:p>
    <w:p w14:paraId="21F49A61" w14:textId="77777777" w:rsidR="0006113D" w:rsidRDefault="0006113D">
      <w:pPr>
        <w:pStyle w:val="BodyText"/>
        <w:spacing w:before="7"/>
      </w:pPr>
    </w:p>
    <w:p w14:paraId="3FD34A96" w14:textId="77777777" w:rsidR="0006113D" w:rsidRDefault="00546668">
      <w:pPr>
        <w:pStyle w:val="ListParagraph"/>
        <w:numPr>
          <w:ilvl w:val="1"/>
          <w:numId w:val="14"/>
        </w:numPr>
        <w:tabs>
          <w:tab w:val="left" w:pos="1850"/>
          <w:tab w:val="left" w:pos="1853"/>
        </w:tabs>
        <w:spacing w:line="292" w:lineRule="auto"/>
        <w:ind w:right="864" w:hanging="850"/>
        <w:jc w:val="both"/>
        <w:rPr>
          <w:sz w:val="20"/>
        </w:rPr>
      </w:pPr>
      <w:r>
        <w:rPr>
          <w:sz w:val="20"/>
        </w:rPr>
        <w:t>Komission on lisäksi pyrittävä varmistamaan, että sen sääntelyjärjestelyt i) koskevat ohjelmia ja muuta haitallista tai laitonta sisältöä; ii) niissä otetaan huomioon tekniset ja yhteiskunnalliset muutokset; ja iii) ne toimivat oikeasuhteisesti, johdonmuka</w:t>
      </w:r>
      <w:r>
        <w:rPr>
          <w:sz w:val="20"/>
        </w:rPr>
        <w:t>isesti ja oikeudenmukaisesti.</w:t>
      </w:r>
    </w:p>
    <w:p w14:paraId="27E1440B" w14:textId="77777777" w:rsidR="0006113D" w:rsidRDefault="0006113D">
      <w:pPr>
        <w:pStyle w:val="BodyText"/>
        <w:spacing w:before="47"/>
      </w:pPr>
    </w:p>
    <w:p w14:paraId="07FC34E3" w14:textId="77777777" w:rsidR="0006113D" w:rsidRDefault="00546668">
      <w:pPr>
        <w:pStyle w:val="ListParagraph"/>
        <w:numPr>
          <w:ilvl w:val="1"/>
          <w:numId w:val="14"/>
        </w:numPr>
        <w:tabs>
          <w:tab w:val="left" w:pos="1853"/>
        </w:tabs>
        <w:ind w:hanging="850"/>
        <w:rPr>
          <w:sz w:val="20"/>
        </w:rPr>
      </w:pPr>
      <w:r>
        <w:rPr>
          <w:sz w:val="20"/>
        </w:rPr>
        <w:t>Lain 7 §:n 3 momentissa säädetään myös, että komission on muun muassa</w:t>
      </w:r>
    </w:p>
    <w:p w14:paraId="7185A89A" w14:textId="77777777" w:rsidR="0006113D" w:rsidRDefault="0006113D">
      <w:pPr>
        <w:pStyle w:val="BodyText"/>
        <w:spacing w:before="61"/>
      </w:pPr>
    </w:p>
    <w:p w14:paraId="2FA2085E" w14:textId="77777777" w:rsidR="0006113D" w:rsidRDefault="00546668">
      <w:pPr>
        <w:pStyle w:val="ListParagraph"/>
        <w:numPr>
          <w:ilvl w:val="2"/>
          <w:numId w:val="14"/>
        </w:numPr>
        <w:tabs>
          <w:tab w:val="left" w:pos="2705"/>
        </w:tabs>
        <w:spacing w:line="271" w:lineRule="auto"/>
        <w:ind w:right="868"/>
        <w:rPr>
          <w:sz w:val="20"/>
        </w:rPr>
      </w:pPr>
      <w:r>
        <w:rPr>
          <w:sz w:val="20"/>
        </w:rPr>
        <w:t>edistettävä tilattavien audiovisuaalisten mediapalvelujen tarjoajien laadukkaiden, monipuolisten ja innovatiivisten ohjelmien tarjoamista;</w:t>
      </w:r>
    </w:p>
    <w:p w14:paraId="7627D1B1" w14:textId="77777777" w:rsidR="0006113D" w:rsidRDefault="0006113D">
      <w:pPr>
        <w:pStyle w:val="BodyText"/>
        <w:spacing w:before="32"/>
      </w:pPr>
    </w:p>
    <w:p w14:paraId="70A46171" w14:textId="77777777" w:rsidR="0006113D" w:rsidRDefault="00546668">
      <w:pPr>
        <w:pStyle w:val="ListParagraph"/>
        <w:numPr>
          <w:ilvl w:val="2"/>
          <w:numId w:val="14"/>
        </w:numPr>
        <w:tabs>
          <w:tab w:val="left" w:pos="2705"/>
        </w:tabs>
        <w:spacing w:before="1" w:line="271" w:lineRule="auto"/>
        <w:ind w:right="866"/>
        <w:rPr>
          <w:sz w:val="20"/>
        </w:rPr>
      </w:pPr>
      <w:r>
        <w:rPr>
          <w:sz w:val="20"/>
        </w:rPr>
        <w:t>edistettävä ym</w:t>
      </w:r>
      <w:r>
        <w:rPr>
          <w:sz w:val="20"/>
        </w:rPr>
        <w:t>päristön kestävyyttä tilattavien audiovisuaalisten mediapalvelujen tarjoajien toimintaperiaatteissa ja käytännöissä ja kannustettava siihen;</w:t>
      </w:r>
    </w:p>
    <w:p w14:paraId="6D3B2CDA" w14:textId="77777777" w:rsidR="0006113D" w:rsidRDefault="0006113D">
      <w:pPr>
        <w:pStyle w:val="BodyText"/>
        <w:spacing w:before="31"/>
      </w:pPr>
    </w:p>
    <w:p w14:paraId="12348A54" w14:textId="77777777" w:rsidR="0006113D" w:rsidRDefault="00546668">
      <w:pPr>
        <w:pStyle w:val="ListParagraph"/>
        <w:numPr>
          <w:ilvl w:val="2"/>
          <w:numId w:val="14"/>
        </w:numPr>
        <w:tabs>
          <w:tab w:val="left" w:pos="2705"/>
        </w:tabs>
        <w:spacing w:line="271" w:lineRule="auto"/>
        <w:ind w:right="862"/>
        <w:rPr>
          <w:sz w:val="20"/>
        </w:rPr>
      </w:pPr>
      <w:r>
        <w:rPr>
          <w:sz w:val="20"/>
        </w:rPr>
        <w:t>tehtäviä hoitaessaan osallistuttava näyttöön perustuvaan päätöksentekoon ja edistettävä näyttöön perustuvaa päätök</w:t>
      </w:r>
      <w:r>
        <w:rPr>
          <w:sz w:val="20"/>
        </w:rPr>
        <w:t>sentekoa niiden tahojen keskuudessa, joita se kuulee;</w:t>
      </w:r>
    </w:p>
    <w:p w14:paraId="04AB77FC" w14:textId="77777777" w:rsidR="0006113D" w:rsidRDefault="0006113D">
      <w:pPr>
        <w:pStyle w:val="BodyText"/>
        <w:spacing w:before="34"/>
      </w:pPr>
    </w:p>
    <w:p w14:paraId="53F0E801" w14:textId="12E3FC79" w:rsidR="0006113D" w:rsidRPr="003C0382" w:rsidRDefault="00546668" w:rsidP="003C0382">
      <w:pPr>
        <w:pStyle w:val="ListParagraph"/>
        <w:numPr>
          <w:ilvl w:val="2"/>
          <w:numId w:val="14"/>
        </w:numPr>
        <w:tabs>
          <w:tab w:val="left" w:pos="2705"/>
        </w:tabs>
        <w:spacing w:before="79" w:line="280" w:lineRule="auto"/>
        <w:ind w:right="866"/>
        <w:rPr>
          <w:sz w:val="20"/>
        </w:rPr>
      </w:pPr>
      <w:r>
        <w:rPr>
          <w:sz w:val="20"/>
        </w:rPr>
        <w:t>edistettävä lain säännösten ja sen nojalla annettujen säännöstöjen, sääntöjen tai muiden säädösten määräysten noudattamista komission asianmukaiseksi katsomalla tavalla, myös julkaisemalla ohjeita siit</w:t>
      </w:r>
      <w:r>
        <w:rPr>
          <w:sz w:val="20"/>
        </w:rPr>
        <w:t>ä, miten kyseisiä määräyksiä voidaan noudattaa.</w:t>
      </w:r>
    </w:p>
    <w:p w14:paraId="5C01461A" w14:textId="77777777" w:rsidR="0006113D" w:rsidRDefault="0006113D">
      <w:pPr>
        <w:pStyle w:val="BodyText"/>
        <w:spacing w:before="59"/>
      </w:pPr>
    </w:p>
    <w:p w14:paraId="37EB482F" w14:textId="77777777" w:rsidR="0006113D" w:rsidRDefault="00546668">
      <w:pPr>
        <w:pStyle w:val="ListParagraph"/>
        <w:numPr>
          <w:ilvl w:val="1"/>
          <w:numId w:val="14"/>
        </w:numPr>
        <w:tabs>
          <w:tab w:val="left" w:pos="1850"/>
          <w:tab w:val="left" w:pos="1853"/>
        </w:tabs>
        <w:spacing w:line="292" w:lineRule="auto"/>
        <w:ind w:right="811" w:hanging="850"/>
        <w:jc w:val="both"/>
        <w:rPr>
          <w:sz w:val="20"/>
        </w:rPr>
      </w:pPr>
      <w:r>
        <w:rPr>
          <w:sz w:val="20"/>
        </w:rPr>
        <w:t>Lain 7 §:n 4 momentin mukaan komission on tehtäviään hoitaessaan otettava huomioon seuraavat seikat: lasten turvallisuus sekä asiaa koskevat lapsi-, tasa-arvo-, vammaisasiain-, integraatio- ja nuorisoministerin julkaisemat toimintaperiaatteet; rahapelien s</w:t>
      </w:r>
      <w:r>
        <w:rPr>
          <w:sz w:val="20"/>
        </w:rPr>
        <w:t>ääntely ja asiaa koskevat oikeusministerin julkaisemat toimintaperiaatteet; ilmastonmuutos ja ympäristökestävyys sekä asiaa koskevat ympäristö-, ilmastotoimi- ja viestintäministerin julkaisemat toimintaperiaatteet; sekä hallituksen julkaisemat toimintaperi</w:t>
      </w:r>
      <w:r>
        <w:rPr>
          <w:sz w:val="20"/>
        </w:rPr>
        <w:t>aatteet, jotka koskevat mitä tahansa näistä asioista.</w:t>
      </w:r>
    </w:p>
    <w:p w14:paraId="583D0CC3" w14:textId="77777777" w:rsidR="0006113D" w:rsidRDefault="00546668">
      <w:pPr>
        <w:pStyle w:val="Heading2"/>
        <w:spacing w:before="198"/>
        <w:ind w:left="1853"/>
        <w:rPr>
          <w:rFonts w:ascii="Arial"/>
        </w:rPr>
      </w:pPr>
      <w:bookmarkStart w:id="8" w:name="_Toc183087713"/>
      <w:r>
        <w:rPr>
          <w:rFonts w:ascii="Arial"/>
          <w:color w:val="391200"/>
        </w:rPr>
        <w:t>Erityiset lakis</w:t>
      </w:r>
      <w:r>
        <w:rPr>
          <w:rFonts w:ascii="Arial"/>
          <w:color w:val="391200"/>
        </w:rPr>
        <w:t>ää</w:t>
      </w:r>
      <w:r>
        <w:rPr>
          <w:rFonts w:ascii="Arial"/>
          <w:color w:val="391200"/>
        </w:rPr>
        <w:t>teiset tavoitteet</w:t>
      </w:r>
      <w:bookmarkEnd w:id="8"/>
    </w:p>
    <w:p w14:paraId="391F7EF0" w14:textId="77777777" w:rsidR="0006113D" w:rsidRDefault="00546668">
      <w:pPr>
        <w:pStyle w:val="ListParagraph"/>
        <w:numPr>
          <w:ilvl w:val="1"/>
          <w:numId w:val="14"/>
        </w:numPr>
        <w:tabs>
          <w:tab w:val="left" w:pos="1850"/>
          <w:tab w:val="left" w:pos="1853"/>
        </w:tabs>
        <w:spacing w:before="159" w:line="292" w:lineRule="auto"/>
        <w:ind w:right="858" w:hanging="850"/>
        <w:jc w:val="both"/>
        <w:rPr>
          <w:sz w:val="20"/>
        </w:rPr>
      </w:pPr>
      <w:r>
        <w:rPr>
          <w:sz w:val="20"/>
        </w:rPr>
        <w:t>Lain 46N §:n 5 momentin ja 46O §:n 9 momentin mukaan säännöstön ja sääntöjen tavoitteena on varmistaa, että tilattavia audiovisuaalisia mediapalveluja tarjoavat ja val</w:t>
      </w:r>
      <w:r>
        <w:rPr>
          <w:sz w:val="20"/>
        </w:rPr>
        <w:t>tion lainkäyttövaltaan kuuluvat mediapalvelun tarjoajat täyttävät audiovisuaalisia mediapalveluja koskevan direktiivin 5 artiklan, 6 artiklan 1 kohdan, 6 a artiklan 1–3 kohdan sekä 7, 8, 9, 10 ja 11 artiklan vaatimukset.</w:t>
      </w:r>
    </w:p>
    <w:p w14:paraId="08559ED3" w14:textId="77777777" w:rsidR="0006113D" w:rsidRDefault="0006113D">
      <w:pPr>
        <w:pStyle w:val="BodyText"/>
        <w:spacing w:before="63"/>
      </w:pPr>
    </w:p>
    <w:p w14:paraId="57BAABC4" w14:textId="77777777" w:rsidR="0006113D" w:rsidRDefault="00546668">
      <w:pPr>
        <w:pStyle w:val="Heading1"/>
        <w:numPr>
          <w:ilvl w:val="0"/>
          <w:numId w:val="13"/>
        </w:numPr>
        <w:tabs>
          <w:tab w:val="left" w:pos="1853"/>
        </w:tabs>
        <w:jc w:val="left"/>
        <w:rPr>
          <w:color w:val="391200"/>
        </w:rPr>
      </w:pPr>
      <w:bookmarkStart w:id="9" w:name="_Toc183087714"/>
      <w:r>
        <w:rPr>
          <w:color w:val="391200"/>
        </w:rPr>
        <w:t>Määräysten itsenäisyys</w:t>
      </w:r>
      <w:bookmarkEnd w:id="9"/>
    </w:p>
    <w:p w14:paraId="2F5C5100" w14:textId="77777777" w:rsidR="0006113D" w:rsidRDefault="00546668">
      <w:pPr>
        <w:pStyle w:val="ListParagraph"/>
        <w:numPr>
          <w:ilvl w:val="1"/>
          <w:numId w:val="13"/>
        </w:numPr>
        <w:tabs>
          <w:tab w:val="left" w:pos="1850"/>
          <w:tab w:val="left" w:pos="1853"/>
        </w:tabs>
        <w:spacing w:before="276" w:line="292" w:lineRule="auto"/>
        <w:ind w:right="858"/>
        <w:jc w:val="both"/>
        <w:rPr>
          <w:sz w:val="20"/>
        </w:rPr>
      </w:pPr>
      <w:r>
        <w:rPr>
          <w:sz w:val="20"/>
        </w:rPr>
        <w:t>Jos jokin s</w:t>
      </w:r>
      <w:r>
        <w:rPr>
          <w:sz w:val="20"/>
        </w:rPr>
        <w:t>äännöstön ja sääntöjen määräys todetaan minkä tahansa lain (mukaan lukien perustuslaki ja Euroopan unionin lainsäädäntö) perusteella joltakin osin lainvastaiseksi, mitättömäksi, kielletyksi, täytäntöönpanokelvottomaksi tai soveltumattomaksi (joko yleisesti</w:t>
      </w:r>
      <w:r>
        <w:rPr>
          <w:sz w:val="20"/>
        </w:rPr>
        <w:t xml:space="preserve"> tai tietyn mediapalvelun tarjoajan tai tiettyjen mediapalvelun tarjoajien osalta), toteamus ei vaikuta säännöstön ja sääntöjen muiden määräysten tai niiden osien laillisuuteen, pätevyyteen, täytäntöönpanokelpoisuuteen tai sovellettavuuteen, paitsi jos tod</w:t>
      </w:r>
      <w:r>
        <w:rPr>
          <w:sz w:val="20"/>
        </w:rPr>
        <w:t>etaan, että toteamusta sovelletaan tällaiseen toiseen määräykseen tai sen osaan tai jos tuomioistuin on antanut samaa koskevan määräyksen.</w:t>
      </w:r>
    </w:p>
    <w:p w14:paraId="039C3BD4" w14:textId="77777777" w:rsidR="0006113D" w:rsidRDefault="0006113D">
      <w:pPr>
        <w:pStyle w:val="BodyText"/>
        <w:spacing w:before="48"/>
      </w:pPr>
    </w:p>
    <w:p w14:paraId="1BAFEACA" w14:textId="77777777" w:rsidR="0006113D" w:rsidRDefault="00546668">
      <w:pPr>
        <w:pStyle w:val="ListParagraph"/>
        <w:numPr>
          <w:ilvl w:val="1"/>
          <w:numId w:val="13"/>
        </w:numPr>
        <w:tabs>
          <w:tab w:val="left" w:pos="1850"/>
          <w:tab w:val="left" w:pos="1853"/>
        </w:tabs>
        <w:spacing w:line="292" w:lineRule="auto"/>
        <w:ind w:right="858"/>
        <w:jc w:val="both"/>
        <w:rPr>
          <w:sz w:val="20"/>
        </w:rPr>
      </w:pPr>
      <w:r>
        <w:rPr>
          <w:sz w:val="20"/>
        </w:rPr>
        <w:t>Kaikki muut säännöstön ja sääntöjen määräykset ja/tai niiden osat pysyvät täysin voimassa, ja ne ovat täysin sovelle</w:t>
      </w:r>
      <w:r>
        <w:rPr>
          <w:sz w:val="20"/>
        </w:rPr>
        <w:t>ttavissa ja täytäntöönpanokelpoisia, sanotun kuitenkaan rajoittamatta edellä olevan soveltamista. Säännöstön ja sääntöjen määräykset tai niiden osat, jotka todetaan lainvastaisiksi, mitättömiksi, kielletyiksi, täytäntöönpanokelvottomiksi tai soveltumattomi</w:t>
      </w:r>
      <w:r>
        <w:rPr>
          <w:sz w:val="20"/>
        </w:rPr>
        <w:t>ksi, erotetaan tarvittaessa säännöstöstä ja säännöistä tarvittavassa laajuudessa.</w:t>
      </w:r>
    </w:p>
    <w:p w14:paraId="46CF18C1" w14:textId="77777777" w:rsidR="0006113D" w:rsidRDefault="0006113D">
      <w:pPr>
        <w:pStyle w:val="BodyText"/>
        <w:spacing w:before="142"/>
      </w:pPr>
    </w:p>
    <w:p w14:paraId="11F587FF" w14:textId="77777777" w:rsidR="0006113D" w:rsidRDefault="00546668">
      <w:pPr>
        <w:pStyle w:val="Heading1"/>
        <w:numPr>
          <w:ilvl w:val="0"/>
          <w:numId w:val="13"/>
        </w:numPr>
        <w:tabs>
          <w:tab w:val="left" w:pos="1853"/>
        </w:tabs>
        <w:jc w:val="left"/>
        <w:rPr>
          <w:color w:val="391200"/>
        </w:rPr>
      </w:pPr>
      <w:bookmarkStart w:id="10" w:name="_Toc183087715"/>
      <w:r>
        <w:rPr>
          <w:color w:val="391200"/>
        </w:rPr>
        <w:t>Luopuminen</w:t>
      </w:r>
      <w:bookmarkEnd w:id="10"/>
    </w:p>
    <w:p w14:paraId="136EF9FC" w14:textId="77777777" w:rsidR="0006113D" w:rsidRDefault="00546668">
      <w:pPr>
        <w:pStyle w:val="ListParagraph"/>
        <w:numPr>
          <w:ilvl w:val="1"/>
          <w:numId w:val="13"/>
        </w:numPr>
        <w:tabs>
          <w:tab w:val="left" w:pos="1850"/>
          <w:tab w:val="left" w:pos="1853"/>
        </w:tabs>
        <w:spacing w:before="278" w:line="292" w:lineRule="auto"/>
        <w:ind w:right="863"/>
        <w:jc w:val="both"/>
        <w:rPr>
          <w:sz w:val="20"/>
        </w:rPr>
      </w:pPr>
      <w:r>
        <w:rPr>
          <w:sz w:val="20"/>
        </w:rPr>
        <w:t>Sitä, että komissio ei vastaa komission lain mukaisesti perustamaan tilattavien audiovisuaalisten mediapalvelujen tarjoajien rekisteriin sisältyvän tilattavien au</w:t>
      </w:r>
      <w:r>
        <w:rPr>
          <w:sz w:val="20"/>
        </w:rPr>
        <w:t xml:space="preserve">diovisuaalisten mediapalvelujen tarjoajan komissiolle toimittamiin asiakirjoihin, arviointeihin, ehdotuksiin, raportteihin, yhteensopivuutta koskeviin lausuntoihin tai </w:t>
      </w:r>
      <w:r>
        <w:rPr>
          <w:sz w:val="20"/>
        </w:rPr>
        <w:lastRenderedPageBreak/>
        <w:t>vastaaviin asiakirjoihin tai esitä niistä huomautuksia, ei katsota saman toimituksen min</w:t>
      </w:r>
      <w:r>
        <w:rPr>
          <w:sz w:val="20"/>
        </w:rPr>
        <w:t>kään osan sisällön hyväksymiseksi tai hyväksynnäksi, eikä se merkitse sitä, että mediapalvelun tarjoaja on noudattanut lain ja/tai säännöstön ja sääntöjen mukaisia velvoitteitaan.</w:t>
      </w:r>
    </w:p>
    <w:p w14:paraId="237902CE" w14:textId="77777777" w:rsidR="0006113D" w:rsidRDefault="0006113D">
      <w:pPr>
        <w:pStyle w:val="BodyText"/>
        <w:spacing w:before="46"/>
      </w:pPr>
    </w:p>
    <w:p w14:paraId="746D4C89" w14:textId="77777777" w:rsidR="0006113D" w:rsidRDefault="00546668">
      <w:pPr>
        <w:pStyle w:val="ListParagraph"/>
        <w:numPr>
          <w:ilvl w:val="1"/>
          <w:numId w:val="13"/>
        </w:numPr>
        <w:tabs>
          <w:tab w:val="left" w:pos="1850"/>
          <w:tab w:val="left" w:pos="1853"/>
        </w:tabs>
        <w:spacing w:line="292" w:lineRule="auto"/>
        <w:ind w:right="864"/>
        <w:jc w:val="both"/>
        <w:rPr>
          <w:sz w:val="20"/>
        </w:rPr>
      </w:pPr>
      <w:r>
        <w:rPr>
          <w:sz w:val="20"/>
        </w:rPr>
        <w:t xml:space="preserve">Se, että komissio ei vastaa mihinkään tällaiseen asiakirjaan tai esitä siitä huomautuksia, ei saa luoda </w:t>
      </w:r>
      <w:proofErr w:type="spellStart"/>
      <w:r>
        <w:rPr>
          <w:sz w:val="20"/>
        </w:rPr>
        <w:t>estoppel</w:t>
      </w:r>
      <w:proofErr w:type="spellEnd"/>
      <w:r>
        <w:rPr>
          <w:sz w:val="20"/>
        </w:rPr>
        <w:t>-argumenttia komissiota vastaan tai johtaa luopumiseen, jonka myötä komissio luopuu lain ja/tai säännöstön ja sääntöjen mukaisista valtuuksistaa</w:t>
      </w:r>
      <w:r>
        <w:rPr>
          <w:sz w:val="20"/>
        </w:rPr>
        <w:t>n tai oikeuksistaan, sanotun kuitenkaan rajoittamatta edellä esitetyn soveltamista.</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546668">
      <w:pPr>
        <w:pStyle w:val="Heading1"/>
        <w:numPr>
          <w:ilvl w:val="0"/>
          <w:numId w:val="13"/>
        </w:numPr>
        <w:tabs>
          <w:tab w:val="left" w:pos="1853"/>
        </w:tabs>
        <w:spacing w:before="23"/>
        <w:jc w:val="left"/>
        <w:rPr>
          <w:color w:val="391200"/>
        </w:rPr>
      </w:pPr>
      <w:bookmarkStart w:id="11" w:name="_Toc183087716"/>
      <w:r>
        <w:rPr>
          <w:color w:val="391200"/>
        </w:rPr>
        <w:t>Noudattaminen ja täytäntöönpano</w:t>
      </w:r>
      <w:bookmarkEnd w:id="11"/>
    </w:p>
    <w:p w14:paraId="2FC609A5" w14:textId="77777777" w:rsidR="0006113D" w:rsidRDefault="00546668">
      <w:pPr>
        <w:pStyle w:val="ListParagraph"/>
        <w:numPr>
          <w:ilvl w:val="1"/>
          <w:numId w:val="13"/>
        </w:numPr>
        <w:tabs>
          <w:tab w:val="left" w:pos="1850"/>
          <w:tab w:val="left" w:pos="1853"/>
        </w:tabs>
        <w:spacing w:before="278" w:line="292" w:lineRule="auto"/>
        <w:ind w:right="866"/>
        <w:jc w:val="both"/>
        <w:rPr>
          <w:sz w:val="20"/>
        </w:rPr>
      </w:pPr>
      <w:r>
        <w:rPr>
          <w:sz w:val="20"/>
        </w:rPr>
        <w:t>Lain 46N §:n 10 momentin ja 46O §:n 11 momentin mukaan, jos audiovisuaalisten mediapalvelujen tarjoaja ei noudata säännöstöä tai sääntöj</w:t>
      </w:r>
      <w:r>
        <w:rPr>
          <w:sz w:val="20"/>
        </w:rPr>
        <w:t>ä, se katsotaan lain 8B osassa tarkoitetuksi rikkomukseksi.</w:t>
      </w:r>
    </w:p>
    <w:p w14:paraId="5B6CBC02" w14:textId="77777777" w:rsidR="0006113D" w:rsidRDefault="0006113D">
      <w:pPr>
        <w:pStyle w:val="BodyText"/>
        <w:spacing w:before="8"/>
      </w:pPr>
    </w:p>
    <w:p w14:paraId="757573FC" w14:textId="77777777" w:rsidR="0006113D" w:rsidRDefault="00546668">
      <w:pPr>
        <w:pStyle w:val="ListParagraph"/>
        <w:numPr>
          <w:ilvl w:val="1"/>
          <w:numId w:val="13"/>
        </w:numPr>
        <w:tabs>
          <w:tab w:val="left" w:pos="1850"/>
          <w:tab w:val="left" w:pos="1853"/>
        </w:tabs>
        <w:spacing w:line="290" w:lineRule="auto"/>
        <w:ind w:right="866"/>
        <w:jc w:val="both"/>
        <w:rPr>
          <w:sz w:val="20"/>
        </w:rPr>
      </w:pPr>
      <w:r>
        <w:rPr>
          <w:sz w:val="20"/>
        </w:rPr>
        <w:t>Audiovisuaalisten mediapalvelujen tarjoajan on varmistettava, että sillä on käytössään järjestelmät ja tarkastukset, joilla osoitetaan, että se noudattaa säännöstöön ja sääntöihin sisältyviä velv</w:t>
      </w:r>
      <w:r>
        <w:rPr>
          <w:sz w:val="20"/>
        </w:rPr>
        <w:t>oitteita.</w:t>
      </w:r>
    </w:p>
    <w:p w14:paraId="35EF93E4" w14:textId="77777777" w:rsidR="0006113D" w:rsidRDefault="0006113D">
      <w:pPr>
        <w:pStyle w:val="BodyText"/>
        <w:spacing w:before="3"/>
      </w:pPr>
    </w:p>
    <w:p w14:paraId="430969B8" w14:textId="77777777" w:rsidR="0006113D" w:rsidRDefault="00546668">
      <w:pPr>
        <w:pStyle w:val="ListParagraph"/>
        <w:numPr>
          <w:ilvl w:val="1"/>
          <w:numId w:val="13"/>
        </w:numPr>
        <w:tabs>
          <w:tab w:val="left" w:pos="1850"/>
          <w:tab w:val="left" w:pos="1853"/>
        </w:tabs>
        <w:spacing w:line="292" w:lineRule="auto"/>
        <w:ind w:right="858"/>
        <w:jc w:val="both"/>
        <w:rPr>
          <w:sz w:val="20"/>
        </w:rPr>
      </w:pPr>
      <w:r>
        <w:rPr>
          <w:sz w:val="20"/>
        </w:rPr>
        <w:t>Lain 47 §:n 3 momentin mukaan tilattavia audiovisuaalisia mediapalveluja tarjoavien mediapalvelun tarjoajien on laadittava ja pantava täytäntöön käytännesäännöt sellaisten valitusten käsittelemiseksi, jotka liittyvät mediapalvelun tarjoajan laim</w:t>
      </w:r>
      <w:r>
        <w:rPr>
          <w:sz w:val="20"/>
        </w:rPr>
        <w:t>inlyöntiin noudattaa mediapalvelusäännöstöä tai mediapalvelusääntöjä.</w:t>
      </w:r>
    </w:p>
    <w:p w14:paraId="5B299427" w14:textId="77777777" w:rsidR="0006113D" w:rsidRDefault="0006113D">
      <w:pPr>
        <w:pStyle w:val="BodyText"/>
        <w:spacing w:before="172"/>
      </w:pPr>
    </w:p>
    <w:p w14:paraId="652593FA" w14:textId="77777777" w:rsidR="0006113D" w:rsidRDefault="00546668">
      <w:pPr>
        <w:pStyle w:val="Heading1"/>
        <w:numPr>
          <w:ilvl w:val="0"/>
          <w:numId w:val="13"/>
        </w:numPr>
        <w:tabs>
          <w:tab w:val="left" w:pos="1853"/>
        </w:tabs>
        <w:jc w:val="left"/>
        <w:rPr>
          <w:color w:val="391200"/>
        </w:rPr>
      </w:pPr>
      <w:bookmarkStart w:id="12" w:name="_Toc183087717"/>
      <w:r>
        <w:rPr>
          <w:color w:val="391200"/>
        </w:rPr>
        <w:t>Valitukset ja tiedotus</w:t>
      </w:r>
      <w:bookmarkEnd w:id="12"/>
    </w:p>
    <w:p w14:paraId="6DAAC8AA" w14:textId="77777777" w:rsidR="0006113D" w:rsidRDefault="00546668">
      <w:pPr>
        <w:pStyle w:val="ListParagraph"/>
        <w:numPr>
          <w:ilvl w:val="1"/>
          <w:numId w:val="13"/>
        </w:numPr>
        <w:tabs>
          <w:tab w:val="left" w:pos="1850"/>
          <w:tab w:val="left" w:pos="1853"/>
        </w:tabs>
        <w:spacing w:before="278" w:line="290" w:lineRule="auto"/>
        <w:ind w:right="857"/>
        <w:jc w:val="both"/>
        <w:rPr>
          <w:sz w:val="20"/>
        </w:rPr>
      </w:pPr>
      <w:r>
        <w:rPr>
          <w:sz w:val="20"/>
        </w:rPr>
        <w:t>Valituksen voi tehdä, jos uskoo, että tilattavia audiovisuaalisia mediapalveluja tarjoavat mediapalvelun tarjoajat eivät ole noudattaneet säännöstöä ja sääntöjä.</w:t>
      </w:r>
    </w:p>
    <w:p w14:paraId="4BE122B6" w14:textId="77777777" w:rsidR="0006113D" w:rsidRDefault="0006113D">
      <w:pPr>
        <w:pStyle w:val="BodyText"/>
        <w:spacing w:before="53"/>
      </w:pPr>
    </w:p>
    <w:p w14:paraId="16FD6AD3" w14:textId="77777777" w:rsidR="0006113D" w:rsidRDefault="00546668">
      <w:pPr>
        <w:pStyle w:val="BodyText"/>
        <w:spacing w:before="1" w:line="292" w:lineRule="auto"/>
        <w:ind w:left="1853" w:right="857"/>
        <w:jc w:val="both"/>
      </w:pPr>
      <w:r>
        <w:t>Tältä osin ja ottaen huomioon audiovisuaalisia mediapalveluja koskevan direktiivin 7 artiklas</w:t>
      </w:r>
      <w:r>
        <w:t>sa kullekin Euroopan unionin jäsenvaltiolle asetetun velvoitteen osoittaa keskitetty, myös vammaisille henkilöille esteetön ja julkisesti saatavilla oleva sähköinen yhteyspiste, joka antaa tietoja ja vastaanottaa valituksia esteettömyyskysymyksistä, komiss</w:t>
      </w:r>
      <w:r>
        <w:t>io on perustanut yhteyspisteen käsittelemään kyselyjä ja vastaanottamaan valituksia mahdollisista esteettömyyskysymyksistä.</w:t>
      </w:r>
    </w:p>
    <w:p w14:paraId="12F7D7CD" w14:textId="77777777" w:rsidR="0006113D" w:rsidRDefault="0006113D">
      <w:pPr>
        <w:pStyle w:val="BodyText"/>
        <w:spacing w:before="45"/>
      </w:pPr>
    </w:p>
    <w:p w14:paraId="491EA153" w14:textId="77777777" w:rsidR="0006113D" w:rsidRDefault="00546668">
      <w:pPr>
        <w:pStyle w:val="BodyText"/>
        <w:spacing w:line="292" w:lineRule="auto"/>
        <w:ind w:left="1853" w:right="859"/>
        <w:jc w:val="both"/>
      </w:pPr>
      <w:r>
        <w:t>Tietoa valitusten käsittelyprosessista sekä tiedotusvälinekomission prosessista on saatavilla komission verkkosivustolla (</w:t>
      </w:r>
      <w:hyperlink r:id="rId13">
        <w:r>
          <w:rPr>
            <w:color w:val="0000FF"/>
            <w:u w:val="single" w:color="0000FF"/>
          </w:rPr>
          <w:t>www.cnam.ie</w:t>
        </w:r>
      </w:hyperlink>
      <w:r>
        <w:t>) tai tiedotusvälinekomissioon voi ottaa yhteyttä numeroon + 353 1 963 7755 tai sähköpostilla osoitteeseen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546668">
      <w:pPr>
        <w:pStyle w:val="ListParagraph"/>
        <w:numPr>
          <w:ilvl w:val="1"/>
          <w:numId w:val="13"/>
        </w:numPr>
        <w:tabs>
          <w:tab w:val="left" w:pos="1850"/>
          <w:tab w:val="left" w:pos="1853"/>
        </w:tabs>
        <w:spacing w:line="292" w:lineRule="auto"/>
        <w:ind w:right="865"/>
        <w:jc w:val="both"/>
        <w:rPr>
          <w:sz w:val="13"/>
        </w:rPr>
      </w:pPr>
      <w:r>
        <w:rPr>
          <w:sz w:val="20"/>
        </w:rPr>
        <w:lastRenderedPageBreak/>
        <w:t>Tiedotusvälinekomissio neuvoo valituksen</w:t>
      </w:r>
      <w:r>
        <w:rPr>
          <w:sz w:val="20"/>
        </w:rPr>
        <w:t xml:space="preserve"> tekijöitä tekemään valituksen ensisijaisesti tilattavien audiovisuaalisten mediapalvelujen tarjoajalle, koska se on nopein tapa saada valitus käsitellyksi ja saada siihen vastaus.</w:t>
      </w:r>
      <w:r w:rsidR="003C0382">
        <w:rPr>
          <w:rStyle w:val="FootnoteReference"/>
          <w:sz w:val="20"/>
        </w:rPr>
        <w:footnoteReference w:id="2"/>
      </w:r>
      <w:r>
        <w:rPr>
          <w:sz w:val="13"/>
        </w:rPr>
        <w:t xml:space="preserve"> </w:t>
      </w:r>
    </w:p>
    <w:p w14:paraId="446AFDB8" w14:textId="77777777" w:rsidR="0006113D" w:rsidRDefault="00546668">
      <w:pPr>
        <w:pStyle w:val="Heading1"/>
        <w:numPr>
          <w:ilvl w:val="0"/>
          <w:numId w:val="13"/>
        </w:numPr>
        <w:tabs>
          <w:tab w:val="left" w:pos="1793"/>
        </w:tabs>
        <w:spacing w:before="141"/>
        <w:ind w:left="1793" w:hanging="790"/>
        <w:jc w:val="left"/>
        <w:rPr>
          <w:color w:val="391200"/>
        </w:rPr>
      </w:pPr>
      <w:bookmarkStart w:id="13" w:name="_Toc183087718"/>
      <w:r>
        <w:rPr>
          <w:color w:val="391200"/>
        </w:rPr>
        <w:t>Ohjeet</w:t>
      </w:r>
      <w:bookmarkEnd w:id="13"/>
    </w:p>
    <w:p w14:paraId="579461F8" w14:textId="77777777" w:rsidR="0006113D" w:rsidRDefault="00546668">
      <w:pPr>
        <w:pStyle w:val="ListParagraph"/>
        <w:numPr>
          <w:ilvl w:val="1"/>
          <w:numId w:val="13"/>
        </w:numPr>
        <w:tabs>
          <w:tab w:val="left" w:pos="1850"/>
          <w:tab w:val="left" w:pos="1853"/>
        </w:tabs>
        <w:spacing w:before="279" w:line="292" w:lineRule="auto"/>
        <w:ind w:right="863"/>
        <w:jc w:val="both"/>
        <w:rPr>
          <w:sz w:val="20"/>
        </w:rPr>
      </w:pPr>
      <w:r>
        <w:rPr>
          <w:sz w:val="20"/>
        </w:rPr>
        <w:t>Komissio voi antaa säännöstön ja sääntöjen määräyksiä koskevia yl</w:t>
      </w:r>
      <w:r>
        <w:rPr>
          <w:sz w:val="20"/>
        </w:rPr>
        <w:t>eisiä, ei-sitovia ohjeita pyynnöstä tai tarvittaessa. Komissio pidättää itsellään oikeuden julkaista ja muuttaa ohjeita ajoittain parhaaksi katsomallaan tavalla.</w:t>
      </w:r>
    </w:p>
    <w:p w14:paraId="727F5709" w14:textId="77777777" w:rsidR="0006113D" w:rsidRDefault="0006113D">
      <w:pPr>
        <w:pStyle w:val="BodyText"/>
      </w:pPr>
    </w:p>
    <w:p w14:paraId="0CD34189" w14:textId="77777777" w:rsidR="0006113D" w:rsidRDefault="00546668">
      <w:pPr>
        <w:pStyle w:val="ListParagraph"/>
        <w:numPr>
          <w:ilvl w:val="1"/>
          <w:numId w:val="13"/>
        </w:numPr>
        <w:tabs>
          <w:tab w:val="left" w:pos="1850"/>
          <w:tab w:val="left" w:pos="1853"/>
        </w:tabs>
        <w:spacing w:before="79" w:line="292" w:lineRule="auto"/>
        <w:ind w:right="858"/>
        <w:jc w:val="both"/>
        <w:rPr>
          <w:sz w:val="20"/>
        </w:rPr>
      </w:pPr>
      <w:r>
        <w:rPr>
          <w:sz w:val="20"/>
        </w:rPr>
        <w:t>Ohjeita koskeviin pyyntöihin on liitettävä ohjeita koskevaan pyyntöön liittyvä asiaankuuluva aineisto. Pyynnössä on ilmoitettava selvästi ne säännöstön ja sääntöjen kohdat, joita pyynnön esittäjä pitää merkityksellisinä, ja esitettävä erityinen kysymys, jo</w:t>
      </w:r>
      <w:r>
        <w:rPr>
          <w:sz w:val="20"/>
        </w:rPr>
        <w:t>sta pyynnön esittäjä haluaisi näkemyksen.</w:t>
      </w:r>
    </w:p>
    <w:p w14:paraId="1F85CDAF" w14:textId="77777777" w:rsidR="0006113D" w:rsidRDefault="0006113D">
      <w:pPr>
        <w:pStyle w:val="BodyText"/>
        <w:spacing w:before="47"/>
      </w:pPr>
    </w:p>
    <w:p w14:paraId="6B306CCB" w14:textId="77777777" w:rsidR="0006113D" w:rsidRDefault="00546668">
      <w:pPr>
        <w:pStyle w:val="ListParagraph"/>
        <w:numPr>
          <w:ilvl w:val="1"/>
          <w:numId w:val="13"/>
        </w:numPr>
        <w:tabs>
          <w:tab w:val="left" w:pos="1850"/>
          <w:tab w:val="left" w:pos="1853"/>
        </w:tabs>
        <w:spacing w:before="1" w:line="292" w:lineRule="auto"/>
        <w:ind w:right="867"/>
        <w:jc w:val="both"/>
        <w:rPr>
          <w:sz w:val="20"/>
        </w:rPr>
      </w:pPr>
      <w:r>
        <w:rPr>
          <w:sz w:val="20"/>
        </w:rPr>
        <w:t>Komissio ei vastaa komission ei-sitovien ohjeiden perusteella tehdyistä päätöksistä (tai niiden seurauksista).</w:t>
      </w:r>
    </w:p>
    <w:p w14:paraId="3BCA86C1" w14:textId="77777777" w:rsidR="0006113D" w:rsidRDefault="0006113D">
      <w:pPr>
        <w:pStyle w:val="BodyText"/>
        <w:spacing w:before="218"/>
      </w:pPr>
    </w:p>
    <w:p w14:paraId="63A0803D" w14:textId="77777777" w:rsidR="0006113D" w:rsidRDefault="00546668">
      <w:pPr>
        <w:pStyle w:val="Heading1"/>
        <w:numPr>
          <w:ilvl w:val="0"/>
          <w:numId w:val="13"/>
        </w:numPr>
        <w:tabs>
          <w:tab w:val="left" w:pos="1853"/>
        </w:tabs>
        <w:spacing w:before="1" w:line="206" w:lineRule="auto"/>
        <w:ind w:right="1001"/>
        <w:jc w:val="left"/>
        <w:rPr>
          <w:color w:val="391200"/>
        </w:rPr>
      </w:pPr>
      <w:bookmarkStart w:id="14" w:name="_Toc183087719"/>
      <w:r>
        <w:rPr>
          <w:color w:val="391200"/>
        </w:rPr>
        <w:t>Määritelmät – mediapalvelusäännöstö ja mediapalvelusäännöt</w:t>
      </w:r>
      <w:bookmarkEnd w:id="14"/>
    </w:p>
    <w:p w14:paraId="1F64941B" w14:textId="77777777" w:rsidR="0006113D" w:rsidRDefault="00546668">
      <w:pPr>
        <w:pStyle w:val="BodyText"/>
        <w:spacing w:before="288" w:line="292" w:lineRule="auto"/>
        <w:ind w:left="1853" w:right="866"/>
        <w:jc w:val="both"/>
      </w:pPr>
      <w:r>
        <w:rPr>
          <w:b/>
        </w:rPr>
        <w:t xml:space="preserve">’esteettömyyspalveluilla’ </w:t>
      </w:r>
      <w:r>
        <w:t>tarkoitetaan tek</w:t>
      </w:r>
      <w:r>
        <w:t>stitystä, ohjelmatekstitystä, viittomakieltä (mukaan lukien iirin viittomakieli, jos palvelut on suunnattu iirinkieliselle yleisölle) ja kuvailutulkkausta säännöstössä ja säännöissä määritellyllä tavalla;</w:t>
      </w:r>
    </w:p>
    <w:p w14:paraId="70929185" w14:textId="77777777" w:rsidR="0006113D" w:rsidRDefault="0006113D">
      <w:pPr>
        <w:pStyle w:val="BodyText"/>
        <w:spacing w:before="8"/>
      </w:pPr>
    </w:p>
    <w:p w14:paraId="41E5809F" w14:textId="77777777" w:rsidR="0006113D" w:rsidRDefault="00546668">
      <w:pPr>
        <w:pStyle w:val="BodyText"/>
        <w:spacing w:line="292" w:lineRule="auto"/>
        <w:ind w:left="1853" w:right="858"/>
        <w:jc w:val="both"/>
      </w:pPr>
      <w:r>
        <w:rPr>
          <w:b/>
        </w:rPr>
        <w:t>’kuvailutulkkauksella’</w:t>
      </w:r>
      <w:r>
        <w:t xml:space="preserve"> tarkoitetaan selostusta, jo</w:t>
      </w:r>
      <w:r>
        <w:t>lla annetaan näkövammaisille katsojille suullinen kuvaus siitä, mitä ruudulla tapahtuu kunakin ajankohtana. Sitä käytetään apuna ohjelman ymmärtämisessä ja ohjelmasta nauttimisessa. Tekniikassa käytetään toista äänirataa, jossa kuvataan ohjelman sisältö ja</w:t>
      </w:r>
      <w:r>
        <w:t xml:space="preserve"> ruudulla tapahtuva toiminta;</w:t>
      </w:r>
    </w:p>
    <w:p w14:paraId="1C841D6B" w14:textId="77777777" w:rsidR="0006113D" w:rsidRDefault="0006113D">
      <w:pPr>
        <w:pStyle w:val="BodyText"/>
        <w:spacing w:before="7"/>
      </w:pPr>
    </w:p>
    <w:p w14:paraId="13695A8E" w14:textId="77777777" w:rsidR="0006113D" w:rsidRDefault="00546668">
      <w:pPr>
        <w:pStyle w:val="BodyText"/>
        <w:spacing w:line="292" w:lineRule="auto"/>
        <w:ind w:left="1853" w:right="859"/>
        <w:jc w:val="both"/>
      </w:pPr>
      <w:r>
        <w:rPr>
          <w:b/>
        </w:rPr>
        <w:t xml:space="preserve">’audiovisuaalisella kaupallisella viestinnällä’ </w:t>
      </w:r>
      <w:r>
        <w:t>tarkoitetaan kaupallista viestintää, joka koostuu äänen kanssa tai ilman ääntä lähetettävistä kuvista, joiden tarkoituksena on suoraan tai epäsuorasti edistää taloudellista toim</w:t>
      </w:r>
      <w:r>
        <w:t>intaa harjoittavan luonnollisen henkilön tai oikeushenkilön tavaroiden tai palvelujen myyntiä taikka kyseisen luonnollisen henkilön tai oikeushenkilön julkista kuvaa; tällaista kuvaa lähetetään ohjelman tai käyttäjien tuottaman videon yhteydessä tai se sis</w:t>
      </w:r>
      <w:r>
        <w:t>ällytetään niihin maksua tai muuta samankaltaista vastiketta vastaan tai omiin myynninedistämistarkoituksiin; Audiovisuaalinen kaupallinen viestintä sisältää muun muassa televisiomainonnan, sponsoroinnin, teleostoslähetykset ja tuotesijoittelun.</w:t>
      </w:r>
    </w:p>
    <w:p w14:paraId="4BC3B467" w14:textId="77777777" w:rsidR="0006113D" w:rsidRDefault="0006113D">
      <w:pPr>
        <w:pStyle w:val="BodyText"/>
        <w:spacing w:before="7"/>
      </w:pPr>
    </w:p>
    <w:p w14:paraId="2DECC3D0" w14:textId="77777777" w:rsidR="0006113D" w:rsidRDefault="00546668">
      <w:pPr>
        <w:pStyle w:val="Heading3"/>
        <w:rPr>
          <w:b w:val="0"/>
        </w:rPr>
      </w:pPr>
      <w:r>
        <w:t>’audiovis</w:t>
      </w:r>
      <w:r>
        <w:t xml:space="preserve">uaalisella mediapalvelulla’ </w:t>
      </w:r>
      <w:r>
        <w:rPr>
          <w:b w:val="0"/>
        </w:rPr>
        <w:t>tarkoitetaan</w:t>
      </w:r>
    </w:p>
    <w:p w14:paraId="6F20C7B8" w14:textId="77777777" w:rsidR="0006113D" w:rsidRDefault="00546668">
      <w:pPr>
        <w:pStyle w:val="ListParagraph"/>
        <w:numPr>
          <w:ilvl w:val="0"/>
          <w:numId w:val="12"/>
        </w:numPr>
        <w:tabs>
          <w:tab w:val="left" w:pos="2664"/>
        </w:tabs>
        <w:spacing w:before="168" w:line="285" w:lineRule="auto"/>
        <w:ind w:right="865"/>
        <w:rPr>
          <w:sz w:val="20"/>
        </w:rPr>
      </w:pPr>
      <w:r>
        <w:rPr>
          <w:sz w:val="20"/>
        </w:rPr>
        <w:lastRenderedPageBreak/>
        <w:t>Euroopan unionin toiminnasta tehdyn sopimuksen 56 ja 57 artiklassa määriteltyä palvelua, kun</w:t>
      </w:r>
    </w:p>
    <w:p w14:paraId="579AD0C8" w14:textId="77777777" w:rsidR="0006113D" w:rsidRDefault="00546668">
      <w:pPr>
        <w:pStyle w:val="ListParagraph"/>
        <w:numPr>
          <w:ilvl w:val="1"/>
          <w:numId w:val="12"/>
        </w:numPr>
        <w:tabs>
          <w:tab w:val="left" w:pos="3310"/>
        </w:tabs>
        <w:spacing w:before="125"/>
        <w:ind w:left="3310" w:hanging="358"/>
        <w:rPr>
          <w:sz w:val="20"/>
        </w:rPr>
      </w:pPr>
      <w:r>
        <w:rPr>
          <w:sz w:val="20"/>
        </w:rPr>
        <w:t>palvelun tai</w:t>
      </w:r>
    </w:p>
    <w:p w14:paraId="69487B12" w14:textId="77777777" w:rsidR="0006113D" w:rsidRDefault="00546668">
      <w:pPr>
        <w:pStyle w:val="ListParagraph"/>
        <w:numPr>
          <w:ilvl w:val="1"/>
          <w:numId w:val="12"/>
        </w:numPr>
        <w:tabs>
          <w:tab w:val="left" w:pos="3309"/>
        </w:tabs>
        <w:spacing w:before="164"/>
        <w:ind w:left="3309" w:hanging="357"/>
        <w:rPr>
          <w:sz w:val="20"/>
        </w:rPr>
      </w:pPr>
      <w:r>
        <w:rPr>
          <w:sz w:val="20"/>
        </w:rPr>
        <w:t>siitä erotettavissa olevan osan pääasiallisena tarkoituksena on</w:t>
      </w:r>
    </w:p>
    <w:p w14:paraId="1CA64964" w14:textId="77777777" w:rsidR="0006113D" w:rsidRDefault="00546668">
      <w:pPr>
        <w:pStyle w:val="BodyText"/>
        <w:spacing w:before="161" w:line="290" w:lineRule="auto"/>
        <w:ind w:left="2664" w:right="865"/>
        <w:jc w:val="both"/>
      </w:pPr>
      <w:r>
        <w:t>tarjota yleisölle ohjelmia mediapalvelun tarjoajan toimituksellisella vastuulla tiedonvälitys-, viihdytys- tai valistustarkoituksessa sähköisten viestintäverkkojen avulla, tai</w:t>
      </w:r>
    </w:p>
    <w:p w14:paraId="325A51BA" w14:textId="77777777" w:rsidR="0006113D" w:rsidRDefault="00546668">
      <w:pPr>
        <w:pStyle w:val="ListParagraph"/>
        <w:numPr>
          <w:ilvl w:val="0"/>
          <w:numId w:val="12"/>
        </w:numPr>
        <w:tabs>
          <w:tab w:val="left" w:pos="2602"/>
        </w:tabs>
        <w:spacing w:before="121"/>
        <w:ind w:left="2602" w:hanging="464"/>
        <w:jc w:val="both"/>
        <w:rPr>
          <w:sz w:val="20"/>
        </w:rPr>
      </w:pPr>
      <w:r>
        <w:rPr>
          <w:sz w:val="20"/>
        </w:rPr>
        <w:t>tarjota audiovis</w:t>
      </w:r>
      <w:r>
        <w:rPr>
          <w:sz w:val="20"/>
        </w:rPr>
        <w:t>uaalista kaupallista viestintää;</w:t>
      </w:r>
    </w:p>
    <w:p w14:paraId="4DFE2296" w14:textId="77777777" w:rsidR="0006113D" w:rsidRDefault="0006113D">
      <w:pPr>
        <w:pStyle w:val="BodyText"/>
        <w:spacing w:before="60"/>
      </w:pPr>
    </w:p>
    <w:p w14:paraId="2981C26A" w14:textId="77777777" w:rsidR="0006113D" w:rsidRDefault="00546668">
      <w:pPr>
        <w:pStyle w:val="BodyText"/>
        <w:spacing w:before="1" w:line="292" w:lineRule="auto"/>
        <w:ind w:left="1853" w:right="859"/>
        <w:jc w:val="both"/>
      </w:pPr>
      <w:r>
        <w:rPr>
          <w:b/>
        </w:rPr>
        <w:t>’tilattavalla audiovisuaalisella mediapalvelulla (tilattava palvelu)”</w:t>
      </w:r>
      <w:r>
        <w:t xml:space="preserve"> tarkoitetaan audiovisuaalista mediapalvelua, jonka mediapalvelun tarjoaja tarjoaa ohjelmien katselemiseksi käyttäjän valitsemana ajankohtana ja käyttäjä</w:t>
      </w:r>
      <w:r>
        <w:t>n omasta pyynnöstä mediapalvelun tarjoajan valikoimista ohjelmista tehdyn luettelon pohjalta;</w:t>
      </w:r>
    </w:p>
    <w:p w14:paraId="49962F1D" w14:textId="77777777" w:rsidR="0006113D" w:rsidRDefault="0006113D">
      <w:pPr>
        <w:spacing w:line="292" w:lineRule="auto"/>
        <w:jc w:val="both"/>
        <w:rPr>
          <w:lang w:val="el-GR"/>
        </w:rPr>
      </w:pPr>
    </w:p>
    <w:p w14:paraId="567D094F" w14:textId="77777777" w:rsidR="0006113D" w:rsidRDefault="00546668">
      <w:pPr>
        <w:pStyle w:val="BodyText"/>
        <w:spacing w:before="79" w:line="292" w:lineRule="auto"/>
        <w:ind w:left="1853" w:right="865"/>
        <w:jc w:val="both"/>
      </w:pPr>
      <w:r>
        <w:rPr>
          <w:b/>
        </w:rPr>
        <w:t>’ohjelmatekstityksellä’</w:t>
      </w:r>
      <w:r>
        <w:t xml:space="preserve"> tarkoitetaan ruudulla olevaa tekstiä, jolla kuvataan sitä, mitä ruudulla sanotaan. Vaikka se on samankaltainen kuin tekstitys, se ei kuit</w:t>
      </w:r>
      <w:r>
        <w:t>enkaan ole niin pitkälle kehitetty ja on enemmän peruskuva siitä, mitä ruudulla sanotaan; joissakin tapauksissa siinä on vain yksi väri, se on sanatarkka ja sen teksti voi olla kirjoitettu vain isoilla kirjaimilla;</w:t>
      </w:r>
    </w:p>
    <w:p w14:paraId="15DB01AE" w14:textId="77777777" w:rsidR="0006113D" w:rsidRDefault="0006113D">
      <w:pPr>
        <w:pStyle w:val="BodyText"/>
        <w:spacing w:before="47"/>
      </w:pPr>
    </w:p>
    <w:p w14:paraId="0DDC2BDB" w14:textId="77777777" w:rsidR="0006113D" w:rsidRDefault="00546668">
      <w:pPr>
        <w:spacing w:before="1"/>
        <w:ind w:left="1853"/>
        <w:jc w:val="both"/>
        <w:rPr>
          <w:sz w:val="20"/>
        </w:rPr>
      </w:pPr>
      <w:r>
        <w:rPr>
          <w:b/>
          <w:sz w:val="20"/>
        </w:rPr>
        <w:t>’lapsella tai lapsilla’</w:t>
      </w:r>
      <w:r>
        <w:rPr>
          <w:sz w:val="20"/>
        </w:rPr>
        <w:t xml:space="preserve"> tarkoitetaan yhtä tai useampaa alle 18-vuotiasta henkilöä;</w:t>
      </w:r>
    </w:p>
    <w:p w14:paraId="528B3A83" w14:textId="77777777" w:rsidR="0006113D" w:rsidRDefault="0006113D">
      <w:pPr>
        <w:pStyle w:val="BodyText"/>
        <w:spacing w:before="60"/>
      </w:pPr>
    </w:p>
    <w:p w14:paraId="42509825" w14:textId="77777777" w:rsidR="0006113D" w:rsidRDefault="00546668">
      <w:pPr>
        <w:pStyle w:val="BodyText"/>
        <w:spacing w:line="292" w:lineRule="auto"/>
        <w:ind w:left="1853" w:right="859"/>
        <w:jc w:val="both"/>
      </w:pPr>
      <w:r>
        <w:rPr>
          <w:b/>
        </w:rPr>
        <w:t>’toimituksellisella vastuulla’</w:t>
      </w:r>
      <w:r>
        <w:t xml:space="preserve"> tarkoitetaan sekä ohjelmien valinnan että niiden organisoinnin tosiasiallista valvontaa televisiolähetysten osalta aikataulun mukaisesti ja tilattavien audiovisuaalisten mediapalvelujen osalta ohjelmaluettelon mukaisesti. Toimituksellinen vastuu ei välttä</w:t>
      </w:r>
      <w:r>
        <w:t>mättä merkitse kansallisen lainsäädännön mukaista oikeudellista vastuuta tarjotusta sisällöstä tai palveluista;</w:t>
      </w:r>
    </w:p>
    <w:p w14:paraId="28E99424" w14:textId="77777777" w:rsidR="0006113D" w:rsidRDefault="0006113D">
      <w:pPr>
        <w:pStyle w:val="BodyText"/>
        <w:spacing w:before="7"/>
      </w:pPr>
    </w:p>
    <w:p w14:paraId="23E4F49C" w14:textId="77777777" w:rsidR="0006113D" w:rsidRDefault="00546668">
      <w:pPr>
        <w:pStyle w:val="BodyText"/>
        <w:spacing w:line="292" w:lineRule="auto"/>
        <w:ind w:left="1853" w:right="860"/>
        <w:jc w:val="both"/>
      </w:pPr>
      <w:r>
        <w:rPr>
          <w:b/>
        </w:rPr>
        <w:t xml:space="preserve">’sähköisellä viestintäverkolla’ </w:t>
      </w:r>
      <w:r>
        <w:t xml:space="preserve">tarkoitetaan siirtojärjestelmiä riippumatta siitä, perustuvatko ne pysyvään infrastruktuuriin vai keskitettyyn </w:t>
      </w:r>
      <w:r>
        <w:t>hallintokapasiteettiin, sekä soveltuvin osin kytkentä- tai reitityslaitteistoa ja muita välineitä – myös verkkoelementtejä, jotka eivät ole aktiivisia – joilla voidaan siirtää signaaleja johtojen välityksellä, radioteitse, optisesti tai muulla sähkömagneet</w:t>
      </w:r>
      <w:r>
        <w:t>tisella tavalla, mukaan luettuina satelliittiverkot, kiinteät (piiri- ja pakettikytkentäiset, mukaan luettuna internet) ja matkaviestintäverkot, sähkökaapelijärjestelmät siinä määrin kuin niitä käytetään signaalinsiirtoon, radio- ja televisiolähetyksiin kä</w:t>
      </w:r>
      <w:r>
        <w:t>ytetyt verkot sekä kaapelitelevisioverkot riippumatta siitä, minkä tyyppistä informaatiota niissä siirretään;</w:t>
      </w:r>
    </w:p>
    <w:p w14:paraId="2188BBBF" w14:textId="77777777" w:rsidR="0006113D" w:rsidRDefault="0006113D">
      <w:pPr>
        <w:pStyle w:val="BodyText"/>
        <w:spacing w:before="5"/>
      </w:pPr>
    </w:p>
    <w:p w14:paraId="15975546" w14:textId="77777777" w:rsidR="0006113D" w:rsidRDefault="00546668">
      <w:pPr>
        <w:pStyle w:val="BodyText"/>
        <w:spacing w:line="292" w:lineRule="auto"/>
        <w:ind w:left="1853" w:right="865"/>
        <w:jc w:val="both"/>
      </w:pPr>
      <w:r>
        <w:t>’</w:t>
      </w:r>
      <w:r>
        <w:rPr>
          <w:b/>
        </w:rPr>
        <w:t>iirin viittomakielellä</w:t>
      </w:r>
      <w:r>
        <w:t>’ tarkoitetaan kuurojen yhteisön luonnollista äidinkieltä Irlannissa. Se on visuaalinen, tilallinen kieli, jossa käytetään</w:t>
      </w:r>
      <w:r>
        <w:t xml:space="preserve"> sekä käsiä että kasvoja ja kehoa. Irlannin viittomakielellä on omat kehittyneet kielelliset rakenteensa, sääntönsä ja piirteensä.</w:t>
      </w:r>
    </w:p>
    <w:p w14:paraId="69AF0B76" w14:textId="77777777" w:rsidR="0006113D" w:rsidRDefault="0006113D">
      <w:pPr>
        <w:pStyle w:val="BodyText"/>
        <w:spacing w:before="9"/>
      </w:pPr>
    </w:p>
    <w:p w14:paraId="7B578E12" w14:textId="77777777" w:rsidR="0006113D" w:rsidRDefault="00546668">
      <w:pPr>
        <w:pStyle w:val="BodyText"/>
        <w:spacing w:line="292" w:lineRule="auto"/>
        <w:ind w:left="1853" w:right="863"/>
        <w:jc w:val="both"/>
      </w:pPr>
      <w:r>
        <w:rPr>
          <w:b/>
        </w:rPr>
        <w:t>’mediapalvelun tarjoajalla’</w:t>
      </w:r>
      <w:r>
        <w:t xml:space="preserve"> tarkoitetaan luonnollista henkilöä tai oikeushenkilöä, jolla on toimituksellinen vastuu audiovis</w:t>
      </w:r>
      <w:r>
        <w:t xml:space="preserve">uaalisen mediapalvelun audiovisuaalisen sisällön </w:t>
      </w:r>
      <w:r>
        <w:lastRenderedPageBreak/>
        <w:t>valinnasta ja joka määrää siitä, millä tavalla sisältö organisoidaan;</w:t>
      </w:r>
    </w:p>
    <w:p w14:paraId="68F2516E" w14:textId="77777777" w:rsidR="0006113D" w:rsidRDefault="0006113D">
      <w:pPr>
        <w:pStyle w:val="BodyText"/>
        <w:spacing w:before="8"/>
      </w:pPr>
    </w:p>
    <w:p w14:paraId="332AE3C5" w14:textId="77777777" w:rsidR="0006113D" w:rsidRDefault="00546668">
      <w:pPr>
        <w:pStyle w:val="BodyText"/>
        <w:spacing w:line="292" w:lineRule="auto"/>
        <w:ind w:left="1853" w:right="861"/>
        <w:jc w:val="both"/>
      </w:pPr>
      <w:r>
        <w:rPr>
          <w:b/>
        </w:rPr>
        <w:t xml:space="preserve">’tuotesijoittelulla’ </w:t>
      </w:r>
      <w:r>
        <w:t>tarkoitetaan kaikenlaista audiovisuaalista kaupallista viestintää, jossa ohjelmaan tai käyttäjien tuottamaan videoo</w:t>
      </w:r>
      <w:r>
        <w:t>n sisällytetään tuote, palvelu, tavaramerkki tai näitä koskeva viittaus maksua tai muuta samankaltaista vastiketta vastaan;</w:t>
      </w:r>
    </w:p>
    <w:p w14:paraId="0F70CB3F" w14:textId="77777777" w:rsidR="0006113D" w:rsidRDefault="00546668">
      <w:pPr>
        <w:pStyle w:val="BodyText"/>
        <w:spacing w:before="119" w:line="292" w:lineRule="auto"/>
        <w:ind w:left="1853" w:right="863"/>
        <w:jc w:val="both"/>
      </w:pPr>
      <w:r>
        <w:rPr>
          <w:b/>
        </w:rPr>
        <w:t xml:space="preserve">’ohjelmalla’ </w:t>
      </w:r>
      <w:r>
        <w:t>tarkoitetaan ääntä sisältävää tai ääntä sisältämätöntä liikkuvien kuvien sarjaa, joka muodostaa pituudestaan riippumatt</w:t>
      </w:r>
      <w:r>
        <w:t>a yhden yksittäisen osan mediapalvelun tarjoajan laatimassa ohjelma-aikataulussa tai ohjelmaluettelossa, mukaan lukien pitkät elokuvat, videoleikkeet, urheilutapahtumat, tilannekomediat, dokumenttiohjelmat, lastenohjelmat ja draamaohjelmat.</w:t>
      </w:r>
    </w:p>
    <w:p w14:paraId="7531D8B8" w14:textId="77777777" w:rsidR="0006113D" w:rsidRDefault="0006113D">
      <w:pPr>
        <w:pStyle w:val="BodyText"/>
        <w:spacing w:before="6"/>
      </w:pPr>
    </w:p>
    <w:p w14:paraId="14540AD3" w14:textId="77777777" w:rsidR="0006113D" w:rsidRDefault="00546668">
      <w:pPr>
        <w:pStyle w:val="BodyText"/>
        <w:spacing w:line="292" w:lineRule="auto"/>
        <w:ind w:left="1853" w:right="859"/>
        <w:jc w:val="both"/>
      </w:pPr>
      <w:r>
        <w:rPr>
          <w:b/>
        </w:rPr>
        <w:t>’Viittomakiele</w:t>
      </w:r>
      <w:r>
        <w:rPr>
          <w:b/>
        </w:rPr>
        <w:t>llä’</w:t>
      </w:r>
      <w:r>
        <w:t xml:space="preserve"> tarkoitetaan kuurojen yhteisön luonnollista äidinkieltä. Se on visuaalinen, tilallinen kieli, jossa käytetään sekä käsiä että kasvoja ja kehoa. Viittomakielellä on oma kehittynyt kieliopillinen rakenteensa sääntöineen ja piirteineen.</w:t>
      </w:r>
    </w:p>
    <w:p w14:paraId="35DD2BA0" w14:textId="77777777" w:rsidR="0006113D" w:rsidRDefault="0006113D">
      <w:pPr>
        <w:spacing w:line="292" w:lineRule="auto"/>
        <w:jc w:val="both"/>
        <w:rPr>
          <w:lang w:val="el-GR"/>
        </w:rPr>
      </w:pPr>
    </w:p>
    <w:p w14:paraId="0719D7A1" w14:textId="77777777" w:rsidR="0006113D" w:rsidRDefault="00546668">
      <w:pPr>
        <w:pStyle w:val="BodyText"/>
        <w:spacing w:before="79" w:line="292" w:lineRule="auto"/>
        <w:ind w:left="1853" w:right="859"/>
        <w:jc w:val="both"/>
      </w:pPr>
      <w:r>
        <w:rPr>
          <w:b/>
        </w:rPr>
        <w:t xml:space="preserve">’sponsoroinnilla’ </w:t>
      </w:r>
      <w:r>
        <w:t xml:space="preserve">tarkoitetaan kaikkea osallistumista audiovisuaalisten mediapalvelujen, videonjakoalustapalvelujen, käyttäjien tuottamien videoiden tai ohjelmien rahoitukseen, jos rahoittaja on sellainen julkinen tai yksityinen yritys taikka luonnollinen </w:t>
      </w:r>
      <w:r>
        <w:t>henkilö, joka ei harjoita audiovisuaalisten mediapalvelujen tai videonjakoalustapalvelujen tarjoamista eikä audiovisuaalisten teosten tuottamista, ja jos tarkoituksena on edistää yrityksen tai henkilön nimeä, tavaramerkkiä, julkista kuvaa, toimintaa tai se</w:t>
      </w:r>
      <w:r>
        <w:t>n tuotteiden myyntiä;</w:t>
      </w:r>
    </w:p>
    <w:p w14:paraId="0571E261" w14:textId="77777777" w:rsidR="0006113D" w:rsidRDefault="0006113D">
      <w:pPr>
        <w:pStyle w:val="BodyText"/>
        <w:spacing w:before="7"/>
      </w:pPr>
    </w:p>
    <w:p w14:paraId="7D066120" w14:textId="77777777" w:rsidR="0006113D" w:rsidRDefault="00546668">
      <w:pPr>
        <w:pStyle w:val="BodyText"/>
        <w:spacing w:line="292" w:lineRule="auto"/>
        <w:ind w:left="1853" w:right="858"/>
        <w:jc w:val="both"/>
      </w:pPr>
      <w:r>
        <w:rPr>
          <w:b/>
        </w:rPr>
        <w:t xml:space="preserve">’piilotetusti toteutetulla audiovisuaalisella kaupallisella viestinnällä’ </w:t>
      </w:r>
      <w:r>
        <w:t>tarkoitetaan tavaranvalmistajan tai palveluntarjoajan tavaroiden, palvelujen, nimen, tavaramerkin tai toiminnan sanallista tai kuvallista esittämistä ohjelmiss</w:t>
      </w:r>
      <w:r>
        <w:t xml:space="preserve">a siten, että mediapalvelun tarjoajan tarkoituksena on käyttää tätä esittämistä mainostarkoituksessa ja siten, että se saattaa johtaa yleisöä harhaan esittämisen luonteen suhteen. Tällaista esittämistä pidetään tarkoituksellisena, erityisesti silloin, kun </w:t>
      </w:r>
      <w:r>
        <w:t>se tehdään maksua tai muuta vastiketta vastaan;</w:t>
      </w:r>
    </w:p>
    <w:p w14:paraId="78C90A2C" w14:textId="77777777" w:rsidR="0006113D" w:rsidRDefault="0006113D">
      <w:pPr>
        <w:pStyle w:val="BodyText"/>
        <w:spacing w:before="6"/>
      </w:pPr>
    </w:p>
    <w:p w14:paraId="53983C6F" w14:textId="77777777" w:rsidR="0006113D" w:rsidRDefault="00546668">
      <w:pPr>
        <w:pStyle w:val="BodyText"/>
        <w:spacing w:before="1" w:line="292" w:lineRule="auto"/>
        <w:ind w:left="1853" w:right="865"/>
        <w:jc w:val="both"/>
      </w:pPr>
      <w:r>
        <w:rPr>
          <w:b/>
        </w:rPr>
        <w:t xml:space="preserve">’alitajunnan kautta vaikuttavilla tekniikoilla’ </w:t>
      </w:r>
      <w:r>
        <w:t>tarkoitetaan kaupallista viestintää, johon sisältyy teknisiä laitteita ja jossa käyttämällä hyvin lyhytkestoisia kuvia tai muulla tavoin hyödynnetään mahdollis</w:t>
      </w:r>
      <w:r>
        <w:t>uutta välittää viesti yleisölle tai vaikuttaa muulla tavoin heidän mieliinsä ilman, että he ovat tietoisia tai täysin tietoisia siitä, mitä on tapahtunut;</w:t>
      </w:r>
    </w:p>
    <w:p w14:paraId="1253514F" w14:textId="77777777" w:rsidR="0006113D" w:rsidRDefault="0006113D">
      <w:pPr>
        <w:pStyle w:val="BodyText"/>
        <w:spacing w:before="9"/>
      </w:pPr>
    </w:p>
    <w:p w14:paraId="2162F527" w14:textId="77777777" w:rsidR="0006113D" w:rsidRDefault="00546668">
      <w:pPr>
        <w:pStyle w:val="BodyText"/>
        <w:spacing w:line="292" w:lineRule="auto"/>
        <w:ind w:left="1853" w:right="865"/>
        <w:jc w:val="both"/>
      </w:pPr>
      <w:r>
        <w:rPr>
          <w:b/>
        </w:rPr>
        <w:t>’tekstityksellä’</w:t>
      </w:r>
      <w:r>
        <w:t xml:space="preserve"> tarkoitetaan ruudulla olevaa tekstiä, jolla kuvataan sitä, mitä ruudulla sanotaan. </w:t>
      </w:r>
      <w:r>
        <w:t xml:space="preserve">Tekstitys voi olla avoin tai suljettava. Avoin tekstitys on tekstitystä, joka pysyy ruudulla koko ajan. Suljettavasta tekstityksestä voidaan tehdä näkyvä tai se voidaan poistaa näkyvistä katsojien toiveen mukaan esimerkiksi kaukosäätimen avulla. Tekstitys </w:t>
      </w:r>
      <w:r>
        <w:t>on muotoiltu siten, että se auttaa tulkitsemaan ja ymmärtämään tekstiä ja yhdistämään sen tarkemmin ruudulla tapahtuvaan toimintaan.</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bookmarkStart w:id="15" w:name="_Toc183087720"/>
      <w:r>
        <w:br w:type="page"/>
      </w:r>
    </w:p>
    <w:p w14:paraId="472AAD28" w14:textId="400BC38C" w:rsidR="0006113D" w:rsidRDefault="00546668">
      <w:pPr>
        <w:pStyle w:val="Heading1"/>
        <w:spacing w:before="23"/>
        <w:ind w:left="395" w:right="327" w:firstLine="0"/>
        <w:jc w:val="center"/>
      </w:pPr>
      <w:r>
        <w:lastRenderedPageBreak/>
        <w:t>Mediapalvelusäännöstön määräykset</w:t>
      </w:r>
      <w:bookmarkEnd w:id="15"/>
    </w:p>
    <w:p w14:paraId="4B41C227" w14:textId="77777777" w:rsidR="0006113D" w:rsidRDefault="00546668">
      <w:pPr>
        <w:pStyle w:val="BodyText"/>
        <w:spacing w:before="278"/>
        <w:ind w:left="395" w:right="218"/>
        <w:jc w:val="center"/>
      </w:pPr>
      <w:r>
        <w:t>Jäljempänä esitetyt määräykset annetaan lain 46N §:n 1 ja 5 momentin nojalla.</w:t>
      </w:r>
    </w:p>
    <w:p w14:paraId="34C23E37" w14:textId="77777777" w:rsidR="0006113D" w:rsidRDefault="0006113D">
      <w:pPr>
        <w:pStyle w:val="BodyText"/>
        <w:spacing w:before="43"/>
      </w:pPr>
    </w:p>
    <w:p w14:paraId="1AD99AFA" w14:textId="77777777" w:rsidR="0006113D" w:rsidRDefault="00546668">
      <w:pPr>
        <w:pStyle w:val="Heading1"/>
        <w:numPr>
          <w:ilvl w:val="0"/>
          <w:numId w:val="13"/>
        </w:numPr>
        <w:tabs>
          <w:tab w:val="left" w:pos="1853"/>
        </w:tabs>
        <w:jc w:val="left"/>
        <w:rPr>
          <w:color w:val="391200"/>
        </w:rPr>
      </w:pPr>
      <w:bookmarkStart w:id="16" w:name="_Toc183087721"/>
      <w:r>
        <w:rPr>
          <w:color w:val="391200"/>
        </w:rPr>
        <w:t>Haitallinen sisältö</w:t>
      </w:r>
      <w:bookmarkEnd w:id="16"/>
    </w:p>
    <w:p w14:paraId="291B17E1" w14:textId="77777777" w:rsidR="0006113D" w:rsidRDefault="00546668">
      <w:pPr>
        <w:pStyle w:val="ListParagraph"/>
        <w:numPr>
          <w:ilvl w:val="1"/>
          <w:numId w:val="13"/>
        </w:numPr>
        <w:tabs>
          <w:tab w:val="left" w:pos="1852"/>
          <w:tab w:val="left" w:pos="1855"/>
        </w:tabs>
        <w:spacing w:before="278" w:line="292" w:lineRule="auto"/>
        <w:ind w:left="1855" w:right="856" w:hanging="852"/>
        <w:jc w:val="both"/>
        <w:rPr>
          <w:sz w:val="20"/>
        </w:rPr>
      </w:pPr>
      <w:r>
        <w:rPr>
          <w:sz w:val="20"/>
        </w:rPr>
        <w:t>Lain 46J §:n 1 momentin c ja d kohdan mukaan tilattavia palveluja tarjoavat mediapalvelun tarjoajat eivät saa asettaa palveluluettelossa saataville</w:t>
      </w:r>
    </w:p>
    <w:p w14:paraId="0F6FC8EA" w14:textId="77777777" w:rsidR="0006113D" w:rsidRDefault="0006113D">
      <w:pPr>
        <w:pStyle w:val="BodyText"/>
        <w:spacing w:before="8"/>
      </w:pPr>
    </w:p>
    <w:p w14:paraId="4E7B78FF" w14:textId="77777777" w:rsidR="0006113D" w:rsidRDefault="00546668">
      <w:pPr>
        <w:pStyle w:val="ListParagraph"/>
        <w:numPr>
          <w:ilvl w:val="2"/>
          <w:numId w:val="13"/>
        </w:numPr>
        <w:tabs>
          <w:tab w:val="left" w:pos="2705"/>
        </w:tabs>
        <w:spacing w:before="1" w:line="292" w:lineRule="auto"/>
        <w:ind w:right="862"/>
        <w:jc w:val="both"/>
        <w:rPr>
          <w:sz w:val="20"/>
        </w:rPr>
      </w:pPr>
      <w:r>
        <w:rPr>
          <w:sz w:val="20"/>
        </w:rPr>
        <w:t>mitään, minkä voidaan kohtuudella katsoa kuuluvan direktiivin (EU) 2017/541 5 artiklass</w:t>
      </w:r>
      <w:r>
        <w:rPr>
          <w:sz w:val="20"/>
        </w:rPr>
        <w:t>a tarkoitettuun käsitteeseen ’julkinen yllytys terrorismirikokseen’;</w:t>
      </w:r>
    </w:p>
    <w:p w14:paraId="71DDAD1E" w14:textId="77777777" w:rsidR="0006113D" w:rsidRDefault="0006113D">
      <w:pPr>
        <w:pStyle w:val="BodyText"/>
        <w:spacing w:before="8"/>
      </w:pPr>
    </w:p>
    <w:p w14:paraId="604759F9" w14:textId="0472C97F" w:rsidR="0006113D" w:rsidRDefault="00546668">
      <w:pPr>
        <w:pStyle w:val="ListParagraph"/>
        <w:numPr>
          <w:ilvl w:val="2"/>
          <w:numId w:val="13"/>
        </w:numPr>
        <w:tabs>
          <w:tab w:val="left" w:pos="2705"/>
        </w:tabs>
        <w:spacing w:line="292" w:lineRule="auto"/>
        <w:ind w:right="857"/>
        <w:jc w:val="both"/>
        <w:rPr>
          <w:sz w:val="20"/>
        </w:rPr>
      </w:pPr>
      <w:r>
        <w:rPr>
          <w:sz w:val="20"/>
        </w:rPr>
        <w:t>mitään, minkä voidaan kohtuudella katsoa yllyttävän ihmisryhmään tai ryhmän jäseneen kohdistuvaan väkivaltaan tai vihaan jonkin perusoikeuskirjan 21 artiklassa tarkoitetun perusteen peru</w:t>
      </w:r>
      <w:r>
        <w:rPr>
          <w:sz w:val="20"/>
        </w:rPr>
        <w:t>steella</w:t>
      </w:r>
      <w:r w:rsidR="003C0382">
        <w:rPr>
          <w:rStyle w:val="FootnoteReference"/>
          <w:sz w:val="20"/>
        </w:rPr>
        <w:footnoteReference w:id="3"/>
      </w:r>
      <w:r>
        <w:rPr>
          <w:sz w:val="20"/>
        </w:rPr>
        <w:t xml:space="preserve">. Näitä ovat sukupuoli, rotu, ihonväri, etninen tai yhteiskunnallinen alkuperä, geneettiset ominaisuudet, kieli, uskonto tai vakaumus, poliittiset tai muut mielipiteet, kansalliseen vähemmistöön kuuluminen, varallisuus, syntyperä, vammaisuus, ikä </w:t>
      </w:r>
      <w:r>
        <w:rPr>
          <w:sz w:val="20"/>
        </w:rPr>
        <w:t>tai sukupuolinen suuntautuminen. Kansalaisuus on tällainen peruste, sanotun kuitenkaan rajoittamatta Euroopan yhteisön perustamissopimuksen ja Euroopan unionista tehdyn sopimuksen erityismääräysten soveltamista.</w:t>
      </w:r>
    </w:p>
    <w:p w14:paraId="2C538BE3" w14:textId="77777777" w:rsidR="0006113D" w:rsidRDefault="0006113D">
      <w:pPr>
        <w:pStyle w:val="BodyText"/>
        <w:spacing w:before="5"/>
      </w:pPr>
    </w:p>
    <w:p w14:paraId="1C2A428F" w14:textId="77777777" w:rsidR="0006113D" w:rsidRDefault="00546668">
      <w:pPr>
        <w:pStyle w:val="ListParagraph"/>
        <w:numPr>
          <w:ilvl w:val="1"/>
          <w:numId w:val="13"/>
        </w:numPr>
        <w:tabs>
          <w:tab w:val="left" w:pos="1852"/>
          <w:tab w:val="left" w:pos="1855"/>
        </w:tabs>
        <w:spacing w:line="292" w:lineRule="auto"/>
        <w:ind w:left="1855" w:right="857" w:hanging="852"/>
        <w:jc w:val="both"/>
        <w:rPr>
          <w:sz w:val="20"/>
        </w:rPr>
      </w:pPr>
      <w:r>
        <w:rPr>
          <w:sz w:val="20"/>
        </w:rPr>
        <w:t>Tilattavia palveluja tarjoavien mediapalvel</w:t>
      </w:r>
      <w:r>
        <w:rPr>
          <w:sz w:val="20"/>
        </w:rPr>
        <w:t>un tarjoajien on annettava katsojille riittävästi tietoa sisällöstä, joka voi haitata lasten fyysistä, henkistä tai moraalista kehitystä, sanotun kuitenkaan rajoittamatta 11.1 kohdan soveltamista. Mediapalvelun tarjoajan on käytettävä järjestelmää, jossa k</w:t>
      </w:r>
      <w:r>
        <w:rPr>
          <w:sz w:val="20"/>
        </w:rPr>
        <w:t>uvataan sen tilattavan audiovisuaalisen mediapalvelun sisällön mahdollista haitallista luonnetta.</w:t>
      </w:r>
    </w:p>
    <w:p w14:paraId="1C48192E" w14:textId="77777777" w:rsidR="0006113D" w:rsidRDefault="0006113D">
      <w:pPr>
        <w:pStyle w:val="BodyText"/>
        <w:spacing w:before="47"/>
      </w:pPr>
    </w:p>
    <w:p w14:paraId="14FABA27" w14:textId="77777777" w:rsidR="0006113D" w:rsidRDefault="00546668">
      <w:pPr>
        <w:pStyle w:val="ListParagraph"/>
        <w:numPr>
          <w:ilvl w:val="1"/>
          <w:numId w:val="13"/>
        </w:numPr>
        <w:tabs>
          <w:tab w:val="left" w:pos="1852"/>
          <w:tab w:val="left" w:pos="1855"/>
        </w:tabs>
        <w:spacing w:before="1" w:line="292" w:lineRule="auto"/>
        <w:ind w:left="1855" w:right="862" w:hanging="852"/>
        <w:jc w:val="both"/>
        <w:rPr>
          <w:sz w:val="20"/>
        </w:rPr>
      </w:pPr>
      <w:r>
        <w:rPr>
          <w:sz w:val="20"/>
        </w:rPr>
        <w:t>Tilattavia palveluja tarjoavien mediapalvelun tarjoajien on toteutettava asianmukaiset toimenpiteet sen varmistamiseksi, että ohjelmat, joissa on sisältöä, j</w:t>
      </w:r>
      <w:r>
        <w:rPr>
          <w:sz w:val="20"/>
        </w:rPr>
        <w:t>oka voi haitata lasten fyysistä, henkistä tai moraalista kehitystä, mukaan lukien muun muassa seuraavat:</w:t>
      </w:r>
    </w:p>
    <w:p w14:paraId="71C425BC" w14:textId="77777777" w:rsidR="0006113D" w:rsidRDefault="0006113D">
      <w:pPr>
        <w:pStyle w:val="BodyText"/>
        <w:spacing w:before="48"/>
      </w:pPr>
    </w:p>
    <w:p w14:paraId="0CE886A6" w14:textId="77777777" w:rsidR="0006113D" w:rsidRDefault="00546668">
      <w:pPr>
        <w:pStyle w:val="ListParagraph"/>
        <w:numPr>
          <w:ilvl w:val="2"/>
          <w:numId w:val="13"/>
        </w:numPr>
        <w:tabs>
          <w:tab w:val="left" w:pos="2705"/>
        </w:tabs>
        <w:spacing w:before="1"/>
        <w:ind w:hanging="852"/>
        <w:rPr>
          <w:sz w:val="20"/>
        </w:rPr>
      </w:pPr>
      <w:r>
        <w:rPr>
          <w:sz w:val="20"/>
        </w:rPr>
        <w:t>pornografiaa,</w:t>
      </w:r>
    </w:p>
    <w:p w14:paraId="4F8250C4" w14:textId="77777777" w:rsidR="0006113D" w:rsidRDefault="0006113D">
      <w:pPr>
        <w:pStyle w:val="BodyText"/>
        <w:spacing w:before="60"/>
      </w:pPr>
    </w:p>
    <w:p w14:paraId="55614D76" w14:textId="77777777" w:rsidR="0006113D" w:rsidRDefault="00546668">
      <w:pPr>
        <w:pStyle w:val="ListParagraph"/>
        <w:numPr>
          <w:ilvl w:val="2"/>
          <w:numId w:val="13"/>
        </w:numPr>
        <w:tabs>
          <w:tab w:val="left" w:pos="2705"/>
        </w:tabs>
        <w:spacing w:line="292" w:lineRule="auto"/>
        <w:ind w:right="860" w:hanging="852"/>
        <w:jc w:val="both"/>
        <w:rPr>
          <w:sz w:val="20"/>
        </w:rPr>
      </w:pPr>
      <w:r>
        <w:rPr>
          <w:sz w:val="20"/>
        </w:rPr>
        <w:t>perusteetonta väkivaltaa,</w:t>
      </w:r>
      <w:r>
        <w:rPr>
          <w:sz w:val="20"/>
        </w:rPr>
        <w:br/>
      </w:r>
      <w:r>
        <w:rPr>
          <w:sz w:val="20"/>
        </w:rPr>
        <w:t>saatetaan tarjolle ainoastaan tavalla, jolla varmistetaan, etteivät lapset normaalisti kuule tai näe niitä.</w:t>
      </w:r>
    </w:p>
    <w:p w14:paraId="10E5950A" w14:textId="77777777" w:rsidR="0006113D" w:rsidRDefault="0006113D">
      <w:pPr>
        <w:pStyle w:val="BodyText"/>
        <w:spacing w:before="8"/>
      </w:pPr>
    </w:p>
    <w:p w14:paraId="52936D0F" w14:textId="77777777" w:rsidR="0006113D" w:rsidRDefault="00546668">
      <w:pPr>
        <w:pStyle w:val="ListParagraph"/>
        <w:numPr>
          <w:ilvl w:val="1"/>
          <w:numId w:val="13"/>
        </w:numPr>
        <w:tabs>
          <w:tab w:val="left" w:pos="1852"/>
          <w:tab w:val="left" w:pos="1855"/>
        </w:tabs>
        <w:spacing w:before="1" w:line="292" w:lineRule="auto"/>
        <w:ind w:left="1855" w:right="860" w:hanging="852"/>
        <w:jc w:val="both"/>
        <w:rPr>
          <w:sz w:val="20"/>
        </w:rPr>
      </w:pPr>
      <w:r>
        <w:rPr>
          <w:sz w:val="20"/>
        </w:rPr>
        <w:t>Edellä 11.3 kohdassa tarkoitetut asianmukaiset toimenpiteet voivat edellyttää tilattavien audiovisuaalisten mediapalvelujen tarjoajien käyttämiä su</w:t>
      </w:r>
      <w:r>
        <w:rPr>
          <w:sz w:val="20"/>
        </w:rPr>
        <w:t>ojelumekanismeja (kaikkia tai osaa niistä), mukaan lukien seuraavat:</w:t>
      </w:r>
    </w:p>
    <w:p w14:paraId="7CCBBCC6" w14:textId="77777777" w:rsidR="0006113D" w:rsidRDefault="0006113D">
      <w:pPr>
        <w:pStyle w:val="BodyText"/>
        <w:spacing w:before="10"/>
      </w:pPr>
    </w:p>
    <w:p w14:paraId="2F160073" w14:textId="77777777" w:rsidR="0006113D" w:rsidRDefault="00546668">
      <w:pPr>
        <w:pStyle w:val="ListParagraph"/>
        <w:numPr>
          <w:ilvl w:val="0"/>
          <w:numId w:val="11"/>
        </w:numPr>
        <w:tabs>
          <w:tab w:val="left" w:pos="2705"/>
        </w:tabs>
        <w:spacing w:before="1"/>
        <w:jc w:val="left"/>
        <w:rPr>
          <w:sz w:val="20"/>
        </w:rPr>
      </w:pPr>
      <w:r>
        <w:rPr>
          <w:sz w:val="20"/>
        </w:rPr>
        <w:t>sisältöä koskevien ennakkovaroitusten käyttö;</w:t>
      </w:r>
    </w:p>
    <w:p w14:paraId="7A1C13D1" w14:textId="77777777" w:rsidR="0006113D" w:rsidRDefault="0006113D">
      <w:pPr>
        <w:pStyle w:val="BodyText"/>
        <w:spacing w:before="40"/>
      </w:pPr>
    </w:p>
    <w:p w14:paraId="2231232D" w14:textId="77777777" w:rsidR="0006113D" w:rsidRDefault="00546668">
      <w:pPr>
        <w:pStyle w:val="ListParagraph"/>
        <w:numPr>
          <w:ilvl w:val="0"/>
          <w:numId w:val="11"/>
        </w:numPr>
        <w:tabs>
          <w:tab w:val="left" w:pos="2705"/>
        </w:tabs>
        <w:jc w:val="left"/>
        <w:rPr>
          <w:sz w:val="20"/>
        </w:rPr>
      </w:pPr>
      <w:r>
        <w:rPr>
          <w:sz w:val="20"/>
        </w:rPr>
        <w:t>sisällönsuodatuksen tarjoaminen, mukaan lukien rajoitetut toimintatilat ja pääsy PIN-</w:t>
      </w:r>
      <w:r>
        <w:rPr>
          <w:sz w:val="20"/>
        </w:rPr>
        <w:lastRenderedPageBreak/>
        <w:t>numeron avulla;</w:t>
      </w:r>
    </w:p>
    <w:p w14:paraId="521F3EB4" w14:textId="77777777" w:rsidR="0006113D" w:rsidRDefault="0006113D">
      <w:pPr>
        <w:pStyle w:val="BodyText"/>
        <w:spacing w:before="43"/>
      </w:pPr>
    </w:p>
    <w:p w14:paraId="13B55290" w14:textId="1E704999" w:rsidR="0006113D" w:rsidRDefault="00546668">
      <w:pPr>
        <w:pStyle w:val="ListParagraph"/>
        <w:numPr>
          <w:ilvl w:val="0"/>
          <w:numId w:val="11"/>
        </w:numPr>
        <w:tabs>
          <w:tab w:val="left" w:pos="2705"/>
        </w:tabs>
        <w:spacing w:before="1"/>
        <w:jc w:val="left"/>
        <w:rPr>
          <w:sz w:val="13"/>
        </w:rPr>
      </w:pPr>
      <w:r>
        <w:rPr>
          <w:sz w:val="20"/>
        </w:rPr>
        <w:t>iänvarmistusvälineet;</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546668">
      <w:pPr>
        <w:pStyle w:val="ListParagraph"/>
        <w:numPr>
          <w:ilvl w:val="0"/>
          <w:numId w:val="11"/>
        </w:numPr>
        <w:tabs>
          <w:tab w:val="left" w:pos="2705"/>
        </w:tabs>
        <w:spacing w:before="79" w:line="273" w:lineRule="auto"/>
        <w:ind w:right="858"/>
        <w:jc w:val="left"/>
        <w:rPr>
          <w:sz w:val="20"/>
        </w:rPr>
      </w:pPr>
      <w:r>
        <w:rPr>
          <w:sz w:val="20"/>
        </w:rPr>
        <w:t>tilien käyttöjärjestelmät, esimerkiksi kun sisältöön pääsee käsiksi vain luottokortilla tai muilla kirjautumismekanismeilla;</w:t>
      </w:r>
    </w:p>
    <w:p w14:paraId="0678E144" w14:textId="77777777" w:rsidR="0006113D" w:rsidRDefault="0006113D">
      <w:pPr>
        <w:pStyle w:val="BodyText"/>
        <w:spacing w:before="28"/>
      </w:pPr>
    </w:p>
    <w:p w14:paraId="66669616" w14:textId="77777777" w:rsidR="0006113D" w:rsidRDefault="00546668">
      <w:pPr>
        <w:pStyle w:val="ListParagraph"/>
        <w:numPr>
          <w:ilvl w:val="0"/>
          <w:numId w:val="11"/>
        </w:numPr>
        <w:tabs>
          <w:tab w:val="left" w:pos="2705"/>
        </w:tabs>
        <w:jc w:val="left"/>
        <w:rPr>
          <w:sz w:val="20"/>
        </w:rPr>
      </w:pPr>
      <w:r>
        <w:rPr>
          <w:sz w:val="20"/>
        </w:rPr>
        <w:t>muut tekniset toimenpiteet, joilla saavutetaan edellä esitetyn mukainen tulos.</w:t>
      </w:r>
    </w:p>
    <w:p w14:paraId="0898C687" w14:textId="77777777" w:rsidR="0006113D" w:rsidRDefault="0006113D">
      <w:pPr>
        <w:pStyle w:val="BodyText"/>
        <w:spacing w:before="43"/>
      </w:pPr>
    </w:p>
    <w:p w14:paraId="6804D82C" w14:textId="77777777" w:rsidR="0006113D" w:rsidRDefault="00546668">
      <w:pPr>
        <w:pStyle w:val="ListParagraph"/>
        <w:numPr>
          <w:ilvl w:val="1"/>
          <w:numId w:val="13"/>
        </w:numPr>
        <w:tabs>
          <w:tab w:val="left" w:pos="1852"/>
          <w:tab w:val="left" w:pos="1855"/>
        </w:tabs>
        <w:spacing w:line="292" w:lineRule="auto"/>
        <w:ind w:left="1855" w:right="859" w:hanging="852"/>
        <w:jc w:val="both"/>
        <w:rPr>
          <w:sz w:val="20"/>
        </w:rPr>
      </w:pPr>
      <w:r>
        <w:rPr>
          <w:sz w:val="20"/>
        </w:rPr>
        <w:t>Edellä 11.3 kohdassa tarkoitettujen asianmukaisten</w:t>
      </w:r>
      <w:r>
        <w:rPr>
          <w:sz w:val="20"/>
        </w:rPr>
        <w:t xml:space="preserve"> toimenpiteiden on oltava oikeasuhteisia ohjelmasta lapsille mahdollisesti aiheutuvaan haittaan. Tilattavia palveluja tarjoavien mediapalvelun tarjoajien on tältä osin otettava huomioon materiaalin mahdollinen haitallisuus lapsille, kun ne määrittävät sove</w:t>
      </w:r>
      <w:r>
        <w:rPr>
          <w:sz w:val="20"/>
        </w:rPr>
        <w:t>llettavaa oikeasuhteista lähestymistapaa. Huomioon otettavia tekijöitä ovat muun muassa seuraavat: -</w:t>
      </w:r>
    </w:p>
    <w:p w14:paraId="1CE5F37E" w14:textId="77777777" w:rsidR="0006113D" w:rsidRDefault="0006113D">
      <w:pPr>
        <w:pStyle w:val="BodyText"/>
        <w:spacing w:before="8"/>
      </w:pPr>
    </w:p>
    <w:p w14:paraId="3CBAE4A4" w14:textId="77777777" w:rsidR="0006113D" w:rsidRDefault="00546668">
      <w:pPr>
        <w:pStyle w:val="ListParagraph"/>
        <w:numPr>
          <w:ilvl w:val="0"/>
          <w:numId w:val="10"/>
        </w:numPr>
        <w:tabs>
          <w:tab w:val="left" w:pos="2705"/>
        </w:tabs>
        <w:spacing w:before="1"/>
        <w:jc w:val="left"/>
        <w:rPr>
          <w:sz w:val="20"/>
        </w:rPr>
      </w:pPr>
      <w:r>
        <w:rPr>
          <w:sz w:val="20"/>
        </w:rPr>
        <w:t>ohjelman sisällöstä mahdollisesti aiheutuvan haitan todennäköinen aste;</w:t>
      </w:r>
    </w:p>
    <w:p w14:paraId="68E2466F" w14:textId="77777777" w:rsidR="0006113D" w:rsidRDefault="0006113D">
      <w:pPr>
        <w:pStyle w:val="BodyText"/>
        <w:spacing w:before="58"/>
      </w:pPr>
    </w:p>
    <w:p w14:paraId="4BB50EE1" w14:textId="77777777" w:rsidR="0006113D" w:rsidRDefault="00546668">
      <w:pPr>
        <w:pStyle w:val="ListParagraph"/>
        <w:numPr>
          <w:ilvl w:val="0"/>
          <w:numId w:val="10"/>
        </w:numPr>
        <w:tabs>
          <w:tab w:val="left" w:pos="2705"/>
        </w:tabs>
        <w:ind w:hanging="996"/>
        <w:jc w:val="left"/>
        <w:rPr>
          <w:sz w:val="20"/>
        </w:rPr>
      </w:pPr>
      <w:r>
        <w:rPr>
          <w:sz w:val="20"/>
        </w:rPr>
        <w:t>todennäköisyys sille, että lapset pääsevät käsiksi sisältöön;</w:t>
      </w:r>
    </w:p>
    <w:p w14:paraId="7C089F8E" w14:textId="77777777" w:rsidR="0006113D" w:rsidRDefault="0006113D">
      <w:pPr>
        <w:pStyle w:val="BodyText"/>
        <w:spacing w:before="61"/>
      </w:pPr>
    </w:p>
    <w:p w14:paraId="71DE1846" w14:textId="77777777" w:rsidR="0006113D" w:rsidRDefault="00546668">
      <w:pPr>
        <w:pStyle w:val="ListParagraph"/>
        <w:numPr>
          <w:ilvl w:val="0"/>
          <w:numId w:val="10"/>
        </w:numPr>
        <w:tabs>
          <w:tab w:val="left" w:pos="2705"/>
        </w:tabs>
        <w:ind w:hanging="1039"/>
        <w:jc w:val="left"/>
        <w:rPr>
          <w:sz w:val="20"/>
        </w:rPr>
      </w:pPr>
      <w:r>
        <w:rPr>
          <w:sz w:val="20"/>
        </w:rPr>
        <w:t>tilattavan palvelun luonne ja sen todennäköinen yleisö.</w:t>
      </w:r>
    </w:p>
    <w:p w14:paraId="705621D9" w14:textId="77777777" w:rsidR="0006113D" w:rsidRDefault="0006113D">
      <w:pPr>
        <w:pStyle w:val="BodyText"/>
        <w:spacing w:before="59"/>
      </w:pPr>
    </w:p>
    <w:p w14:paraId="335D7BBE" w14:textId="77777777" w:rsidR="0006113D" w:rsidRDefault="00546668">
      <w:pPr>
        <w:pStyle w:val="ListParagraph"/>
        <w:numPr>
          <w:ilvl w:val="1"/>
          <w:numId w:val="13"/>
        </w:numPr>
        <w:tabs>
          <w:tab w:val="left" w:pos="1852"/>
          <w:tab w:val="left" w:pos="1855"/>
        </w:tabs>
        <w:spacing w:line="292" w:lineRule="auto"/>
        <w:ind w:left="1855" w:right="858" w:hanging="852"/>
        <w:jc w:val="both"/>
        <w:rPr>
          <w:sz w:val="20"/>
        </w:rPr>
      </w:pPr>
      <w:r>
        <w:rPr>
          <w:sz w:val="20"/>
        </w:rPr>
        <w:t>Haitallisimpaan sisältöön eli perusteettomaan väkivaltaan ja pornografiaan on sovellettava tiukimpia toimenpiteitä, sanotun kuitenkaan rajoittamatta 11.3, 11.4 ja 11.5 kohdan yleisyyttä.</w:t>
      </w:r>
    </w:p>
    <w:p w14:paraId="2460EFE2" w14:textId="77777777" w:rsidR="0006113D" w:rsidRDefault="0006113D">
      <w:pPr>
        <w:pStyle w:val="BodyText"/>
        <w:spacing w:before="8"/>
      </w:pPr>
    </w:p>
    <w:p w14:paraId="35DF6BFF" w14:textId="77777777" w:rsidR="0006113D" w:rsidRDefault="00546668">
      <w:pPr>
        <w:pStyle w:val="ListParagraph"/>
        <w:numPr>
          <w:ilvl w:val="1"/>
          <w:numId w:val="13"/>
        </w:numPr>
        <w:tabs>
          <w:tab w:val="left" w:pos="1852"/>
          <w:tab w:val="left" w:pos="1855"/>
        </w:tabs>
        <w:spacing w:line="292" w:lineRule="auto"/>
        <w:ind w:left="1855" w:right="858" w:hanging="852"/>
        <w:jc w:val="both"/>
        <w:rPr>
          <w:sz w:val="20"/>
        </w:rPr>
      </w:pPr>
      <w:r>
        <w:rPr>
          <w:sz w:val="20"/>
        </w:rPr>
        <w:t>Mediapalvel</w:t>
      </w:r>
      <w:r>
        <w:rPr>
          <w:sz w:val="20"/>
        </w:rPr>
        <w:t>un tarjoajien 11.3, 11.4 tai 11.6 kohdan nojalla keräämiä tai muuten tuottamia lasten henkilötietoja ei saa käsitellä kaupallisiin tarkoituksiin, kuten suoramarkkinointia, profilointia ja käytöksen perusteella kohdennettua mainontaa varten.</w:t>
      </w:r>
    </w:p>
    <w:p w14:paraId="573EE6A2" w14:textId="77777777" w:rsidR="0006113D" w:rsidRDefault="0006113D">
      <w:pPr>
        <w:pStyle w:val="BodyText"/>
        <w:spacing w:before="192"/>
      </w:pPr>
    </w:p>
    <w:p w14:paraId="2322BC41" w14:textId="77777777" w:rsidR="0006113D" w:rsidRDefault="00546668">
      <w:pPr>
        <w:pStyle w:val="Heading1"/>
        <w:numPr>
          <w:ilvl w:val="0"/>
          <w:numId w:val="13"/>
        </w:numPr>
        <w:tabs>
          <w:tab w:val="left" w:pos="1853"/>
        </w:tabs>
        <w:jc w:val="left"/>
      </w:pPr>
      <w:bookmarkStart w:id="18" w:name="_Toc183087722"/>
      <w:r>
        <w:t>Oikeudet eloku</w:t>
      </w:r>
      <w:r>
        <w:t>vateoksiin</w:t>
      </w:r>
      <w:bookmarkEnd w:id="18"/>
    </w:p>
    <w:p w14:paraId="069CD692" w14:textId="77777777" w:rsidR="0006113D" w:rsidRDefault="00546668">
      <w:pPr>
        <w:pStyle w:val="ListParagraph"/>
        <w:numPr>
          <w:ilvl w:val="1"/>
          <w:numId w:val="13"/>
        </w:numPr>
        <w:tabs>
          <w:tab w:val="left" w:pos="1852"/>
          <w:tab w:val="left" w:pos="1855"/>
        </w:tabs>
        <w:spacing w:before="399" w:line="254" w:lineRule="auto"/>
        <w:ind w:left="1855" w:right="864" w:hanging="852"/>
        <w:jc w:val="both"/>
        <w:rPr>
          <w:sz w:val="24"/>
        </w:rPr>
      </w:pPr>
      <w:r>
        <w:rPr>
          <w:sz w:val="20"/>
        </w:rPr>
        <w:t>Tilattavia palveluja tarjoavat mediapalvelun tarjoajat eivät saa lähettää elokuvateoksia muulloin kuin oikeudenhaltijoiden kanssa sovittuina aikoina</w:t>
      </w:r>
      <w:r>
        <w:rPr>
          <w:sz w:val="24"/>
        </w:rPr>
        <w:t>.</w:t>
      </w:r>
    </w:p>
    <w:p w14:paraId="49E0410E" w14:textId="77777777" w:rsidR="0006113D" w:rsidRDefault="0006113D">
      <w:pPr>
        <w:pStyle w:val="BodyText"/>
        <w:spacing w:before="178"/>
      </w:pPr>
    </w:p>
    <w:p w14:paraId="3B2CA1C2" w14:textId="77777777" w:rsidR="0006113D" w:rsidRDefault="00546668">
      <w:pPr>
        <w:pStyle w:val="Heading1"/>
        <w:numPr>
          <w:ilvl w:val="0"/>
          <w:numId w:val="13"/>
        </w:numPr>
        <w:tabs>
          <w:tab w:val="left" w:pos="1855"/>
        </w:tabs>
        <w:ind w:left="1855" w:hanging="852"/>
        <w:jc w:val="left"/>
      </w:pPr>
      <w:bookmarkStart w:id="19" w:name="_Toc183087723"/>
      <w:r>
        <w:t>Audiovisuaalinen kaupallinen viestintä</w:t>
      </w:r>
      <w:bookmarkEnd w:id="19"/>
    </w:p>
    <w:p w14:paraId="3A4669FE" w14:textId="77777777" w:rsidR="0006113D" w:rsidRDefault="00546668">
      <w:pPr>
        <w:pStyle w:val="ListParagraph"/>
        <w:numPr>
          <w:ilvl w:val="1"/>
          <w:numId w:val="13"/>
        </w:numPr>
        <w:tabs>
          <w:tab w:val="left" w:pos="1852"/>
          <w:tab w:val="left" w:pos="1855"/>
        </w:tabs>
        <w:spacing w:before="396" w:line="292" w:lineRule="auto"/>
        <w:ind w:left="1855" w:right="861" w:hanging="852"/>
        <w:jc w:val="both"/>
        <w:rPr>
          <w:sz w:val="20"/>
        </w:rPr>
      </w:pPr>
      <w:r>
        <w:rPr>
          <w:sz w:val="20"/>
        </w:rPr>
        <w:t>Tilattavia palveluja tarjoavien mediapalvelun tarjoajie</w:t>
      </w:r>
      <w:r>
        <w:rPr>
          <w:sz w:val="20"/>
        </w:rPr>
        <w:t>n on varmistettava, että niiden tarjoama audiovisuaalinen kaupallinen viestintä on helposti tunnistettavissa sellaiseksi.</w:t>
      </w:r>
    </w:p>
    <w:p w14:paraId="3A5CF8EF" w14:textId="77777777" w:rsidR="0006113D" w:rsidRDefault="0006113D">
      <w:pPr>
        <w:pStyle w:val="BodyText"/>
        <w:spacing w:before="11"/>
      </w:pPr>
    </w:p>
    <w:p w14:paraId="1BC6C37D" w14:textId="77777777" w:rsidR="0006113D" w:rsidRDefault="00546668">
      <w:pPr>
        <w:pStyle w:val="ListParagraph"/>
        <w:numPr>
          <w:ilvl w:val="1"/>
          <w:numId w:val="13"/>
        </w:numPr>
        <w:tabs>
          <w:tab w:val="left" w:pos="1850"/>
          <w:tab w:val="left" w:pos="1853"/>
        </w:tabs>
        <w:spacing w:line="292" w:lineRule="auto"/>
        <w:ind w:right="863"/>
        <w:jc w:val="both"/>
        <w:rPr>
          <w:sz w:val="20"/>
        </w:rPr>
      </w:pPr>
      <w:r>
        <w:rPr>
          <w:sz w:val="20"/>
        </w:rPr>
        <w:t>Tilattavia palveluja tarjoavat mediapalvelun tarjoajat eivät saa sisällyttää ohjelmiin tai niiden yhteyteen piilotetusti toteutettua audiovisuaalista kaupallista viestintää tai audiovisuaalista kaupallista viestintää, jossa käytetään alitajunnan kautta vai</w:t>
      </w:r>
      <w:r>
        <w:rPr>
          <w:sz w:val="20"/>
        </w:rPr>
        <w:t>kuttavia tekniikoita.</w:t>
      </w:r>
    </w:p>
    <w:p w14:paraId="69B656EE" w14:textId="77777777" w:rsidR="0006113D" w:rsidRDefault="0006113D">
      <w:pPr>
        <w:spacing w:line="292" w:lineRule="auto"/>
        <w:jc w:val="both"/>
        <w:rPr>
          <w:sz w:val="20"/>
          <w:lang w:val="el-GR"/>
        </w:rPr>
      </w:pPr>
    </w:p>
    <w:p w14:paraId="2E777326" w14:textId="77777777" w:rsidR="0006113D" w:rsidRDefault="00546668">
      <w:pPr>
        <w:pStyle w:val="ListParagraph"/>
        <w:numPr>
          <w:ilvl w:val="1"/>
          <w:numId w:val="13"/>
        </w:numPr>
        <w:tabs>
          <w:tab w:val="left" w:pos="1853"/>
        </w:tabs>
        <w:spacing w:before="79" w:line="292" w:lineRule="auto"/>
        <w:ind w:right="864"/>
        <w:rPr>
          <w:sz w:val="20"/>
        </w:rPr>
      </w:pPr>
      <w:r>
        <w:rPr>
          <w:sz w:val="20"/>
        </w:rPr>
        <w:t xml:space="preserve">Tilattavia palveluja tarjoavat mediapalvelun tarjoajat eivät saa tarjota yleisölle haitallista audiovisuaalista kaupallista viestintää eli - </w:t>
      </w:r>
    </w:p>
    <w:p w14:paraId="37894B27" w14:textId="77777777" w:rsidR="0006113D" w:rsidRDefault="0006113D">
      <w:pPr>
        <w:pStyle w:val="BodyText"/>
        <w:spacing w:before="9"/>
      </w:pPr>
    </w:p>
    <w:p w14:paraId="2914E28C" w14:textId="77777777" w:rsidR="0006113D" w:rsidRDefault="00546668">
      <w:pPr>
        <w:pStyle w:val="ListParagraph"/>
        <w:numPr>
          <w:ilvl w:val="0"/>
          <w:numId w:val="9"/>
        </w:numPr>
        <w:tabs>
          <w:tab w:val="left" w:pos="2705"/>
        </w:tabs>
        <w:spacing w:line="292" w:lineRule="auto"/>
        <w:ind w:right="866"/>
        <w:jc w:val="both"/>
        <w:rPr>
          <w:sz w:val="20"/>
        </w:rPr>
      </w:pPr>
      <w:r>
        <w:rPr>
          <w:sz w:val="20"/>
        </w:rPr>
        <w:t>audiovisuaalista kaupallista viestintää, joka loukkaa ihmisarvoa;</w:t>
      </w:r>
    </w:p>
    <w:p w14:paraId="2143E45C" w14:textId="77777777" w:rsidR="0006113D" w:rsidRDefault="0006113D">
      <w:pPr>
        <w:pStyle w:val="BodyText"/>
        <w:spacing w:before="8"/>
      </w:pPr>
    </w:p>
    <w:p w14:paraId="449C6C8C" w14:textId="77777777" w:rsidR="0006113D" w:rsidRDefault="00546668">
      <w:pPr>
        <w:pStyle w:val="ListParagraph"/>
        <w:numPr>
          <w:ilvl w:val="0"/>
          <w:numId w:val="9"/>
        </w:numPr>
        <w:tabs>
          <w:tab w:val="left" w:pos="2705"/>
        </w:tabs>
        <w:spacing w:line="292" w:lineRule="auto"/>
        <w:ind w:right="866" w:hanging="994"/>
        <w:jc w:val="both"/>
        <w:rPr>
          <w:sz w:val="20"/>
        </w:rPr>
      </w:pPr>
      <w:r>
        <w:rPr>
          <w:sz w:val="20"/>
        </w:rPr>
        <w:t>audiovisuaalista kaupal</w:t>
      </w:r>
      <w:r>
        <w:rPr>
          <w:sz w:val="20"/>
        </w:rPr>
        <w:t>lista viestintää, joka sisältää tai jolla edistetään minkäänlaista sukupuoleen, rotuun tai etniseen alkuperään, kansalaisuuteen, uskontoon tai vakaumukseen, vammaisuuteen, ikään tai seksuaaliseen suuntautumiseen perustuvaa syrjintää;</w:t>
      </w:r>
    </w:p>
    <w:p w14:paraId="3FFD0981" w14:textId="77777777" w:rsidR="0006113D" w:rsidRDefault="0006113D">
      <w:pPr>
        <w:pStyle w:val="BodyText"/>
        <w:spacing w:before="8"/>
      </w:pPr>
    </w:p>
    <w:p w14:paraId="6962811D" w14:textId="77777777" w:rsidR="0006113D" w:rsidRDefault="00546668">
      <w:pPr>
        <w:pStyle w:val="ListParagraph"/>
        <w:numPr>
          <w:ilvl w:val="0"/>
          <w:numId w:val="9"/>
        </w:numPr>
        <w:tabs>
          <w:tab w:val="left" w:pos="2705"/>
        </w:tabs>
        <w:spacing w:line="292" w:lineRule="auto"/>
        <w:ind w:right="865" w:hanging="1037"/>
        <w:jc w:val="both"/>
        <w:rPr>
          <w:sz w:val="20"/>
        </w:rPr>
      </w:pPr>
      <w:r>
        <w:rPr>
          <w:sz w:val="20"/>
        </w:rPr>
        <w:t>audiovisuaalista kaup</w:t>
      </w:r>
      <w:r>
        <w:rPr>
          <w:sz w:val="20"/>
        </w:rPr>
        <w:t>allista viestintää, joka kannustaa terveyttä tai turvallisuutta vahingoittavaan toimintaan;</w:t>
      </w:r>
    </w:p>
    <w:p w14:paraId="03001AEB" w14:textId="77777777" w:rsidR="0006113D" w:rsidRDefault="0006113D">
      <w:pPr>
        <w:pStyle w:val="BodyText"/>
        <w:spacing w:before="10"/>
      </w:pPr>
    </w:p>
    <w:p w14:paraId="361553A2" w14:textId="77777777" w:rsidR="0006113D" w:rsidRDefault="00546668">
      <w:pPr>
        <w:pStyle w:val="ListParagraph"/>
        <w:numPr>
          <w:ilvl w:val="0"/>
          <w:numId w:val="9"/>
        </w:numPr>
        <w:tabs>
          <w:tab w:val="left" w:pos="2705"/>
        </w:tabs>
        <w:spacing w:before="1" w:line="292" w:lineRule="auto"/>
        <w:ind w:right="865" w:hanging="1049"/>
        <w:jc w:val="both"/>
        <w:rPr>
          <w:sz w:val="20"/>
        </w:rPr>
      </w:pPr>
      <w:r>
        <w:rPr>
          <w:sz w:val="20"/>
        </w:rPr>
        <w:t>audiovisuaalista kaupallista viestintää, joka kannustaa ympäristönsuojelun kannalta törkeästi haitalliseen toimintaan;</w:t>
      </w:r>
    </w:p>
    <w:p w14:paraId="6B363269" w14:textId="77777777" w:rsidR="0006113D" w:rsidRDefault="0006113D">
      <w:pPr>
        <w:pStyle w:val="BodyText"/>
        <w:spacing w:before="8"/>
      </w:pPr>
    </w:p>
    <w:p w14:paraId="1938DEB5" w14:textId="77777777" w:rsidR="0006113D" w:rsidRDefault="00546668">
      <w:pPr>
        <w:pStyle w:val="ListParagraph"/>
        <w:numPr>
          <w:ilvl w:val="0"/>
          <w:numId w:val="9"/>
        </w:numPr>
        <w:tabs>
          <w:tab w:val="left" w:pos="2705"/>
        </w:tabs>
        <w:spacing w:line="292" w:lineRule="auto"/>
        <w:ind w:right="864" w:hanging="1006"/>
        <w:jc w:val="both"/>
        <w:rPr>
          <w:sz w:val="20"/>
        </w:rPr>
      </w:pPr>
      <w:r>
        <w:rPr>
          <w:sz w:val="20"/>
        </w:rPr>
        <w:t>audiovisuaalista kaupallista viestintää, joka koskee savukkeita ja muita tupakkatuotteita sekä sähkösavukkeita ja täyttösäiliöitä;</w:t>
      </w:r>
    </w:p>
    <w:p w14:paraId="35C48345" w14:textId="77777777" w:rsidR="0006113D" w:rsidRDefault="0006113D">
      <w:pPr>
        <w:pStyle w:val="BodyText"/>
        <w:spacing w:before="8"/>
      </w:pPr>
    </w:p>
    <w:p w14:paraId="4EECCCC6" w14:textId="77777777" w:rsidR="0006113D" w:rsidRDefault="00546668">
      <w:pPr>
        <w:pStyle w:val="ListParagraph"/>
        <w:numPr>
          <w:ilvl w:val="0"/>
          <w:numId w:val="9"/>
        </w:numPr>
        <w:tabs>
          <w:tab w:val="left" w:pos="2705"/>
        </w:tabs>
        <w:spacing w:line="292" w:lineRule="auto"/>
        <w:ind w:right="865" w:hanging="1049"/>
        <w:jc w:val="both"/>
        <w:rPr>
          <w:sz w:val="20"/>
        </w:rPr>
      </w:pPr>
      <w:r>
        <w:rPr>
          <w:sz w:val="20"/>
        </w:rPr>
        <w:t>audi</w:t>
      </w:r>
      <w:r>
        <w:rPr>
          <w:sz w:val="20"/>
        </w:rPr>
        <w:t>ovisuaalista kaupallista viestintää, joka kannustaa alkoholijuomien kohtuuttomaan käyttöön;</w:t>
      </w:r>
    </w:p>
    <w:p w14:paraId="6D78B88B" w14:textId="77777777" w:rsidR="0006113D" w:rsidRDefault="0006113D">
      <w:pPr>
        <w:pStyle w:val="BodyText"/>
        <w:spacing w:before="11"/>
      </w:pPr>
    </w:p>
    <w:p w14:paraId="4B4CACEC" w14:textId="77777777" w:rsidR="0006113D" w:rsidRDefault="00546668">
      <w:pPr>
        <w:pStyle w:val="ListParagraph"/>
        <w:numPr>
          <w:ilvl w:val="0"/>
          <w:numId w:val="9"/>
        </w:numPr>
        <w:tabs>
          <w:tab w:val="left" w:pos="2705"/>
        </w:tabs>
        <w:spacing w:line="292" w:lineRule="auto"/>
        <w:ind w:right="867" w:hanging="1092"/>
        <w:jc w:val="both"/>
        <w:rPr>
          <w:sz w:val="20"/>
        </w:rPr>
      </w:pPr>
      <w:r>
        <w:rPr>
          <w:sz w:val="20"/>
        </w:rPr>
        <w:t>audiovisuaalista kaupallista viestintää, joka koskee sellaisia lääkkeitä ja lääketieteellisiä hoitoja, jotka ovat saatavissa ainoastaan lääkärin määräyksestä Irlan</w:t>
      </w:r>
      <w:r>
        <w:rPr>
          <w:sz w:val="20"/>
        </w:rPr>
        <w:t>nissa.</w:t>
      </w:r>
    </w:p>
    <w:p w14:paraId="5792C076" w14:textId="77777777" w:rsidR="0006113D" w:rsidRDefault="0006113D">
      <w:pPr>
        <w:pStyle w:val="BodyText"/>
        <w:spacing w:before="8"/>
      </w:pPr>
    </w:p>
    <w:p w14:paraId="33EE49D5" w14:textId="77777777" w:rsidR="0006113D" w:rsidRDefault="00546668">
      <w:pPr>
        <w:pStyle w:val="ListParagraph"/>
        <w:numPr>
          <w:ilvl w:val="1"/>
          <w:numId w:val="13"/>
        </w:numPr>
        <w:tabs>
          <w:tab w:val="left" w:pos="1853"/>
        </w:tabs>
        <w:spacing w:line="292" w:lineRule="auto"/>
        <w:ind w:right="864"/>
        <w:rPr>
          <w:sz w:val="20"/>
        </w:rPr>
      </w:pPr>
      <w:r>
        <w:rPr>
          <w:sz w:val="20"/>
        </w:rPr>
        <w:t>Tilattavia palveluja tarjoavat mediapalvelun tarjoajat eivät saa tarjota lapsille haitallista audiovisuaalista kaupallista viestintää eli</w:t>
      </w:r>
    </w:p>
    <w:p w14:paraId="5793377C" w14:textId="77777777" w:rsidR="0006113D" w:rsidRDefault="0006113D">
      <w:pPr>
        <w:pStyle w:val="BodyText"/>
        <w:spacing w:before="8"/>
      </w:pPr>
    </w:p>
    <w:p w14:paraId="45C47859" w14:textId="77777777" w:rsidR="0006113D" w:rsidRDefault="00546668">
      <w:pPr>
        <w:pStyle w:val="ListParagraph"/>
        <w:numPr>
          <w:ilvl w:val="0"/>
          <w:numId w:val="8"/>
        </w:numPr>
        <w:tabs>
          <w:tab w:val="left" w:pos="2705"/>
        </w:tabs>
        <w:spacing w:line="292" w:lineRule="auto"/>
        <w:ind w:right="869"/>
        <w:jc w:val="both"/>
        <w:rPr>
          <w:sz w:val="20"/>
        </w:rPr>
      </w:pPr>
      <w:r>
        <w:rPr>
          <w:sz w:val="20"/>
        </w:rPr>
        <w:t>audiovisuaalista kaupallista viestintää, jossa lapsia kehotetaan suoraan ostamaan tai vuokraamaan tuote tai palvelu k</w:t>
      </w:r>
      <w:r>
        <w:rPr>
          <w:sz w:val="20"/>
        </w:rPr>
        <w:t>äyttämällä hyväksi heidän kokemattomuuttaan tai hyväuskoisuuttaan;</w:t>
      </w:r>
    </w:p>
    <w:p w14:paraId="1D49C22E" w14:textId="77777777" w:rsidR="0006113D" w:rsidRDefault="0006113D">
      <w:pPr>
        <w:pStyle w:val="BodyText"/>
        <w:spacing w:before="11"/>
      </w:pPr>
    </w:p>
    <w:p w14:paraId="31AB1C01" w14:textId="77777777" w:rsidR="0006113D" w:rsidRDefault="00546668">
      <w:pPr>
        <w:pStyle w:val="ListParagraph"/>
        <w:numPr>
          <w:ilvl w:val="0"/>
          <w:numId w:val="8"/>
        </w:numPr>
        <w:tabs>
          <w:tab w:val="left" w:pos="2705"/>
        </w:tabs>
        <w:spacing w:line="292" w:lineRule="auto"/>
        <w:ind w:right="864" w:hanging="994"/>
        <w:jc w:val="both"/>
        <w:rPr>
          <w:sz w:val="20"/>
        </w:rPr>
      </w:pPr>
      <w:r>
        <w:rPr>
          <w:sz w:val="20"/>
        </w:rPr>
        <w:t>audiovisuaalista kaupallista viestintää, jossa suoraan rohkaistaan lapsia suostuttelemaan vanhempiaan tai muita henkilöitä ostamaan mainostettuja tavaroita tai palveluja;</w:t>
      </w:r>
    </w:p>
    <w:p w14:paraId="0C5E1C2C" w14:textId="77777777" w:rsidR="0006113D" w:rsidRDefault="0006113D">
      <w:pPr>
        <w:pStyle w:val="BodyText"/>
        <w:spacing w:before="8"/>
      </w:pPr>
    </w:p>
    <w:p w14:paraId="116B743E" w14:textId="77777777" w:rsidR="0006113D" w:rsidRDefault="00546668">
      <w:pPr>
        <w:pStyle w:val="ListParagraph"/>
        <w:numPr>
          <w:ilvl w:val="0"/>
          <w:numId w:val="8"/>
        </w:numPr>
        <w:tabs>
          <w:tab w:val="left" w:pos="2705"/>
        </w:tabs>
        <w:spacing w:line="292" w:lineRule="auto"/>
        <w:ind w:right="867" w:hanging="1037"/>
        <w:jc w:val="both"/>
        <w:rPr>
          <w:sz w:val="20"/>
        </w:rPr>
      </w:pPr>
      <w:r>
        <w:rPr>
          <w:sz w:val="20"/>
        </w:rPr>
        <w:t>audiovisuaalista kaupallista viestintää, jossa käytetään hyväksi erityistä luottamus</w:t>
      </w:r>
      <w:r>
        <w:rPr>
          <w:sz w:val="20"/>
        </w:rPr>
        <w:t>ta, jota lapset tuntevat vanhempiaan, opettajiaan tai muita henkilöitä kohtaan;</w:t>
      </w:r>
    </w:p>
    <w:p w14:paraId="62572119" w14:textId="77777777" w:rsidR="0006113D" w:rsidRDefault="0006113D">
      <w:pPr>
        <w:pStyle w:val="BodyText"/>
        <w:spacing w:before="8"/>
      </w:pPr>
    </w:p>
    <w:p w14:paraId="439DAD39" w14:textId="77777777" w:rsidR="0006113D" w:rsidRDefault="00546668">
      <w:pPr>
        <w:pStyle w:val="ListParagraph"/>
        <w:numPr>
          <w:ilvl w:val="0"/>
          <w:numId w:val="8"/>
        </w:numPr>
        <w:tabs>
          <w:tab w:val="left" w:pos="2705"/>
        </w:tabs>
        <w:spacing w:line="292" w:lineRule="auto"/>
        <w:ind w:right="866" w:hanging="1049"/>
        <w:jc w:val="both"/>
        <w:rPr>
          <w:sz w:val="20"/>
        </w:rPr>
      </w:pPr>
      <w:r>
        <w:rPr>
          <w:sz w:val="20"/>
        </w:rPr>
        <w:t>audiovisuaalista kaupallista viestintää, joka näyttää perusteettomasti lapsia vaarallisissa tilanteissa;</w:t>
      </w:r>
    </w:p>
    <w:p w14:paraId="130B4830" w14:textId="77777777" w:rsidR="0006113D" w:rsidRDefault="0006113D">
      <w:pPr>
        <w:pStyle w:val="BodyText"/>
        <w:spacing w:before="9"/>
      </w:pPr>
    </w:p>
    <w:p w14:paraId="32DD232B" w14:textId="77777777" w:rsidR="0006113D" w:rsidRDefault="00546668">
      <w:pPr>
        <w:pStyle w:val="ListParagraph"/>
        <w:numPr>
          <w:ilvl w:val="0"/>
          <w:numId w:val="8"/>
        </w:numPr>
        <w:tabs>
          <w:tab w:val="left" w:pos="2705"/>
        </w:tabs>
        <w:spacing w:line="292" w:lineRule="auto"/>
        <w:ind w:right="865" w:hanging="1006"/>
        <w:jc w:val="both"/>
        <w:rPr>
          <w:sz w:val="20"/>
        </w:rPr>
      </w:pPr>
      <w:r>
        <w:rPr>
          <w:sz w:val="20"/>
        </w:rPr>
        <w:t>alkoholijuomia koskevaa audiovisuaalista kaupallista viestintää, joka</w:t>
      </w:r>
      <w:r>
        <w:rPr>
          <w:sz w:val="20"/>
        </w:rPr>
        <w:t xml:space="preserve"> on kohdistettu erityisesti lapsille.</w:t>
      </w:r>
    </w:p>
    <w:p w14:paraId="689AF845" w14:textId="77777777" w:rsidR="0006113D" w:rsidRDefault="0006113D">
      <w:pPr>
        <w:pStyle w:val="BodyText"/>
        <w:spacing w:before="10"/>
      </w:pPr>
    </w:p>
    <w:p w14:paraId="1C334C21" w14:textId="77777777" w:rsidR="0006113D" w:rsidRDefault="00546668">
      <w:pPr>
        <w:pStyle w:val="ListParagraph"/>
        <w:numPr>
          <w:ilvl w:val="1"/>
          <w:numId w:val="13"/>
        </w:numPr>
        <w:tabs>
          <w:tab w:val="left" w:pos="1711"/>
          <w:tab w:val="left" w:pos="1714"/>
        </w:tabs>
        <w:spacing w:line="292" w:lineRule="auto"/>
        <w:ind w:left="1714" w:right="863" w:hanging="852"/>
        <w:jc w:val="both"/>
        <w:rPr>
          <w:sz w:val="20"/>
        </w:rPr>
      </w:pPr>
      <w:r>
        <w:rPr>
          <w:sz w:val="20"/>
        </w:rPr>
        <w:lastRenderedPageBreak/>
        <w:t>Tilattavia palveluja tarjoavien mediapalvelun tarjoajien on varmistettava, että niiden tarjoama alkoholijuomia koskeva audiovisuaalinen kaupallinen viestintä täyttää seuraavat vaatimukset, sponsorointia ja tuotesijoit</w:t>
      </w:r>
      <w:r>
        <w:rPr>
          <w:sz w:val="20"/>
        </w:rPr>
        <w:t>telua lukuun ottamatta:</w:t>
      </w:r>
    </w:p>
    <w:p w14:paraId="76FC5864" w14:textId="77777777" w:rsidR="0006113D" w:rsidRDefault="0006113D">
      <w:pPr>
        <w:pStyle w:val="BodyText"/>
        <w:spacing w:before="8"/>
      </w:pPr>
    </w:p>
    <w:p w14:paraId="49D7DC54" w14:textId="77777777" w:rsidR="0006113D" w:rsidRDefault="00546668">
      <w:pPr>
        <w:pStyle w:val="ListParagraph"/>
        <w:numPr>
          <w:ilvl w:val="0"/>
          <w:numId w:val="7"/>
        </w:numPr>
        <w:tabs>
          <w:tab w:val="left" w:pos="2705"/>
        </w:tabs>
        <w:spacing w:before="1" w:line="292" w:lineRule="auto"/>
        <w:ind w:right="866"/>
        <w:jc w:val="both"/>
        <w:rPr>
          <w:sz w:val="20"/>
        </w:rPr>
      </w:pPr>
      <w:r>
        <w:rPr>
          <w:sz w:val="20"/>
        </w:rPr>
        <w:t>audiovisuaalista kaupallista viestintää ei saa kohdistaa erityisesti alaikäisille, eikä siinä saa varsinkaan kuvata alaikäisiä nauttimassa tällaisia juomia;</w:t>
      </w:r>
    </w:p>
    <w:p w14:paraId="368C58F9" w14:textId="77777777" w:rsidR="0006113D" w:rsidRDefault="00546668">
      <w:pPr>
        <w:pStyle w:val="ListParagraph"/>
        <w:numPr>
          <w:ilvl w:val="0"/>
          <w:numId w:val="7"/>
        </w:numPr>
        <w:tabs>
          <w:tab w:val="left" w:pos="2705"/>
        </w:tabs>
        <w:spacing w:before="79" w:line="292" w:lineRule="auto"/>
        <w:ind w:right="868" w:hanging="994"/>
        <w:jc w:val="both"/>
        <w:rPr>
          <w:sz w:val="20"/>
        </w:rPr>
      </w:pPr>
      <w:r>
        <w:rPr>
          <w:sz w:val="20"/>
        </w:rPr>
        <w:t>audiovisuaalisessa kaupallisessa viestinnässä ei saa yhdistää alkoholin käyttöä lisääntyneeseen fyysiseen suorituskykyyn tai ajoneuvolla ajamiseen;</w:t>
      </w:r>
    </w:p>
    <w:p w14:paraId="413E10EA" w14:textId="77777777" w:rsidR="0006113D" w:rsidRDefault="0006113D">
      <w:pPr>
        <w:pStyle w:val="BodyText"/>
        <w:spacing w:before="9"/>
      </w:pPr>
    </w:p>
    <w:p w14:paraId="051BAD4A" w14:textId="77777777" w:rsidR="0006113D" w:rsidRDefault="00546668">
      <w:pPr>
        <w:pStyle w:val="ListParagraph"/>
        <w:numPr>
          <w:ilvl w:val="0"/>
          <w:numId w:val="7"/>
        </w:numPr>
        <w:tabs>
          <w:tab w:val="left" w:pos="2705"/>
        </w:tabs>
        <w:spacing w:line="292" w:lineRule="auto"/>
        <w:ind w:right="863" w:hanging="1037"/>
        <w:jc w:val="both"/>
        <w:rPr>
          <w:sz w:val="20"/>
        </w:rPr>
      </w:pPr>
      <w:r>
        <w:rPr>
          <w:sz w:val="20"/>
        </w:rPr>
        <w:t>audiovisuaalisessa kaupallisessa viestinnässä ei saa luoda kuvaa, että alkoholin nauttiminen edistää sosiaa</w:t>
      </w:r>
      <w:r>
        <w:rPr>
          <w:sz w:val="20"/>
        </w:rPr>
        <w:t>lista tai seksuaalista menestystä;</w:t>
      </w:r>
    </w:p>
    <w:p w14:paraId="11D39FEA" w14:textId="77777777" w:rsidR="0006113D" w:rsidRDefault="0006113D">
      <w:pPr>
        <w:pStyle w:val="BodyText"/>
        <w:spacing w:before="8"/>
      </w:pPr>
    </w:p>
    <w:p w14:paraId="7EAA980A" w14:textId="77777777" w:rsidR="0006113D" w:rsidRDefault="00546668">
      <w:pPr>
        <w:pStyle w:val="ListParagraph"/>
        <w:numPr>
          <w:ilvl w:val="0"/>
          <w:numId w:val="7"/>
        </w:numPr>
        <w:tabs>
          <w:tab w:val="left" w:pos="2705"/>
        </w:tabs>
        <w:spacing w:line="292" w:lineRule="auto"/>
        <w:ind w:right="868" w:hanging="1049"/>
        <w:jc w:val="both"/>
        <w:rPr>
          <w:sz w:val="20"/>
        </w:rPr>
      </w:pPr>
      <w:r>
        <w:rPr>
          <w:sz w:val="20"/>
        </w:rPr>
        <w:t>audiovisuaalisessa kaupallisessa viestinnässä ei saa väittää, että alkoholilla on terapeuttisia ominaisuuksia tai että se piristää, rauhoittaa tai on keino henkilökohtaisten ristiriitojen ratkaisemiseksi;</w:t>
      </w:r>
    </w:p>
    <w:p w14:paraId="7197B523" w14:textId="77777777" w:rsidR="0006113D" w:rsidRDefault="0006113D">
      <w:pPr>
        <w:pStyle w:val="BodyText"/>
        <w:spacing w:before="8"/>
      </w:pPr>
    </w:p>
    <w:p w14:paraId="640CE325" w14:textId="77777777" w:rsidR="0006113D" w:rsidRDefault="00546668">
      <w:pPr>
        <w:pStyle w:val="ListParagraph"/>
        <w:numPr>
          <w:ilvl w:val="0"/>
          <w:numId w:val="7"/>
        </w:numPr>
        <w:tabs>
          <w:tab w:val="left" w:pos="2705"/>
        </w:tabs>
        <w:spacing w:line="292" w:lineRule="auto"/>
        <w:ind w:right="868" w:hanging="1006"/>
        <w:jc w:val="both"/>
        <w:rPr>
          <w:sz w:val="20"/>
        </w:rPr>
      </w:pPr>
      <w:r>
        <w:rPr>
          <w:sz w:val="20"/>
        </w:rPr>
        <w:t>audiovisuaalis</w:t>
      </w:r>
      <w:r>
        <w:rPr>
          <w:sz w:val="20"/>
        </w:rPr>
        <w:t>essa kaupallisessa viestinnässä ei saa kannustaa alkoholin kohtuuttomaan käyttöön tai esittää raittiutta tai kohtuullista käyttöä kielteisessä valossa;</w:t>
      </w:r>
    </w:p>
    <w:p w14:paraId="5D72DDC7" w14:textId="77777777" w:rsidR="0006113D" w:rsidRDefault="0006113D">
      <w:pPr>
        <w:pStyle w:val="BodyText"/>
        <w:spacing w:before="10"/>
      </w:pPr>
    </w:p>
    <w:p w14:paraId="1AB3053F" w14:textId="77777777" w:rsidR="0006113D" w:rsidRDefault="00546668">
      <w:pPr>
        <w:pStyle w:val="ListParagraph"/>
        <w:numPr>
          <w:ilvl w:val="0"/>
          <w:numId w:val="7"/>
        </w:numPr>
        <w:tabs>
          <w:tab w:val="left" w:pos="2705"/>
        </w:tabs>
        <w:spacing w:before="1" w:line="292" w:lineRule="auto"/>
        <w:ind w:right="867" w:hanging="1049"/>
        <w:jc w:val="both"/>
        <w:rPr>
          <w:sz w:val="20"/>
        </w:rPr>
      </w:pPr>
      <w:r>
        <w:rPr>
          <w:sz w:val="20"/>
        </w:rPr>
        <w:t>audiovisuaalisessa kaupallisessa viestinnässä ei saa korostaa korkean alkoholipitoisuuden olevan juomie</w:t>
      </w:r>
      <w:r>
        <w:rPr>
          <w:sz w:val="20"/>
        </w:rPr>
        <w:t>n myönteinen ominaisuus.</w:t>
      </w:r>
    </w:p>
    <w:p w14:paraId="60DCEF37" w14:textId="77777777" w:rsidR="0006113D" w:rsidRDefault="0006113D">
      <w:pPr>
        <w:pStyle w:val="BodyText"/>
        <w:spacing w:before="31"/>
      </w:pPr>
    </w:p>
    <w:p w14:paraId="16D20D11" w14:textId="77777777" w:rsidR="0006113D" w:rsidRDefault="00546668">
      <w:pPr>
        <w:pStyle w:val="Heading1"/>
        <w:numPr>
          <w:ilvl w:val="0"/>
          <w:numId w:val="13"/>
        </w:numPr>
        <w:tabs>
          <w:tab w:val="left" w:pos="1713"/>
        </w:tabs>
        <w:ind w:left="1713" w:hanging="851"/>
        <w:jc w:val="left"/>
      </w:pPr>
      <w:bookmarkStart w:id="20" w:name="_Toc183087724"/>
      <w:r>
        <w:t>Sponsorointi</w:t>
      </w:r>
      <w:bookmarkEnd w:id="20"/>
    </w:p>
    <w:p w14:paraId="134BF0DD" w14:textId="77777777" w:rsidR="0006113D" w:rsidRDefault="00546668">
      <w:pPr>
        <w:pStyle w:val="ListParagraph"/>
        <w:numPr>
          <w:ilvl w:val="1"/>
          <w:numId w:val="13"/>
        </w:numPr>
        <w:tabs>
          <w:tab w:val="left" w:pos="1711"/>
          <w:tab w:val="left" w:pos="1714"/>
        </w:tabs>
        <w:spacing w:before="389" w:line="292" w:lineRule="auto"/>
        <w:ind w:left="1714" w:right="861" w:hanging="852"/>
        <w:jc w:val="both"/>
        <w:rPr>
          <w:sz w:val="20"/>
        </w:rPr>
      </w:pPr>
      <w:r>
        <w:rPr>
          <w:sz w:val="20"/>
        </w:rPr>
        <w:t>Tilattavia palveluja tai sponsoroituja ohjelmia tarjoavien mediapalvelun tarjoajien on noudatettava seuraavia vaatimuksia:</w:t>
      </w:r>
    </w:p>
    <w:p w14:paraId="6363FDCA" w14:textId="77777777" w:rsidR="0006113D" w:rsidRDefault="0006113D">
      <w:pPr>
        <w:pStyle w:val="BodyText"/>
        <w:spacing w:before="8"/>
      </w:pPr>
    </w:p>
    <w:p w14:paraId="0E0C0E5F" w14:textId="77777777" w:rsidR="0006113D" w:rsidRDefault="00546668">
      <w:pPr>
        <w:pStyle w:val="ListParagraph"/>
        <w:numPr>
          <w:ilvl w:val="0"/>
          <w:numId w:val="6"/>
        </w:numPr>
        <w:tabs>
          <w:tab w:val="left" w:pos="2705"/>
        </w:tabs>
        <w:spacing w:line="292" w:lineRule="auto"/>
        <w:ind w:right="861"/>
        <w:jc w:val="both"/>
        <w:rPr>
          <w:sz w:val="20"/>
        </w:rPr>
      </w:pPr>
      <w:r>
        <w:rPr>
          <w:sz w:val="20"/>
        </w:rPr>
        <w:t>niiden tarjoamien tilattavien palvelujen tai ohjelmien sisältöön ei saa missään olosuhteissa vaikuttaa siten, että sillä on vaikutus</w:t>
      </w:r>
      <w:r>
        <w:rPr>
          <w:sz w:val="20"/>
        </w:rPr>
        <w:t>ta mediapalvelun tarjoajan vastuuseen ja toimitukselliseen riippumattomuuteen;</w:t>
      </w:r>
    </w:p>
    <w:p w14:paraId="7F8FF9C5" w14:textId="77777777" w:rsidR="0006113D" w:rsidRDefault="0006113D">
      <w:pPr>
        <w:pStyle w:val="BodyText"/>
        <w:spacing w:before="8"/>
      </w:pPr>
    </w:p>
    <w:p w14:paraId="516E01A9" w14:textId="77777777" w:rsidR="0006113D" w:rsidRDefault="00546668">
      <w:pPr>
        <w:pStyle w:val="ListParagraph"/>
        <w:numPr>
          <w:ilvl w:val="0"/>
          <w:numId w:val="6"/>
        </w:numPr>
        <w:tabs>
          <w:tab w:val="left" w:pos="2705"/>
        </w:tabs>
        <w:spacing w:line="292" w:lineRule="auto"/>
        <w:ind w:right="863" w:hanging="994"/>
        <w:jc w:val="both"/>
        <w:rPr>
          <w:sz w:val="20"/>
        </w:rPr>
      </w:pPr>
      <w:r>
        <w:rPr>
          <w:sz w:val="20"/>
        </w:rPr>
        <w:t>niiden tarjoamissa tilattavissa palveluissa tai ohjelmissa ei saa suoraan kannustaa ostamaan tai vuokraamaan tavaroita tai palveluja, varsinkaan tekemällä myynninedistämiseen t</w:t>
      </w:r>
      <w:r>
        <w:rPr>
          <w:sz w:val="20"/>
        </w:rPr>
        <w:t>ähtääviä viittauksia kyseisiin tavaroihin tai palveluihin;</w:t>
      </w:r>
    </w:p>
    <w:p w14:paraId="04429D6B" w14:textId="77777777" w:rsidR="0006113D" w:rsidRDefault="0006113D">
      <w:pPr>
        <w:pStyle w:val="BodyText"/>
        <w:spacing w:before="11"/>
      </w:pPr>
    </w:p>
    <w:p w14:paraId="0A9DD05D" w14:textId="77777777" w:rsidR="0006113D" w:rsidRDefault="00546668">
      <w:pPr>
        <w:pStyle w:val="ListParagraph"/>
        <w:numPr>
          <w:ilvl w:val="0"/>
          <w:numId w:val="6"/>
        </w:numPr>
        <w:tabs>
          <w:tab w:val="left" w:pos="2705"/>
        </w:tabs>
        <w:ind w:hanging="1037"/>
        <w:jc w:val="left"/>
        <w:rPr>
          <w:sz w:val="20"/>
        </w:rPr>
      </w:pPr>
      <w:r>
        <w:rPr>
          <w:sz w:val="20"/>
        </w:rPr>
        <w:t>katsojille on ilmoitettava selkeästi sponsorointisopimuksen olemassaolosta;</w:t>
      </w:r>
    </w:p>
    <w:p w14:paraId="634F45FE" w14:textId="77777777" w:rsidR="0006113D" w:rsidRDefault="0006113D">
      <w:pPr>
        <w:pStyle w:val="BodyText"/>
        <w:spacing w:before="59"/>
      </w:pPr>
    </w:p>
    <w:p w14:paraId="733D02AD" w14:textId="77777777" w:rsidR="0006113D" w:rsidRDefault="00546668">
      <w:pPr>
        <w:pStyle w:val="ListParagraph"/>
        <w:numPr>
          <w:ilvl w:val="0"/>
          <w:numId w:val="6"/>
        </w:numPr>
        <w:tabs>
          <w:tab w:val="left" w:pos="2705"/>
        </w:tabs>
        <w:spacing w:line="292" w:lineRule="auto"/>
        <w:ind w:right="865" w:hanging="1049"/>
        <w:jc w:val="both"/>
        <w:rPr>
          <w:sz w:val="20"/>
        </w:rPr>
      </w:pPr>
      <w:r>
        <w:rPr>
          <w:sz w:val="20"/>
        </w:rPr>
        <w:t>sponsoroidut ohjelmat on selkeästi yksilöitävä sellaisiksi käyttämällä ohjelmien kannalta asianmukaisesti sponsorin nim</w:t>
      </w:r>
      <w:r>
        <w:rPr>
          <w:sz w:val="20"/>
        </w:rPr>
        <w:t>eä, tunnusta ja/tai muuta symbolia, kuten viittausta sponsorin tuotteisiin tai palveluihin, taikka selvästi erottuvaa sponsoroinnin ilmaisevaa merkkiä ohjelmien alussa, aikana ja/tai lopussa.</w:t>
      </w:r>
    </w:p>
    <w:p w14:paraId="069CAC26" w14:textId="77777777" w:rsidR="0006113D" w:rsidRDefault="0006113D">
      <w:pPr>
        <w:pStyle w:val="BodyText"/>
        <w:spacing w:before="8"/>
      </w:pPr>
    </w:p>
    <w:p w14:paraId="4384E6AD" w14:textId="77777777" w:rsidR="0006113D" w:rsidRDefault="00546668">
      <w:pPr>
        <w:pStyle w:val="ListParagraph"/>
        <w:numPr>
          <w:ilvl w:val="1"/>
          <w:numId w:val="13"/>
        </w:numPr>
        <w:tabs>
          <w:tab w:val="left" w:pos="1711"/>
          <w:tab w:val="left" w:pos="1714"/>
        </w:tabs>
        <w:spacing w:line="292" w:lineRule="auto"/>
        <w:ind w:left="1714" w:right="859" w:hanging="852"/>
        <w:jc w:val="both"/>
        <w:rPr>
          <w:sz w:val="20"/>
        </w:rPr>
      </w:pPr>
      <w:r>
        <w:rPr>
          <w:sz w:val="20"/>
        </w:rPr>
        <w:t>Tilattavia palveluja tarjoavat mediapalvelun tarjoajat eivät sa</w:t>
      </w:r>
      <w:r>
        <w:rPr>
          <w:sz w:val="20"/>
        </w:rPr>
        <w:t xml:space="preserve">a sallia sellaisten yritysten sponsoroida tilattavia palveluja tai ohjelmia, joiden pääasiallisena toimintana on savukkeiden ja muiden tupakkatuotteiden sekä sähkösavukkeiden ja täyttösäiliöiden </w:t>
      </w:r>
      <w:r>
        <w:rPr>
          <w:sz w:val="20"/>
        </w:rPr>
        <w:lastRenderedPageBreak/>
        <w:t>valmistus tai myynti.</w:t>
      </w:r>
    </w:p>
    <w:p w14:paraId="5C924F84" w14:textId="77777777" w:rsidR="0006113D" w:rsidRDefault="0006113D">
      <w:pPr>
        <w:pStyle w:val="BodyText"/>
        <w:spacing w:before="7"/>
      </w:pPr>
    </w:p>
    <w:p w14:paraId="74015E88" w14:textId="77777777" w:rsidR="0006113D" w:rsidRDefault="00546668">
      <w:pPr>
        <w:pStyle w:val="ListParagraph"/>
        <w:numPr>
          <w:ilvl w:val="1"/>
          <w:numId w:val="13"/>
        </w:numPr>
        <w:tabs>
          <w:tab w:val="left" w:pos="1711"/>
          <w:tab w:val="left" w:pos="1714"/>
        </w:tabs>
        <w:spacing w:line="292" w:lineRule="auto"/>
        <w:ind w:left="1714" w:right="859" w:hanging="852"/>
        <w:jc w:val="both"/>
        <w:rPr>
          <w:sz w:val="20"/>
        </w:rPr>
      </w:pPr>
      <w:r>
        <w:rPr>
          <w:sz w:val="20"/>
        </w:rPr>
        <w:t>Tilattavia palveluja tarjoavat mediapalvelun tarjoajat eivät saa sallia, että niiden tarjoamissa tilattavissa palveluissa tai ohjelmissa edistetään sellaisten yksittäisten lääkkeiden tai lääketieteellisten hoitojen myyntiä, jotka ovat saatavissa ainoastaan</w:t>
      </w:r>
      <w:r>
        <w:rPr>
          <w:sz w:val="20"/>
        </w:rPr>
        <w:t xml:space="preserve"> lääkärin määräyksestä Irlannissa.</w:t>
      </w:r>
    </w:p>
    <w:p w14:paraId="7394709A" w14:textId="77777777" w:rsidR="0006113D" w:rsidRDefault="0006113D">
      <w:pPr>
        <w:pStyle w:val="BodyText"/>
        <w:spacing w:before="8"/>
      </w:pPr>
    </w:p>
    <w:p w14:paraId="20B0C50D" w14:textId="77777777" w:rsidR="0006113D" w:rsidRDefault="00546668">
      <w:pPr>
        <w:pStyle w:val="ListParagraph"/>
        <w:numPr>
          <w:ilvl w:val="1"/>
          <w:numId w:val="13"/>
        </w:numPr>
        <w:tabs>
          <w:tab w:val="left" w:pos="1711"/>
          <w:tab w:val="left" w:pos="1714"/>
        </w:tabs>
        <w:spacing w:line="292" w:lineRule="auto"/>
        <w:ind w:left="1714" w:right="859" w:hanging="852"/>
        <w:jc w:val="both"/>
        <w:rPr>
          <w:sz w:val="20"/>
        </w:rPr>
      </w:pPr>
      <w:r>
        <w:rPr>
          <w:sz w:val="20"/>
        </w:rPr>
        <w:t>Tilattavia palveluja tarjoavat mediapalvelun tarjoajat voivat sallia, että niiden tarjoamia tilattavia palveluja tai ohjelmia tehdään tunnetuksi sellaisten yritysten nimellä tai julkisella kuvalla, joiden toimintaan kuul</w:t>
      </w:r>
      <w:r>
        <w:rPr>
          <w:sz w:val="20"/>
        </w:rPr>
        <w:t>uu lääkkeiden ja lääketieteellisten hoitojen valmistus tai myynti, sanotun kuitenkaan rajoittamatta 14.3 kohdan soveltamista.</w:t>
      </w:r>
    </w:p>
    <w:p w14:paraId="43187345" w14:textId="77777777" w:rsidR="0006113D" w:rsidRDefault="00546668">
      <w:pPr>
        <w:pStyle w:val="ListParagraph"/>
        <w:numPr>
          <w:ilvl w:val="1"/>
          <w:numId w:val="13"/>
        </w:numPr>
        <w:tabs>
          <w:tab w:val="left" w:pos="1711"/>
          <w:tab w:val="left" w:pos="1714"/>
        </w:tabs>
        <w:spacing w:before="79" w:line="292" w:lineRule="auto"/>
        <w:ind w:left="1714" w:right="865" w:hanging="852"/>
        <w:jc w:val="both"/>
        <w:rPr>
          <w:sz w:val="20"/>
        </w:rPr>
      </w:pPr>
      <w:r>
        <w:rPr>
          <w:sz w:val="20"/>
        </w:rPr>
        <w:t>Tilattavia palveluja tarjoavat mediapalvelun tarjoajat eivät saa sallia tarjoamiensa uutis- ja ajankohtaisohjelmien sponsorointia.</w:t>
      </w:r>
    </w:p>
    <w:p w14:paraId="1C0AECAB" w14:textId="77777777" w:rsidR="0006113D" w:rsidRDefault="0006113D">
      <w:pPr>
        <w:pStyle w:val="BodyText"/>
        <w:spacing w:before="9"/>
      </w:pPr>
    </w:p>
    <w:p w14:paraId="6A26245A" w14:textId="77777777" w:rsidR="0006113D" w:rsidRDefault="00546668">
      <w:pPr>
        <w:pStyle w:val="ListParagraph"/>
        <w:numPr>
          <w:ilvl w:val="1"/>
          <w:numId w:val="13"/>
        </w:numPr>
        <w:tabs>
          <w:tab w:val="left" w:pos="1711"/>
          <w:tab w:val="left" w:pos="1714"/>
        </w:tabs>
        <w:spacing w:line="292" w:lineRule="auto"/>
        <w:ind w:left="1714" w:right="861" w:hanging="852"/>
        <w:jc w:val="both"/>
        <w:rPr>
          <w:sz w:val="20"/>
        </w:rPr>
      </w:pPr>
      <w:r>
        <w:rPr>
          <w:sz w:val="20"/>
        </w:rPr>
        <w:t>Tilattavia palveluja tarjoavat palvelun tarjoajat eivät saa sallia sponsorin tunnuksen esittämistä tarjoamiensa dokumenttiohjelmien tai uskonnollisten ohjelmien aikana.</w:t>
      </w:r>
    </w:p>
    <w:p w14:paraId="544D6E6E" w14:textId="77777777" w:rsidR="0006113D" w:rsidRDefault="0006113D">
      <w:pPr>
        <w:pStyle w:val="BodyText"/>
        <w:spacing w:before="33"/>
      </w:pPr>
    </w:p>
    <w:p w14:paraId="399254B8" w14:textId="77777777" w:rsidR="0006113D" w:rsidRDefault="00546668">
      <w:pPr>
        <w:pStyle w:val="Heading1"/>
        <w:numPr>
          <w:ilvl w:val="0"/>
          <w:numId w:val="13"/>
        </w:numPr>
        <w:tabs>
          <w:tab w:val="left" w:pos="1713"/>
        </w:tabs>
        <w:ind w:left="1713" w:hanging="851"/>
        <w:jc w:val="left"/>
      </w:pPr>
      <w:bookmarkStart w:id="21" w:name="_Toc183087725"/>
      <w:r>
        <w:t>Tuotesijoittelu</w:t>
      </w:r>
      <w:bookmarkEnd w:id="21"/>
    </w:p>
    <w:p w14:paraId="3DC8D9C1" w14:textId="77777777" w:rsidR="0006113D" w:rsidRDefault="00546668">
      <w:pPr>
        <w:pStyle w:val="ListParagraph"/>
        <w:numPr>
          <w:ilvl w:val="1"/>
          <w:numId w:val="13"/>
        </w:numPr>
        <w:tabs>
          <w:tab w:val="left" w:pos="1711"/>
          <w:tab w:val="left" w:pos="1714"/>
        </w:tabs>
        <w:spacing w:before="276" w:line="292" w:lineRule="auto"/>
        <w:ind w:left="1714" w:right="856" w:hanging="852"/>
        <w:jc w:val="both"/>
        <w:rPr>
          <w:sz w:val="20"/>
        </w:rPr>
      </w:pPr>
      <w:r>
        <w:rPr>
          <w:sz w:val="20"/>
        </w:rPr>
        <w:t>Tilattavia palveluja tarjoavien mediapalvelun tarjoajien on sallitta</w:t>
      </w:r>
      <w:r>
        <w:rPr>
          <w:sz w:val="20"/>
        </w:rPr>
        <w:t>va tuotesijoittelu tarjoamissaan tilattavissa palveluissa, lukuun ottamatta uutis- ja ajankohtaisohjelmia, kuluttaja-asiaohjelmia, uskonnollisia ohjelmia ja lastenohjelmia.</w:t>
      </w:r>
    </w:p>
    <w:p w14:paraId="5D56A2D1" w14:textId="77777777" w:rsidR="0006113D" w:rsidRDefault="0006113D">
      <w:pPr>
        <w:pStyle w:val="BodyText"/>
        <w:spacing w:before="8"/>
      </w:pPr>
    </w:p>
    <w:p w14:paraId="5FB126BB" w14:textId="77777777" w:rsidR="0006113D" w:rsidRDefault="00546668">
      <w:pPr>
        <w:pStyle w:val="ListParagraph"/>
        <w:numPr>
          <w:ilvl w:val="1"/>
          <w:numId w:val="13"/>
        </w:numPr>
        <w:tabs>
          <w:tab w:val="left" w:pos="1711"/>
          <w:tab w:val="left" w:pos="1714"/>
        </w:tabs>
        <w:spacing w:line="292" w:lineRule="auto"/>
        <w:ind w:left="1714" w:right="865" w:hanging="852"/>
        <w:jc w:val="both"/>
        <w:rPr>
          <w:sz w:val="20"/>
        </w:rPr>
      </w:pPr>
      <w:r>
        <w:rPr>
          <w:sz w:val="20"/>
        </w:rPr>
        <w:t>Tilattavia palveluja tarjoavien mediapalvelun tarjoajien on varmistettava, että tuotesijoittelua sisältävät ohjelmat täyttävät seuraavat vaatimukset:</w:t>
      </w:r>
    </w:p>
    <w:p w14:paraId="2A27C8F9" w14:textId="77777777" w:rsidR="0006113D" w:rsidRDefault="0006113D">
      <w:pPr>
        <w:pStyle w:val="BodyText"/>
        <w:spacing w:before="11"/>
      </w:pPr>
    </w:p>
    <w:p w14:paraId="5355C7A8" w14:textId="77777777" w:rsidR="0006113D" w:rsidRDefault="00546668">
      <w:pPr>
        <w:pStyle w:val="ListParagraph"/>
        <w:numPr>
          <w:ilvl w:val="0"/>
          <w:numId w:val="5"/>
        </w:numPr>
        <w:tabs>
          <w:tab w:val="left" w:pos="2705"/>
        </w:tabs>
        <w:spacing w:before="1" w:line="292" w:lineRule="auto"/>
        <w:ind w:right="863"/>
        <w:jc w:val="both"/>
        <w:rPr>
          <w:sz w:val="20"/>
        </w:rPr>
      </w:pPr>
      <w:r>
        <w:rPr>
          <w:sz w:val="20"/>
        </w:rPr>
        <w:t>tällaisten ohjelmien sisältöön ja organisointiin luettelossa ei saa missään olosuhteissa vaikuttaa siten,</w:t>
      </w:r>
      <w:r>
        <w:rPr>
          <w:sz w:val="20"/>
        </w:rPr>
        <w:t xml:space="preserve"> että sillä olisi vaikutusta mediapalvelun tarjoajan vastuuseen ja toimitukselliseen riippumattomuuteen;</w:t>
      </w:r>
    </w:p>
    <w:p w14:paraId="1CD951A6" w14:textId="77777777" w:rsidR="0006113D" w:rsidRDefault="0006113D">
      <w:pPr>
        <w:pStyle w:val="BodyText"/>
        <w:spacing w:before="8"/>
      </w:pPr>
    </w:p>
    <w:p w14:paraId="581E0A12" w14:textId="77777777" w:rsidR="0006113D" w:rsidRDefault="00546668">
      <w:pPr>
        <w:pStyle w:val="ListParagraph"/>
        <w:numPr>
          <w:ilvl w:val="0"/>
          <w:numId w:val="5"/>
        </w:numPr>
        <w:tabs>
          <w:tab w:val="left" w:pos="2705"/>
        </w:tabs>
        <w:spacing w:line="292" w:lineRule="auto"/>
        <w:ind w:right="867" w:hanging="994"/>
        <w:jc w:val="both"/>
        <w:rPr>
          <w:sz w:val="20"/>
        </w:rPr>
      </w:pPr>
      <w:r>
        <w:rPr>
          <w:sz w:val="20"/>
        </w:rPr>
        <w:t>niissä ei saa suoraan kannustaa ostamaan tai vuokraamaan tavaroita tai palveluja, varsinkaan tekemällä myynninedistämiseen tähtääviä viittauksia kysei</w:t>
      </w:r>
      <w:r>
        <w:rPr>
          <w:sz w:val="20"/>
        </w:rPr>
        <w:t>siin tavaroihin tai palveluihin;</w:t>
      </w:r>
    </w:p>
    <w:p w14:paraId="13753A4B" w14:textId="77777777" w:rsidR="0006113D" w:rsidRDefault="0006113D">
      <w:pPr>
        <w:pStyle w:val="BodyText"/>
        <w:spacing w:before="8"/>
      </w:pPr>
    </w:p>
    <w:p w14:paraId="134A1C5A" w14:textId="77777777" w:rsidR="0006113D" w:rsidRDefault="00546668">
      <w:pPr>
        <w:pStyle w:val="ListParagraph"/>
        <w:numPr>
          <w:ilvl w:val="0"/>
          <w:numId w:val="5"/>
        </w:numPr>
        <w:tabs>
          <w:tab w:val="left" w:pos="2705"/>
        </w:tabs>
        <w:ind w:hanging="1037"/>
        <w:jc w:val="left"/>
        <w:rPr>
          <w:sz w:val="20"/>
        </w:rPr>
      </w:pPr>
      <w:r>
        <w:rPr>
          <w:sz w:val="20"/>
        </w:rPr>
        <w:t>niissä ei saa aiheettomasti korostaa kyseistä tuotetta;</w:t>
      </w:r>
    </w:p>
    <w:p w14:paraId="1D2E58A7" w14:textId="77777777" w:rsidR="0006113D" w:rsidRDefault="0006113D">
      <w:pPr>
        <w:pStyle w:val="BodyText"/>
        <w:spacing w:before="61"/>
      </w:pPr>
    </w:p>
    <w:p w14:paraId="160BBBBD" w14:textId="77777777" w:rsidR="0006113D" w:rsidRDefault="00546668">
      <w:pPr>
        <w:pStyle w:val="ListParagraph"/>
        <w:numPr>
          <w:ilvl w:val="0"/>
          <w:numId w:val="5"/>
        </w:numPr>
        <w:tabs>
          <w:tab w:val="left" w:pos="2705"/>
        </w:tabs>
        <w:spacing w:line="292" w:lineRule="auto"/>
        <w:ind w:right="863" w:hanging="1049"/>
        <w:jc w:val="both"/>
        <w:rPr>
          <w:sz w:val="20"/>
        </w:rPr>
      </w:pPr>
      <w:r>
        <w:rPr>
          <w:sz w:val="20"/>
        </w:rPr>
        <w:t>tuotesijoittelua sisältävistä ohjelmista on ilmoitettava selvästi katsojille yksilöimällä ne asianmukaisesti sellaisiksi ohjelman alussa ja lopussa sekä, katsojien m</w:t>
      </w:r>
      <w:r>
        <w:rPr>
          <w:sz w:val="20"/>
        </w:rPr>
        <w:t>ahdollisten väärinkäsitysten välttämiseksi, ohjelman alettua uudelleen mainoskatkon jälkeen.</w:t>
      </w:r>
    </w:p>
    <w:p w14:paraId="5B2DF68F" w14:textId="77777777" w:rsidR="0006113D" w:rsidRDefault="0006113D">
      <w:pPr>
        <w:pStyle w:val="BodyText"/>
        <w:spacing w:before="6"/>
      </w:pPr>
    </w:p>
    <w:p w14:paraId="0D58AEEF" w14:textId="77777777" w:rsidR="0006113D" w:rsidRDefault="00546668">
      <w:pPr>
        <w:pStyle w:val="BodyText"/>
        <w:spacing w:line="292" w:lineRule="auto"/>
        <w:ind w:left="1714" w:right="859"/>
        <w:jc w:val="both"/>
      </w:pPr>
      <w:r>
        <w:t>Edellä olevaa 15.2 kohdan iv alakohtaa sovelletaan ainoastaan tilattavien mediapalvelujen tarjoajan tai siihen sidoksissa olevan yrityksen tuottamiin tai tilaamii</w:t>
      </w:r>
      <w:r>
        <w:t>n ohjelmiin.</w:t>
      </w:r>
    </w:p>
    <w:p w14:paraId="1E3BB847" w14:textId="77777777" w:rsidR="0006113D" w:rsidRDefault="0006113D">
      <w:pPr>
        <w:pStyle w:val="BodyText"/>
        <w:spacing w:before="8"/>
      </w:pPr>
    </w:p>
    <w:p w14:paraId="74195122" w14:textId="77777777" w:rsidR="0006113D" w:rsidRDefault="00546668">
      <w:pPr>
        <w:pStyle w:val="ListParagraph"/>
        <w:numPr>
          <w:ilvl w:val="1"/>
          <w:numId w:val="13"/>
        </w:numPr>
        <w:tabs>
          <w:tab w:val="left" w:pos="1711"/>
          <w:tab w:val="left" w:pos="1714"/>
        </w:tabs>
        <w:spacing w:before="1" w:line="292" w:lineRule="auto"/>
        <w:ind w:left="1714" w:right="860" w:hanging="852"/>
        <w:jc w:val="both"/>
        <w:rPr>
          <w:sz w:val="20"/>
        </w:rPr>
      </w:pPr>
      <w:r>
        <w:rPr>
          <w:sz w:val="20"/>
        </w:rPr>
        <w:t>Sanotun rajoittamatta 15.1 ja 15.2 kohdan soveltamista, ohjelmat eivät saa sisältää seuraavien tuotesijoittelua: -</w:t>
      </w:r>
    </w:p>
    <w:p w14:paraId="0A4A8149" w14:textId="77777777" w:rsidR="0006113D" w:rsidRDefault="0006113D">
      <w:pPr>
        <w:pStyle w:val="BodyText"/>
        <w:spacing w:before="10"/>
      </w:pPr>
    </w:p>
    <w:p w14:paraId="674E91C7" w14:textId="77777777" w:rsidR="0006113D" w:rsidRDefault="00546668">
      <w:pPr>
        <w:pStyle w:val="ListParagraph"/>
        <w:numPr>
          <w:ilvl w:val="0"/>
          <w:numId w:val="4"/>
        </w:numPr>
        <w:tabs>
          <w:tab w:val="left" w:pos="2705"/>
        </w:tabs>
        <w:spacing w:line="292" w:lineRule="auto"/>
        <w:ind w:right="865"/>
        <w:jc w:val="both"/>
        <w:rPr>
          <w:sz w:val="20"/>
        </w:rPr>
      </w:pPr>
      <w:r>
        <w:rPr>
          <w:sz w:val="20"/>
        </w:rPr>
        <w:lastRenderedPageBreak/>
        <w:t>savukkeet ja muut tupakkatuotteet sekä sähkösavukkeet ja täyttösäiliöt tai sellaisten yritysten tuotteiden tuotesijoittelua, joiden pääasiallisena toimintana on näiden tuotteiden valmistus tai myynti;</w:t>
      </w:r>
    </w:p>
    <w:p w14:paraId="4C3B6B57" w14:textId="77777777" w:rsidR="0006113D" w:rsidRDefault="0006113D">
      <w:pPr>
        <w:pStyle w:val="BodyText"/>
        <w:spacing w:before="9"/>
      </w:pPr>
    </w:p>
    <w:p w14:paraId="1E91BF99" w14:textId="77777777" w:rsidR="0006113D" w:rsidRDefault="00546668">
      <w:pPr>
        <w:pStyle w:val="ListParagraph"/>
        <w:numPr>
          <w:ilvl w:val="0"/>
          <w:numId w:val="4"/>
        </w:numPr>
        <w:tabs>
          <w:tab w:val="left" w:pos="2705"/>
        </w:tabs>
        <w:spacing w:line="292" w:lineRule="auto"/>
        <w:ind w:right="867" w:hanging="994"/>
        <w:jc w:val="both"/>
        <w:rPr>
          <w:sz w:val="20"/>
        </w:rPr>
      </w:pPr>
      <w:r>
        <w:rPr>
          <w:sz w:val="20"/>
        </w:rPr>
        <w:t>yksittäiset lääkkeet tai lääketieteelliset hoidot, jotka ovat saatavissa ainoastaan lääkärin määräyksestä Irlannissa.</w:t>
      </w:r>
    </w:p>
    <w:p w14:paraId="58702600" w14:textId="77777777" w:rsidR="0006113D" w:rsidRDefault="0006113D">
      <w:pPr>
        <w:pStyle w:val="BodyText"/>
        <w:spacing w:before="8"/>
      </w:pPr>
    </w:p>
    <w:p w14:paraId="616EAA89" w14:textId="77777777" w:rsidR="0006113D" w:rsidRDefault="00546668">
      <w:pPr>
        <w:pStyle w:val="ListParagraph"/>
        <w:numPr>
          <w:ilvl w:val="1"/>
          <w:numId w:val="13"/>
        </w:numPr>
        <w:tabs>
          <w:tab w:val="left" w:pos="1713"/>
        </w:tabs>
        <w:ind w:left="1713" w:hanging="851"/>
        <w:rPr>
          <w:sz w:val="20"/>
        </w:rPr>
      </w:pPr>
      <w:r>
        <w:rPr>
          <w:sz w:val="20"/>
        </w:rPr>
        <w:t>Edellä olevia 15.1, 15.2 ja 15.3 kohtaa sovelletaan ainoastaan 19 päivän joulukuuta</w:t>
      </w:r>
    </w:p>
    <w:p w14:paraId="6D91301E" w14:textId="77777777" w:rsidR="0006113D" w:rsidRDefault="00546668">
      <w:pPr>
        <w:pStyle w:val="BodyText"/>
        <w:spacing w:before="51"/>
        <w:ind w:left="1714"/>
      </w:pPr>
      <w:r>
        <w:t>2009 jälkeen tuotettuihin ohjelmiin.</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bookmarkStart w:id="22" w:name="_Toc183087726"/>
      <w:r>
        <w:br w:type="page"/>
      </w:r>
    </w:p>
    <w:p w14:paraId="1166C22D" w14:textId="4511A723" w:rsidR="0006113D" w:rsidRDefault="00546668">
      <w:pPr>
        <w:pStyle w:val="Heading1"/>
        <w:spacing w:before="23"/>
        <w:ind w:left="395" w:right="181" w:firstLine="0"/>
        <w:jc w:val="center"/>
      </w:pPr>
      <w:r>
        <w:rPr>
          <w:color w:val="391200"/>
        </w:rPr>
        <w:lastRenderedPageBreak/>
        <w:t>Mediapalvelus</w:t>
      </w:r>
      <w:r>
        <w:rPr>
          <w:color w:val="391200"/>
        </w:rPr>
        <w:t>ääntöjen määräykset</w:t>
      </w:r>
      <w:bookmarkEnd w:id="22"/>
    </w:p>
    <w:p w14:paraId="2E33FF75" w14:textId="77777777" w:rsidR="0006113D" w:rsidRDefault="00546668">
      <w:pPr>
        <w:pStyle w:val="BodyText"/>
        <w:spacing w:before="278"/>
        <w:ind w:left="537" w:right="142"/>
        <w:jc w:val="center"/>
      </w:pPr>
      <w:r>
        <w:t>Jäljempänä esitetyt määräykset annetaan lain 46O §:n 1, 5, 6, 7 ja 9 momentin nojalla.</w:t>
      </w:r>
    </w:p>
    <w:p w14:paraId="1BDBED71" w14:textId="77777777" w:rsidR="0006113D" w:rsidRDefault="0006113D">
      <w:pPr>
        <w:pStyle w:val="BodyText"/>
        <w:spacing w:before="10"/>
      </w:pPr>
    </w:p>
    <w:p w14:paraId="5F30DBE5" w14:textId="77777777" w:rsidR="0006113D" w:rsidRDefault="00546668">
      <w:pPr>
        <w:pStyle w:val="Heading1"/>
        <w:numPr>
          <w:ilvl w:val="0"/>
          <w:numId w:val="13"/>
        </w:numPr>
        <w:tabs>
          <w:tab w:val="left" w:pos="1572"/>
        </w:tabs>
        <w:spacing w:line="206" w:lineRule="auto"/>
        <w:ind w:left="1572" w:right="1794" w:hanging="852"/>
        <w:jc w:val="left"/>
      </w:pPr>
      <w:bookmarkStart w:id="23" w:name="_Toc183087727"/>
      <w:r>
        <w:t>Tilattavien audiovisuaalisten palvelujen esteettömyys</w:t>
      </w:r>
      <w:bookmarkEnd w:id="23"/>
    </w:p>
    <w:p w14:paraId="7070C3D8" w14:textId="77777777" w:rsidR="0006113D" w:rsidRDefault="0006113D">
      <w:pPr>
        <w:pStyle w:val="BodyText"/>
        <w:spacing w:before="37"/>
        <w:rPr>
          <w:rFonts w:ascii="Georgia"/>
          <w:b/>
          <w:sz w:val="36"/>
        </w:rPr>
      </w:pPr>
    </w:p>
    <w:p w14:paraId="311625A3" w14:textId="77777777" w:rsidR="0006113D" w:rsidRDefault="00546668">
      <w:pPr>
        <w:pStyle w:val="ListParagraph"/>
        <w:numPr>
          <w:ilvl w:val="1"/>
          <w:numId w:val="13"/>
        </w:numPr>
        <w:tabs>
          <w:tab w:val="left" w:pos="1490"/>
          <w:tab w:val="left" w:pos="1493"/>
        </w:tabs>
        <w:spacing w:before="1" w:line="292" w:lineRule="auto"/>
        <w:ind w:left="1493" w:right="860" w:hanging="773"/>
        <w:jc w:val="both"/>
        <w:rPr>
          <w:sz w:val="20"/>
        </w:rPr>
      </w:pPr>
      <w:r>
        <w:rPr>
          <w:sz w:val="20"/>
        </w:rPr>
        <w:t>Tilattavia palveluja tarjoavien mediapalvelun tarjoajien on toteutettava oikeasuhteisia toimenpiteitä sen varmistamiseksi, että niiden tilattavissa palveluissa saataville asettamia ohjelmia saatetaan jatkuvasti ja asteittain esteettömämmiksi vammaisille he</w:t>
      </w:r>
      <w:r>
        <w:rPr>
          <w:sz w:val="20"/>
        </w:rPr>
        <w:t>nkilöille tarjoamalla säännöstössä ja säännöissä määriteltyjä esteettömyyspalveluja.</w:t>
      </w:r>
    </w:p>
    <w:p w14:paraId="39AEB4E8" w14:textId="77777777" w:rsidR="0006113D" w:rsidRDefault="00546668">
      <w:pPr>
        <w:spacing w:before="208"/>
        <w:ind w:left="720"/>
        <w:rPr>
          <w:rFonts w:ascii="Georgia"/>
          <w:b/>
          <w:sz w:val="28"/>
        </w:rPr>
      </w:pPr>
      <w:r>
        <w:rPr>
          <w:rFonts w:ascii="Georgia"/>
          <w:b/>
          <w:sz w:val="28"/>
        </w:rPr>
        <w:t>Esteett</w:t>
      </w:r>
      <w:r>
        <w:rPr>
          <w:rFonts w:ascii="Georgia"/>
          <w:b/>
          <w:sz w:val="28"/>
        </w:rPr>
        <w:t>ö</w:t>
      </w:r>
      <w:r>
        <w:rPr>
          <w:rFonts w:ascii="Georgia"/>
          <w:b/>
          <w:sz w:val="28"/>
        </w:rPr>
        <w:t>myytt</w:t>
      </w:r>
      <w:r>
        <w:rPr>
          <w:rFonts w:ascii="Georgia"/>
          <w:b/>
          <w:sz w:val="28"/>
        </w:rPr>
        <w:t>ä</w:t>
      </w:r>
      <w:r>
        <w:rPr>
          <w:rFonts w:ascii="Georgia"/>
          <w:b/>
          <w:sz w:val="28"/>
        </w:rPr>
        <w:t xml:space="preserve"> koskeva toimintasuunnitelma</w:t>
      </w:r>
    </w:p>
    <w:p w14:paraId="7E5F0830" w14:textId="77777777" w:rsidR="0006113D" w:rsidRDefault="00546668">
      <w:pPr>
        <w:pStyle w:val="ListParagraph"/>
        <w:numPr>
          <w:ilvl w:val="1"/>
          <w:numId w:val="13"/>
        </w:numPr>
        <w:tabs>
          <w:tab w:val="left" w:pos="1510"/>
          <w:tab w:val="left" w:pos="1514"/>
        </w:tabs>
        <w:spacing w:before="312" w:line="290" w:lineRule="auto"/>
        <w:ind w:left="1514" w:right="865" w:hanging="776"/>
        <w:jc w:val="both"/>
        <w:rPr>
          <w:sz w:val="20"/>
        </w:rPr>
      </w:pPr>
      <w:r>
        <w:rPr>
          <w:sz w:val="20"/>
        </w:rPr>
        <w:t>Tilattavia palveluja tarjoavien mediapalvelun tarjoajien on laadittava esteettömyyttä koskeva toimintasuunnitelma, josta sovitaa</w:t>
      </w:r>
      <w:r>
        <w:rPr>
          <w:sz w:val="20"/>
        </w:rPr>
        <w:t>n komission kanssa, 16.1 kohdassa säädetyn velvoitteen osalta.</w:t>
      </w:r>
    </w:p>
    <w:p w14:paraId="1ECA0676" w14:textId="77777777" w:rsidR="0006113D" w:rsidRDefault="0006113D">
      <w:pPr>
        <w:pStyle w:val="BodyText"/>
        <w:spacing w:before="54"/>
      </w:pPr>
    </w:p>
    <w:p w14:paraId="47669B6F" w14:textId="77777777" w:rsidR="0006113D" w:rsidRDefault="00546668">
      <w:pPr>
        <w:pStyle w:val="ListParagraph"/>
        <w:numPr>
          <w:ilvl w:val="1"/>
          <w:numId w:val="13"/>
        </w:numPr>
        <w:tabs>
          <w:tab w:val="left" w:pos="1510"/>
          <w:tab w:val="left" w:pos="1514"/>
        </w:tabs>
        <w:spacing w:line="292" w:lineRule="auto"/>
        <w:ind w:left="1514" w:right="864" w:hanging="776"/>
        <w:jc w:val="both"/>
        <w:rPr>
          <w:sz w:val="20"/>
        </w:rPr>
      </w:pPr>
      <w:r>
        <w:rPr>
          <w:sz w:val="20"/>
        </w:rPr>
        <w:t>Tilattavia palveluja tarjoavien mediapalvelun tarjoajien on asetettava komission saataville ensimmäinen esteettömyyttä koskeva toimintasuunnitelmansa kuuden kuukauden kuluessa säännöstön ja sä</w:t>
      </w:r>
      <w:r>
        <w:rPr>
          <w:sz w:val="20"/>
        </w:rPr>
        <w:t>äntöjen julkaisemisesta ja sen jälkeen vuosittain.</w:t>
      </w:r>
    </w:p>
    <w:p w14:paraId="4665BE80" w14:textId="77777777" w:rsidR="0006113D" w:rsidRDefault="0006113D">
      <w:pPr>
        <w:pStyle w:val="BodyText"/>
        <w:spacing w:before="44"/>
      </w:pPr>
    </w:p>
    <w:p w14:paraId="484A11C9" w14:textId="77777777" w:rsidR="0006113D" w:rsidRDefault="00546668">
      <w:pPr>
        <w:pStyle w:val="ListParagraph"/>
        <w:numPr>
          <w:ilvl w:val="1"/>
          <w:numId w:val="13"/>
        </w:numPr>
        <w:tabs>
          <w:tab w:val="left" w:pos="1510"/>
          <w:tab w:val="left" w:pos="1514"/>
        </w:tabs>
        <w:spacing w:line="292" w:lineRule="auto"/>
        <w:ind w:left="1514" w:right="862" w:hanging="776"/>
        <w:jc w:val="both"/>
        <w:rPr>
          <w:sz w:val="20"/>
        </w:rPr>
      </w:pPr>
      <w:r>
        <w:rPr>
          <w:sz w:val="20"/>
        </w:rPr>
        <w:t>Tilattavia palveluja tarjoavien mediapalvelun tarjoajien on ensimmäistä ja sitä seuraavia esteettömyyttä koskevia toimintasuunnitelmiansa laatiessaan osoitettava, että ne ovat ottaneet asianmukaisesti huomioon 16.6 kohdassa esitetyt vaikuttavat tekijät.</w:t>
      </w:r>
    </w:p>
    <w:p w14:paraId="5C992B54" w14:textId="77777777" w:rsidR="0006113D" w:rsidRDefault="00546668">
      <w:pPr>
        <w:pStyle w:val="ListParagraph"/>
        <w:numPr>
          <w:ilvl w:val="1"/>
          <w:numId w:val="13"/>
        </w:numPr>
        <w:tabs>
          <w:tab w:val="left" w:pos="1510"/>
          <w:tab w:val="left" w:pos="1514"/>
        </w:tabs>
        <w:spacing w:before="227" w:line="292" w:lineRule="auto"/>
        <w:ind w:left="1514" w:right="856" w:hanging="795"/>
        <w:jc w:val="both"/>
        <w:rPr>
          <w:sz w:val="20"/>
        </w:rPr>
      </w:pPr>
      <w:r>
        <w:rPr>
          <w:sz w:val="20"/>
        </w:rPr>
        <w:t>Ed</w:t>
      </w:r>
      <w:r>
        <w:rPr>
          <w:sz w:val="20"/>
        </w:rPr>
        <w:t>ellä 16.1 kohdassa säädetyn velvoitteen mukaisesti laadittavassa ja komission kanssa sovittavassa esteettömyyttä koskevassa toimintasuunnitelmassa on käsiteltävä seuraavia seikkoja: -</w:t>
      </w:r>
    </w:p>
    <w:p w14:paraId="7B201126" w14:textId="77777777" w:rsidR="0006113D" w:rsidRDefault="0006113D">
      <w:pPr>
        <w:pStyle w:val="BodyText"/>
        <w:spacing w:before="49"/>
      </w:pPr>
    </w:p>
    <w:p w14:paraId="183EE4A1" w14:textId="77777777" w:rsidR="0006113D" w:rsidRDefault="00546668">
      <w:pPr>
        <w:pStyle w:val="ListParagraph"/>
        <w:numPr>
          <w:ilvl w:val="0"/>
          <w:numId w:val="3"/>
        </w:numPr>
        <w:tabs>
          <w:tab w:val="left" w:pos="2705"/>
        </w:tabs>
        <w:spacing w:line="292" w:lineRule="auto"/>
        <w:ind w:right="858"/>
        <w:jc w:val="both"/>
        <w:rPr>
          <w:sz w:val="20"/>
        </w:rPr>
      </w:pPr>
      <w:r>
        <w:rPr>
          <w:sz w:val="20"/>
        </w:rPr>
        <w:t>sellaisten esteettömyyspalvelujen osuus, jotka tilattavien mediapalvelu</w:t>
      </w:r>
      <w:r>
        <w:rPr>
          <w:sz w:val="20"/>
        </w:rPr>
        <w:t>n tarjoaja aikoo asettaa saataville vuosittain tarjoamissaan tilattavissa palveluissa;</w:t>
      </w:r>
    </w:p>
    <w:p w14:paraId="3FD5B7D9" w14:textId="77777777" w:rsidR="0006113D" w:rsidRDefault="0006113D">
      <w:pPr>
        <w:pStyle w:val="BodyText"/>
        <w:spacing w:before="49"/>
      </w:pPr>
    </w:p>
    <w:p w14:paraId="04FAE4FD" w14:textId="77777777" w:rsidR="0006113D" w:rsidRDefault="00546668">
      <w:pPr>
        <w:pStyle w:val="ListParagraph"/>
        <w:numPr>
          <w:ilvl w:val="0"/>
          <w:numId w:val="3"/>
        </w:numPr>
        <w:tabs>
          <w:tab w:val="left" w:pos="2705"/>
        </w:tabs>
        <w:spacing w:line="292" w:lineRule="auto"/>
        <w:ind w:right="864" w:hanging="996"/>
        <w:jc w:val="both"/>
        <w:rPr>
          <w:sz w:val="20"/>
        </w:rPr>
      </w:pPr>
      <w:r>
        <w:rPr>
          <w:sz w:val="20"/>
        </w:rPr>
        <w:t>toimenpiteet, jotka on toteutettava komission 16.7 kohdan mukaisesti laatimien laatuvaatimusten noudattamiseksi;</w:t>
      </w:r>
    </w:p>
    <w:p w14:paraId="282F79A1" w14:textId="77777777" w:rsidR="0006113D" w:rsidRDefault="0006113D">
      <w:pPr>
        <w:pStyle w:val="BodyText"/>
        <w:spacing w:before="49"/>
      </w:pPr>
    </w:p>
    <w:p w14:paraId="4059E669" w14:textId="77777777" w:rsidR="0006113D" w:rsidRDefault="00546668">
      <w:pPr>
        <w:pStyle w:val="ListParagraph"/>
        <w:numPr>
          <w:ilvl w:val="0"/>
          <w:numId w:val="3"/>
        </w:numPr>
        <w:tabs>
          <w:tab w:val="left" w:pos="2705"/>
        </w:tabs>
        <w:spacing w:line="292" w:lineRule="auto"/>
        <w:ind w:right="866" w:hanging="1040"/>
        <w:jc w:val="both"/>
        <w:rPr>
          <w:sz w:val="20"/>
        </w:rPr>
      </w:pPr>
      <w:r>
        <w:rPr>
          <w:sz w:val="20"/>
        </w:rPr>
        <w:t>ehdotukset hätätilanteita koskevien tietojen toimittam</w:t>
      </w:r>
      <w:r>
        <w:rPr>
          <w:sz w:val="20"/>
        </w:rPr>
        <w:t>iseksi 16.8 kohdan mukaisesti;</w:t>
      </w:r>
    </w:p>
    <w:p w14:paraId="53E92A94" w14:textId="77777777" w:rsidR="0006113D" w:rsidRDefault="0006113D">
      <w:pPr>
        <w:pStyle w:val="BodyText"/>
        <w:spacing w:before="49"/>
      </w:pPr>
    </w:p>
    <w:p w14:paraId="331340D7" w14:textId="77777777" w:rsidR="0006113D" w:rsidRDefault="00546668">
      <w:pPr>
        <w:pStyle w:val="ListParagraph"/>
        <w:numPr>
          <w:ilvl w:val="0"/>
          <w:numId w:val="3"/>
        </w:numPr>
        <w:tabs>
          <w:tab w:val="left" w:pos="2705"/>
        </w:tabs>
        <w:spacing w:line="292" w:lineRule="auto"/>
        <w:ind w:right="859" w:hanging="1052"/>
        <w:jc w:val="both"/>
        <w:rPr>
          <w:sz w:val="20"/>
        </w:rPr>
      </w:pPr>
      <w:r>
        <w:rPr>
          <w:sz w:val="20"/>
        </w:rPr>
        <w:t>tapa, jolla tilattavien mediapalvelun tarjoaja edistää tarjoamissaan tilattavissa palveluissa saataville asetettuja esteettömyyspalveluja;</w:t>
      </w:r>
    </w:p>
    <w:p w14:paraId="04AB401E" w14:textId="77777777" w:rsidR="0006113D" w:rsidRDefault="0006113D">
      <w:pPr>
        <w:pStyle w:val="BodyText"/>
        <w:spacing w:before="49"/>
      </w:pPr>
    </w:p>
    <w:p w14:paraId="38C7615E" w14:textId="77777777" w:rsidR="0006113D" w:rsidRDefault="00546668">
      <w:pPr>
        <w:pStyle w:val="ListParagraph"/>
        <w:numPr>
          <w:ilvl w:val="0"/>
          <w:numId w:val="3"/>
        </w:numPr>
        <w:tabs>
          <w:tab w:val="left" w:pos="2705"/>
        </w:tabs>
        <w:spacing w:line="292" w:lineRule="auto"/>
        <w:ind w:right="859" w:hanging="1006"/>
        <w:jc w:val="both"/>
        <w:rPr>
          <w:sz w:val="20"/>
        </w:rPr>
      </w:pPr>
      <w:r>
        <w:rPr>
          <w:sz w:val="20"/>
        </w:rPr>
        <w:t xml:space="preserve">ehdotukset esteettömyyspalvelujen käyttäjien kuulemiseksi, mukaan lukien vammaisia edustavat järjestöt, mediapalvelun tarjoajan tarjoamien </w:t>
      </w:r>
      <w:r>
        <w:rPr>
          <w:sz w:val="20"/>
        </w:rPr>
        <w:lastRenderedPageBreak/>
        <w:t>esteettömyyspalvelujen tarjoamisesta sen tarjoamissa tilattavissa mediapalveluissa;</w:t>
      </w:r>
    </w:p>
    <w:p w14:paraId="170E5512" w14:textId="77777777" w:rsidR="0006113D" w:rsidRDefault="00546668">
      <w:pPr>
        <w:pStyle w:val="ListParagraph"/>
        <w:numPr>
          <w:ilvl w:val="0"/>
          <w:numId w:val="3"/>
        </w:numPr>
        <w:tabs>
          <w:tab w:val="left" w:pos="2705"/>
        </w:tabs>
        <w:spacing w:before="81"/>
        <w:ind w:right="859" w:hanging="1052"/>
        <w:jc w:val="both"/>
        <w:rPr>
          <w:sz w:val="20"/>
        </w:rPr>
      </w:pPr>
      <w:r>
        <w:rPr>
          <w:sz w:val="20"/>
        </w:rPr>
        <w:t xml:space="preserve">ehdotukset, joilla varmistetaan, </w:t>
      </w:r>
      <w:r>
        <w:rPr>
          <w:sz w:val="20"/>
        </w:rPr>
        <w:t>että käytettävissä on esteetön mekanismi, jonka avulla voidaan käsitellä katsojilta tulevia esteettömyyspalvelujen tarjoamista koskevia valituksia ja kyselyjä.</w:t>
      </w:r>
    </w:p>
    <w:p w14:paraId="1BE25973" w14:textId="77777777" w:rsidR="0006113D" w:rsidRDefault="0006113D">
      <w:pPr>
        <w:pStyle w:val="BodyText"/>
        <w:spacing w:before="47"/>
      </w:pPr>
    </w:p>
    <w:p w14:paraId="558E564F" w14:textId="77777777" w:rsidR="0006113D" w:rsidRDefault="00546668">
      <w:pPr>
        <w:pStyle w:val="ListParagraph"/>
        <w:numPr>
          <w:ilvl w:val="0"/>
          <w:numId w:val="3"/>
        </w:numPr>
        <w:tabs>
          <w:tab w:val="left" w:pos="2705"/>
        </w:tabs>
        <w:spacing w:before="1" w:line="292" w:lineRule="auto"/>
        <w:ind w:right="861" w:hanging="1095"/>
        <w:jc w:val="both"/>
        <w:rPr>
          <w:sz w:val="20"/>
        </w:rPr>
      </w:pPr>
      <w:r>
        <w:rPr>
          <w:sz w:val="20"/>
        </w:rPr>
        <w:t>Mediapalvelujen tarjoajan tilattavia palveluja koskevat ehdotukset, joilla parannetaan niiden k</w:t>
      </w:r>
      <w:r>
        <w:rPr>
          <w:sz w:val="20"/>
        </w:rPr>
        <w:t>äyttöoikeuspalvelujen laatua ja seurataan niiden palveluja sen varmistamiseksi, että laatuvaatimuksia noudatetaan johdonmukaisesti.</w:t>
      </w:r>
    </w:p>
    <w:p w14:paraId="5092041E" w14:textId="77777777" w:rsidR="0006113D" w:rsidRDefault="0006113D">
      <w:pPr>
        <w:pStyle w:val="BodyText"/>
        <w:spacing w:before="8"/>
      </w:pPr>
    </w:p>
    <w:p w14:paraId="0CB4D090" w14:textId="77777777" w:rsidR="0006113D" w:rsidRDefault="00546668">
      <w:pPr>
        <w:pStyle w:val="BodyText"/>
        <w:spacing w:line="292" w:lineRule="auto"/>
        <w:ind w:left="1440" w:right="860"/>
        <w:jc w:val="both"/>
      </w:pPr>
      <w:r>
        <w:t xml:space="preserve">Tilattavien mediapalvelujen tarjoajien on toimitettava komissiolle vuotuinen esteettömyyttä koskeva toimintasuunnitelmansa </w:t>
      </w:r>
      <w:r>
        <w:t>esteettömässä muodossa, joka soveltuu julkaistavaksi komission verkkosivustolla.</w:t>
      </w:r>
    </w:p>
    <w:p w14:paraId="0FB1D9BD" w14:textId="77777777" w:rsidR="0006113D" w:rsidRDefault="00546668">
      <w:pPr>
        <w:spacing w:before="169"/>
        <w:ind w:left="1428"/>
        <w:jc w:val="both"/>
        <w:rPr>
          <w:rFonts w:ascii="Georgia"/>
          <w:b/>
          <w:sz w:val="28"/>
        </w:rPr>
      </w:pPr>
      <w:r>
        <w:rPr>
          <w:rFonts w:ascii="Georgia"/>
          <w:b/>
          <w:sz w:val="28"/>
        </w:rPr>
        <w:t>Vaikuttavat tekij</w:t>
      </w:r>
      <w:r>
        <w:rPr>
          <w:rFonts w:ascii="Georgia"/>
          <w:b/>
          <w:sz w:val="28"/>
        </w:rPr>
        <w:t>ä</w:t>
      </w:r>
      <w:r>
        <w:rPr>
          <w:rFonts w:ascii="Georgia"/>
          <w:b/>
          <w:sz w:val="28"/>
        </w:rPr>
        <w:t>t</w:t>
      </w:r>
    </w:p>
    <w:p w14:paraId="34FAEEB1" w14:textId="7860B6C6" w:rsidR="0006113D" w:rsidRDefault="00546668">
      <w:pPr>
        <w:pStyle w:val="ListParagraph"/>
        <w:numPr>
          <w:ilvl w:val="1"/>
          <w:numId w:val="13"/>
        </w:numPr>
        <w:tabs>
          <w:tab w:val="left" w:pos="1425"/>
          <w:tab w:val="left" w:pos="1428"/>
        </w:tabs>
        <w:spacing w:before="152" w:line="292" w:lineRule="auto"/>
        <w:ind w:left="1428" w:right="859" w:hanging="708"/>
        <w:jc w:val="both"/>
        <w:rPr>
          <w:sz w:val="20"/>
        </w:rPr>
      </w:pPr>
      <w:r>
        <w:rPr>
          <w:sz w:val="20"/>
        </w:rPr>
        <w:t>Määrittäessään 16.1 kohdan perusteella toteutettavia ja vuotuisessa esteettömyyttä koskevassa toimintasuunnitelmassaan täsmennettyjä oikeasuhteisia toimenp</w:t>
      </w:r>
      <w:r>
        <w:rPr>
          <w:sz w:val="20"/>
        </w:rPr>
        <w:t xml:space="preserve">iteitä tilattavia palveluja tarjoavien mediapalvelun tarjoajien on osoitettava, että jäljempänä esitetyt vaikuttavat tekijät on otettu asianmukaisesti huomioon. </w:t>
      </w:r>
      <w:hyperlink w:anchor="_bookmark26" w:history="1">
        <w:r w:rsidR="003C0382">
          <w:rPr>
            <w:rStyle w:val="FootnoteReference"/>
            <w:position w:val="6"/>
            <w:sz w:val="13"/>
          </w:rPr>
          <w:footnoteReference w:id="5"/>
        </w:r>
      </w:hyperlink>
      <w:r>
        <w:rPr>
          <w:sz w:val="20"/>
        </w:rPr>
        <w:t>Toisin sanoen seuraavat tekijät: -</w:t>
      </w:r>
    </w:p>
    <w:p w14:paraId="19A3DDA3" w14:textId="77777777" w:rsidR="0006113D" w:rsidRDefault="0006113D">
      <w:pPr>
        <w:pStyle w:val="BodyText"/>
        <w:spacing w:before="80"/>
      </w:pPr>
    </w:p>
    <w:p w14:paraId="3E7A67D1" w14:textId="77777777" w:rsidR="0006113D" w:rsidRDefault="00546668">
      <w:pPr>
        <w:pStyle w:val="ListParagraph"/>
        <w:numPr>
          <w:ilvl w:val="0"/>
          <w:numId w:val="2"/>
        </w:numPr>
        <w:tabs>
          <w:tab w:val="left" w:pos="2705"/>
        </w:tabs>
        <w:spacing w:before="1" w:line="276" w:lineRule="auto"/>
        <w:ind w:right="861"/>
        <w:jc w:val="left"/>
        <w:rPr>
          <w:sz w:val="20"/>
        </w:rPr>
      </w:pPr>
      <w:r>
        <w:rPr>
          <w:sz w:val="20"/>
        </w:rPr>
        <w:t>tilattavien audiovisuaalisten mediapalvelujen tarjoajan ja tarjottujen palvelujen luonne;</w:t>
      </w:r>
    </w:p>
    <w:p w14:paraId="78EDA034" w14:textId="77777777" w:rsidR="0006113D" w:rsidRDefault="00546668">
      <w:pPr>
        <w:pStyle w:val="ListParagraph"/>
        <w:numPr>
          <w:ilvl w:val="0"/>
          <w:numId w:val="2"/>
        </w:numPr>
        <w:tabs>
          <w:tab w:val="left" w:pos="2705"/>
        </w:tabs>
        <w:spacing w:before="160" w:line="276" w:lineRule="auto"/>
        <w:ind w:right="862" w:hanging="996"/>
        <w:jc w:val="left"/>
        <w:rPr>
          <w:sz w:val="20"/>
        </w:rPr>
      </w:pPr>
      <w:r>
        <w:rPr>
          <w:sz w:val="20"/>
        </w:rPr>
        <w:t>tilattavien audiovisuaalisten mediapalvelujen tarjoajan kehitysvaihe ja sen kyky tarjota esteettömiä ohjelmia;</w:t>
      </w:r>
    </w:p>
    <w:p w14:paraId="4F27DE94" w14:textId="77777777" w:rsidR="0006113D" w:rsidRDefault="00546668">
      <w:pPr>
        <w:pStyle w:val="ListParagraph"/>
        <w:numPr>
          <w:ilvl w:val="0"/>
          <w:numId w:val="2"/>
        </w:numPr>
        <w:tabs>
          <w:tab w:val="left" w:pos="2705"/>
        </w:tabs>
        <w:spacing w:before="159" w:line="276" w:lineRule="auto"/>
        <w:ind w:right="867" w:hanging="1040"/>
        <w:jc w:val="left"/>
        <w:rPr>
          <w:sz w:val="20"/>
        </w:rPr>
      </w:pPr>
      <w:r>
        <w:rPr>
          <w:sz w:val="20"/>
        </w:rPr>
        <w:t>mediapalvelun tarjoajan tarjoamissaan tilattavissa palv</w:t>
      </w:r>
      <w:r>
        <w:rPr>
          <w:sz w:val="20"/>
        </w:rPr>
        <w:t>eluissa saataville asettamien esteettömyyspalvelujen nykyinen tarjonta;</w:t>
      </w:r>
    </w:p>
    <w:p w14:paraId="4792BEFD" w14:textId="77777777" w:rsidR="0006113D" w:rsidRDefault="00546668">
      <w:pPr>
        <w:pStyle w:val="ListParagraph"/>
        <w:numPr>
          <w:ilvl w:val="0"/>
          <w:numId w:val="2"/>
        </w:numPr>
        <w:tabs>
          <w:tab w:val="left" w:pos="2705"/>
        </w:tabs>
        <w:spacing w:before="160" w:line="276" w:lineRule="auto"/>
        <w:ind w:right="858" w:hanging="1052"/>
        <w:jc w:val="left"/>
        <w:rPr>
          <w:sz w:val="20"/>
        </w:rPr>
      </w:pPr>
      <w:r>
        <w:rPr>
          <w:sz w:val="20"/>
        </w:rPr>
        <w:t>mediapalvelun tarjoajan tarjoamien tilattavien palvelujen luettelossa tarjottujen ohjelmien tyyppi;</w:t>
      </w:r>
    </w:p>
    <w:p w14:paraId="63B5C6FA" w14:textId="77777777" w:rsidR="0006113D" w:rsidRDefault="00546668">
      <w:pPr>
        <w:pStyle w:val="ListParagraph"/>
        <w:numPr>
          <w:ilvl w:val="0"/>
          <w:numId w:val="2"/>
        </w:numPr>
        <w:tabs>
          <w:tab w:val="left" w:pos="2705"/>
        </w:tabs>
        <w:spacing w:before="160" w:line="276" w:lineRule="auto"/>
        <w:ind w:right="867" w:hanging="1006"/>
        <w:jc w:val="left"/>
        <w:rPr>
          <w:sz w:val="20"/>
        </w:rPr>
      </w:pPr>
      <w:r>
        <w:rPr>
          <w:sz w:val="20"/>
        </w:rPr>
        <w:t xml:space="preserve">mediapalvelun tarjoajalle esteettömyyspalvelujen tarjoamisesta aiheutuvat teknisten </w:t>
      </w:r>
      <w:r>
        <w:rPr>
          <w:sz w:val="20"/>
        </w:rPr>
        <w:t>resurssien ja henkilöstöresurssien kustannukset;</w:t>
      </w:r>
    </w:p>
    <w:p w14:paraId="4F9F4135" w14:textId="77777777" w:rsidR="0006113D" w:rsidRDefault="00546668">
      <w:pPr>
        <w:pStyle w:val="ListParagraph"/>
        <w:numPr>
          <w:ilvl w:val="0"/>
          <w:numId w:val="2"/>
        </w:numPr>
        <w:tabs>
          <w:tab w:val="left" w:pos="2705"/>
        </w:tabs>
        <w:spacing w:before="160" w:line="276" w:lineRule="auto"/>
        <w:ind w:right="863" w:hanging="1052"/>
        <w:jc w:val="left"/>
        <w:rPr>
          <w:sz w:val="20"/>
        </w:rPr>
      </w:pPr>
      <w:r>
        <w:rPr>
          <w:sz w:val="20"/>
        </w:rPr>
        <w:t>mediapalvelun tarjoajan tekniset valmiudet tarjota esteettömyyspalveluja tarjoamissaan tilattavissa palveluissa.</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546668">
      <w:pPr>
        <w:ind w:left="1440"/>
        <w:jc w:val="both"/>
        <w:rPr>
          <w:rFonts w:ascii="Georgia"/>
          <w:b/>
          <w:sz w:val="28"/>
        </w:rPr>
      </w:pPr>
      <w:r>
        <w:rPr>
          <w:rFonts w:ascii="Georgia"/>
          <w:b/>
          <w:sz w:val="28"/>
        </w:rPr>
        <w:t>Laatustandardit</w:t>
      </w:r>
    </w:p>
    <w:p w14:paraId="16891038" w14:textId="77777777" w:rsidR="0006113D" w:rsidRDefault="00546668">
      <w:pPr>
        <w:pStyle w:val="ListParagraph"/>
        <w:numPr>
          <w:ilvl w:val="1"/>
          <w:numId w:val="13"/>
        </w:numPr>
        <w:tabs>
          <w:tab w:val="left" w:pos="1424"/>
          <w:tab w:val="left" w:pos="1428"/>
        </w:tabs>
        <w:spacing w:before="270" w:line="292" w:lineRule="auto"/>
        <w:ind w:left="1428" w:right="858" w:hanging="776"/>
        <w:jc w:val="both"/>
        <w:rPr>
          <w:sz w:val="20"/>
        </w:rPr>
      </w:pPr>
      <w:r>
        <w:rPr>
          <w:sz w:val="20"/>
        </w:rPr>
        <w:t>Tilattavia palveluja tarjoavien mediapalvelun tarjoajien on noudatettava komission soveltamia ja yleisön ja tilattavia palveluja tarjoavien mediapalvelun tarjoajien kuulemisen perusteella kehitettyjä laatustandardeja, sikäli kuin se on käytännössä mahdolli</w:t>
      </w:r>
      <w:r>
        <w:rPr>
          <w:sz w:val="20"/>
        </w:rPr>
        <w:t>sta.</w:t>
      </w:r>
    </w:p>
    <w:p w14:paraId="233FF648" w14:textId="77777777" w:rsidR="0006113D" w:rsidRDefault="0006113D">
      <w:pPr>
        <w:pStyle w:val="BodyText"/>
      </w:pPr>
    </w:p>
    <w:p w14:paraId="4B4BD028" w14:textId="4F35A392" w:rsidR="0006113D" w:rsidRDefault="00546668">
      <w:pPr>
        <w:spacing w:before="50"/>
        <w:ind w:left="1440"/>
        <w:rPr>
          <w:rFonts w:ascii="Georgia"/>
          <w:b/>
          <w:sz w:val="28"/>
        </w:rPr>
      </w:pPr>
      <w:r>
        <w:rPr>
          <w:rFonts w:ascii="Georgia"/>
          <w:b/>
          <w:sz w:val="28"/>
        </w:rPr>
        <w:t>H</w:t>
      </w:r>
      <w:r>
        <w:rPr>
          <w:rFonts w:ascii="Georgia"/>
          <w:b/>
          <w:sz w:val="28"/>
        </w:rPr>
        <w:t>ä</w:t>
      </w:r>
      <w:r>
        <w:rPr>
          <w:rFonts w:ascii="Georgia"/>
          <w:b/>
          <w:sz w:val="28"/>
        </w:rPr>
        <w:t>t</w:t>
      </w:r>
      <w:r>
        <w:rPr>
          <w:rFonts w:ascii="Georgia"/>
          <w:b/>
          <w:sz w:val="28"/>
        </w:rPr>
        <w:t>ä</w:t>
      </w:r>
      <w:r>
        <w:rPr>
          <w:rFonts w:ascii="Georgia"/>
          <w:b/>
          <w:sz w:val="28"/>
        </w:rPr>
        <w:t>tilanteita koskevat tiedot</w:t>
      </w:r>
    </w:p>
    <w:p w14:paraId="367D5916" w14:textId="77777777" w:rsidR="0006113D" w:rsidRDefault="00546668">
      <w:pPr>
        <w:pStyle w:val="ListParagraph"/>
        <w:numPr>
          <w:ilvl w:val="1"/>
          <w:numId w:val="13"/>
        </w:numPr>
        <w:tabs>
          <w:tab w:val="left" w:pos="1495"/>
          <w:tab w:val="left" w:pos="1498"/>
        </w:tabs>
        <w:spacing w:before="270" w:line="292" w:lineRule="auto"/>
        <w:ind w:left="1498" w:right="864" w:hanging="778"/>
        <w:jc w:val="both"/>
        <w:rPr>
          <w:sz w:val="20"/>
        </w:rPr>
      </w:pPr>
      <w:r>
        <w:rPr>
          <w:sz w:val="20"/>
        </w:rPr>
        <w:lastRenderedPageBreak/>
        <w:t>Jos tilattava palvelu välittää hätätilanteita koskevia tietoja, mukaan lukien julkiset tiedonannot ja ilmoitukset luonnonkatastrofeista, kyseisen palvelun tarjoajan on varmistettava, että tiedot annetaan esteettömästi v</w:t>
      </w:r>
      <w:r>
        <w:rPr>
          <w:sz w:val="20"/>
        </w:rPr>
        <w:t>ammaisten henkilöiden saataville.</w:t>
      </w:r>
    </w:p>
    <w:p w14:paraId="1C0B8AD3" w14:textId="77777777" w:rsidR="003C0382" w:rsidRDefault="003C0382">
      <w:pPr>
        <w:spacing w:before="169"/>
        <w:ind w:left="1440"/>
        <w:rPr>
          <w:rFonts w:ascii="Georgia"/>
          <w:b/>
          <w:spacing w:val="-2"/>
          <w:sz w:val="28"/>
          <w:lang w:val="el-GR"/>
        </w:rPr>
      </w:pPr>
    </w:p>
    <w:p w14:paraId="01CF7092" w14:textId="417E0ED3" w:rsidR="0006113D" w:rsidRDefault="00546668">
      <w:pPr>
        <w:spacing w:before="169"/>
        <w:ind w:left="1440"/>
        <w:rPr>
          <w:rFonts w:ascii="Georgia"/>
          <w:b/>
          <w:sz w:val="28"/>
        </w:rPr>
      </w:pPr>
      <w:r>
        <w:rPr>
          <w:rFonts w:ascii="Georgia"/>
          <w:b/>
          <w:sz w:val="28"/>
        </w:rPr>
        <w:t>Raportointi</w:t>
      </w:r>
    </w:p>
    <w:p w14:paraId="0E1E40C6" w14:textId="77777777" w:rsidR="0006113D" w:rsidRDefault="00546668">
      <w:pPr>
        <w:pStyle w:val="ListParagraph"/>
        <w:numPr>
          <w:ilvl w:val="1"/>
          <w:numId w:val="13"/>
        </w:numPr>
        <w:tabs>
          <w:tab w:val="left" w:pos="1490"/>
          <w:tab w:val="left" w:pos="1493"/>
        </w:tabs>
        <w:spacing w:before="272" w:line="292" w:lineRule="auto"/>
        <w:ind w:left="1493" w:right="860" w:hanging="773"/>
        <w:jc w:val="both"/>
        <w:rPr>
          <w:sz w:val="20"/>
        </w:rPr>
      </w:pPr>
      <w:r>
        <w:rPr>
          <w:sz w:val="20"/>
        </w:rPr>
        <w:t>Jotta komissio voi täyttää audiovisuaalisia mediapalveluja koskevan direktiivin 7 artiklan 2 kohdassa säädetyn raportointivelvoitteensa, tilattavia palveluja tarjoavien mediapalvelun tarjoajien on annettava ko</w:t>
      </w:r>
      <w:r>
        <w:rPr>
          <w:sz w:val="20"/>
        </w:rPr>
        <w:t>missiolle kertomus komission kanssa sovittujen ensimmäisen ja sitä seuraavien vuotuisten esteettömyyttä koskevien toimintasuunnitelmien täytäntöönpanosta tavalla, joka täsmennetään myöhemmin.</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bookmarkStart w:id="24" w:name="_Toc183087728"/>
      <w:r>
        <w:br w:type="page"/>
      </w:r>
    </w:p>
    <w:p w14:paraId="6CE934FB" w14:textId="50371189" w:rsidR="0006113D" w:rsidRDefault="00546668">
      <w:pPr>
        <w:pStyle w:val="Heading1"/>
        <w:spacing w:before="23"/>
        <w:ind w:left="395" w:right="537" w:firstLine="0"/>
        <w:jc w:val="center"/>
      </w:pPr>
      <w:r>
        <w:rPr>
          <w:color w:val="391200"/>
        </w:rPr>
        <w:lastRenderedPageBreak/>
        <w:t>Ohjeet</w:t>
      </w:r>
      <w:bookmarkEnd w:id="24"/>
    </w:p>
    <w:p w14:paraId="49A28056" w14:textId="77777777" w:rsidR="0006113D" w:rsidRDefault="00546668">
      <w:pPr>
        <w:pStyle w:val="Heading1"/>
        <w:spacing w:before="181"/>
        <w:ind w:left="395" w:right="531" w:firstLine="0"/>
        <w:jc w:val="center"/>
      </w:pPr>
      <w:bookmarkStart w:id="25" w:name="_Toc183087729"/>
      <w:r>
        <w:t>Vaikuttavat tekijät</w:t>
      </w:r>
      <w:bookmarkEnd w:id="25"/>
    </w:p>
    <w:p w14:paraId="7A224685" w14:textId="77777777" w:rsidR="0006113D" w:rsidRDefault="00546668">
      <w:pPr>
        <w:pStyle w:val="BodyText"/>
        <w:spacing w:before="158" w:line="292" w:lineRule="auto"/>
        <w:ind w:left="720" w:right="856"/>
        <w:jc w:val="both"/>
      </w:pPr>
      <w:r>
        <w:t>Tiedotusvälinekomission mediapalvelusäännöstön ja mediapalvelusääntöjen – tilattavien audiovisuaalisten mediapalvelujen tarjoajat 16 kohdassa todetaan, että määrittäessään oikeasuhteisia toimenpiteitä, jotka on toteutettava sen varmistamiseksi, että tilatt</w:t>
      </w:r>
      <w:r>
        <w:t>avia palveluja tarjoavien mediapalvelun tarjoajien tilattavissa palveluissa saataville asetettavia ohjelmia saatetaan jatkuvasti ja asteittain esteettömämmiksi vammaisille henkilöille, tilattavia palveluja tarjoavien mediapalvelun tarjoajien on ensimmäistä</w:t>
      </w:r>
      <w:r>
        <w:t xml:space="preserve"> ja sitä seuraavia esteettömyyttä koskevia toimintasuunnitelmiansa laatiessaan osoitettava ottaneensa asianmukaisesti huomioon sääntöjen 16.6 kohdassa esitetyt vaikuttavat tekijät. Tässä asiakirjassa annetaan lisäohjeita tältä osin.</w:t>
      </w:r>
    </w:p>
    <w:p w14:paraId="0FF85002" w14:textId="77777777" w:rsidR="0006113D" w:rsidRDefault="00546668">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Tilattavien audiovisuaa</w:t>
      </w:r>
      <w:r>
        <w:rPr>
          <w:rFonts w:ascii="Georgia"/>
          <w:b/>
          <w:sz w:val="28"/>
        </w:rPr>
        <w:t>listen mediapalvelujen tarjoajan ja tarjottujen palvelujen luonne.</w:t>
      </w:r>
    </w:p>
    <w:p w14:paraId="44222196" w14:textId="77777777" w:rsidR="0006113D" w:rsidRDefault="00546668">
      <w:pPr>
        <w:pStyle w:val="BodyText"/>
        <w:spacing w:before="281" w:line="292" w:lineRule="auto"/>
        <w:ind w:left="1440" w:right="862"/>
        <w:jc w:val="both"/>
      </w:pPr>
      <w:r>
        <w:rPr>
          <w:b/>
        </w:rPr>
        <w:t>Ohjeet</w:t>
      </w:r>
      <w:r>
        <w:t>: Ovatko palvelut luonteeltaan julkisia vai yksityisiä? Saako palvelu julkisia varoja ja onko sillä näin ollen enemmän julkisen palvelun tehtäviä? Onko palvelulla erityisiä kulttuuris</w:t>
      </w:r>
      <w:r>
        <w:t>ia, sosiaalisia tai kielellisiä tavoitteita, jotka voivat vaikuttaa sen kykyyn tarjota esteettömiä palveluja?</w:t>
      </w:r>
    </w:p>
    <w:p w14:paraId="6C6F4E8E" w14:textId="77777777" w:rsidR="0006113D" w:rsidRDefault="0006113D">
      <w:pPr>
        <w:pStyle w:val="BodyText"/>
        <w:spacing w:before="8"/>
      </w:pPr>
    </w:p>
    <w:p w14:paraId="0525A057" w14:textId="77777777" w:rsidR="0006113D" w:rsidRDefault="00546668">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Tilattavien audiovisuaalisten mediapalvelujen tarjoajan kehitysvaihe ja sen kyky tarjota esteett</w:t>
      </w:r>
      <w:r>
        <w:rPr>
          <w:rFonts w:ascii="Georgia"/>
          <w:b/>
          <w:sz w:val="28"/>
        </w:rPr>
        <w:t>ö</w:t>
      </w:r>
      <w:r>
        <w:rPr>
          <w:rFonts w:ascii="Georgia"/>
          <w:b/>
          <w:sz w:val="28"/>
        </w:rPr>
        <w:t>mi</w:t>
      </w:r>
      <w:r>
        <w:rPr>
          <w:rFonts w:ascii="Georgia"/>
          <w:b/>
          <w:sz w:val="28"/>
        </w:rPr>
        <w:t>ä</w:t>
      </w:r>
      <w:r>
        <w:rPr>
          <w:rFonts w:ascii="Georgia"/>
          <w:b/>
          <w:sz w:val="28"/>
        </w:rPr>
        <w:t xml:space="preserve"> ohjelmia.</w:t>
      </w:r>
    </w:p>
    <w:p w14:paraId="0F84DBBC" w14:textId="77777777" w:rsidR="0006113D" w:rsidRDefault="00546668">
      <w:pPr>
        <w:pStyle w:val="BodyText"/>
        <w:spacing w:before="278" w:line="292" w:lineRule="auto"/>
        <w:ind w:left="1440" w:right="860"/>
        <w:jc w:val="both"/>
      </w:pPr>
      <w:r>
        <w:rPr>
          <w:b/>
        </w:rPr>
        <w:t xml:space="preserve">Ohjeet: </w:t>
      </w:r>
      <w:r>
        <w:t>Kuinka kauan palvelut ovat</w:t>
      </w:r>
      <w:r>
        <w:t xml:space="preserve"> olleet toiminnassa? Kuinka paljon mediapalvelun tarjoajalla on kokemusta esteettömyyspalvelujen tarjoamisesta? Onko mediapalvelun tarjoajalla jo tai onko sillä käytössään esteettömyyspalvelujen tarjoamiseen liittyvää asiantuntemusta? Mikä on niiden markki</w:t>
      </w:r>
      <w:r>
        <w:t>naosuus?</w:t>
      </w:r>
    </w:p>
    <w:p w14:paraId="76EE82A0" w14:textId="77777777" w:rsidR="0006113D" w:rsidRDefault="00546668">
      <w:pPr>
        <w:pStyle w:val="ListParagraph"/>
        <w:numPr>
          <w:ilvl w:val="0"/>
          <w:numId w:val="1"/>
        </w:numPr>
        <w:tabs>
          <w:tab w:val="left" w:pos="1428"/>
        </w:tabs>
        <w:spacing w:before="211"/>
        <w:rPr>
          <w:rFonts w:ascii="Georgia"/>
          <w:b/>
          <w:sz w:val="28"/>
        </w:rPr>
      </w:pPr>
      <w:r>
        <w:rPr>
          <w:rFonts w:ascii="Georgia"/>
          <w:b/>
          <w:sz w:val="28"/>
        </w:rPr>
        <w:t>Esteett</w:t>
      </w:r>
      <w:r>
        <w:rPr>
          <w:rFonts w:ascii="Georgia"/>
          <w:b/>
          <w:sz w:val="28"/>
        </w:rPr>
        <w:t>ö</w:t>
      </w:r>
      <w:r>
        <w:rPr>
          <w:rFonts w:ascii="Georgia"/>
          <w:b/>
          <w:sz w:val="28"/>
        </w:rPr>
        <w:t>myyspalvelujen nykyinen tarjonta.</w:t>
      </w:r>
    </w:p>
    <w:p w14:paraId="37163155" w14:textId="77777777" w:rsidR="0006113D" w:rsidRDefault="00546668">
      <w:pPr>
        <w:pStyle w:val="BodyText"/>
        <w:spacing w:before="269" w:line="292" w:lineRule="auto"/>
        <w:ind w:left="1440" w:right="864"/>
        <w:jc w:val="both"/>
      </w:pPr>
      <w:r>
        <w:rPr>
          <w:b/>
        </w:rPr>
        <w:t xml:space="preserve">Ohjeet: </w:t>
      </w:r>
      <w:r>
        <w:t>Mikä on niiden lähtökohta? Kuinka paljon tekstitystä, ohjelmatekstitystä, viittomakieltä tai kuvailutulkkausta on tällä hetkellä saatavilla niiden tarjoamissa tilattavissa palveluissa?</w:t>
      </w:r>
    </w:p>
    <w:p w14:paraId="696F516F" w14:textId="77777777" w:rsidR="0006113D" w:rsidRDefault="0006113D">
      <w:pPr>
        <w:pStyle w:val="BodyText"/>
        <w:spacing w:before="10"/>
      </w:pPr>
    </w:p>
    <w:p w14:paraId="6E93FB12" w14:textId="77777777" w:rsidR="0006113D" w:rsidRDefault="00546668">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Tilattavien audiovisuaalisten mediapalvelujen luettelossa tarjottavien ohjelmien tyyppi.</w:t>
      </w:r>
    </w:p>
    <w:p w14:paraId="3E13C305" w14:textId="77777777" w:rsidR="0006113D" w:rsidRDefault="00546668">
      <w:pPr>
        <w:pStyle w:val="BodyText"/>
        <w:spacing w:before="277" w:line="292" w:lineRule="auto"/>
        <w:ind w:left="1440" w:right="857"/>
        <w:jc w:val="both"/>
      </w:pPr>
      <w:r>
        <w:rPr>
          <w:b/>
        </w:rPr>
        <w:t xml:space="preserve">Ohjeet: </w:t>
      </w:r>
      <w:r>
        <w:t>Hankitaanko palveluihin paljon sisältöä kolmansilta osapuolilta? Kuinka paljon kotimaassa tuotettua ohjelmistoa palvelu tarjoaa? Tuotetaanko ohjelmistosuunnitt</w:t>
      </w:r>
      <w:r>
        <w:t>elu itsenäisesti? Nämä kysymykset ovat merkityksellisiä, koska luettelon ohjelmistotyyppi vaikuttaa kustannuksiin, teknisiin laitteisiin, henkilöstöön ja kykyyn tarjota esteettömyyspalveluja.</w:t>
      </w:r>
    </w:p>
    <w:p w14:paraId="172D7CCC" w14:textId="77777777" w:rsidR="0006113D" w:rsidRDefault="0006113D">
      <w:pPr>
        <w:pStyle w:val="BodyText"/>
        <w:spacing w:before="12"/>
      </w:pPr>
    </w:p>
    <w:p w14:paraId="471959C1" w14:textId="77777777" w:rsidR="0006113D" w:rsidRDefault="00546668">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Esteett</w:t>
      </w:r>
      <w:r>
        <w:rPr>
          <w:rFonts w:ascii="Georgia"/>
          <w:b/>
          <w:sz w:val="28"/>
        </w:rPr>
        <w:t>ö</w:t>
      </w:r>
      <w:r>
        <w:rPr>
          <w:rFonts w:ascii="Georgia"/>
          <w:b/>
          <w:sz w:val="28"/>
        </w:rPr>
        <w:t>myyspalveluista audiovisuaalisten mediapalvelujen tarjo</w:t>
      </w:r>
      <w:r>
        <w:rPr>
          <w:rFonts w:ascii="Georgia"/>
          <w:b/>
          <w:sz w:val="28"/>
        </w:rPr>
        <w:t>ajille aiheutuvat teknisten resurssien ja henkil</w:t>
      </w:r>
      <w:r>
        <w:rPr>
          <w:rFonts w:ascii="Georgia"/>
          <w:b/>
          <w:sz w:val="28"/>
        </w:rPr>
        <w:t>ö</w:t>
      </w:r>
      <w:r>
        <w:rPr>
          <w:rFonts w:ascii="Georgia"/>
          <w:b/>
          <w:sz w:val="28"/>
        </w:rPr>
        <w:t>st</w:t>
      </w:r>
      <w:r>
        <w:rPr>
          <w:rFonts w:ascii="Georgia"/>
          <w:b/>
          <w:sz w:val="28"/>
        </w:rPr>
        <w:t>ö</w:t>
      </w:r>
      <w:r>
        <w:rPr>
          <w:rFonts w:ascii="Georgia"/>
          <w:b/>
          <w:sz w:val="28"/>
        </w:rPr>
        <w:t>resurssien kustannukset.</w:t>
      </w:r>
    </w:p>
    <w:p w14:paraId="32950B12" w14:textId="77777777" w:rsidR="0006113D" w:rsidRDefault="00546668">
      <w:pPr>
        <w:pStyle w:val="BodyText"/>
        <w:spacing w:before="277" w:line="292" w:lineRule="auto"/>
        <w:ind w:left="1440" w:right="867"/>
        <w:jc w:val="both"/>
      </w:pPr>
      <w:r>
        <w:rPr>
          <w:b/>
        </w:rPr>
        <w:lastRenderedPageBreak/>
        <w:t xml:space="preserve">Ohjeet: </w:t>
      </w:r>
      <w:r>
        <w:t>Mitkä ovat mediapalvelun tarjoajan taloudelliset valmiudet ja esteettömyyspalvelujen tarjoamisen todennäköiset taloudelliset vaikutukset?</w:t>
      </w:r>
    </w:p>
    <w:p w14:paraId="2F8929A2" w14:textId="77777777" w:rsidR="0006113D" w:rsidRDefault="00546668">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Tilattavien audiovisuaalisten mediapalvelujen tarjoajan tekniset valmiudet.</w:t>
      </w:r>
    </w:p>
    <w:p w14:paraId="3C0EF761" w14:textId="77777777" w:rsidR="0006113D" w:rsidRDefault="00546668">
      <w:pPr>
        <w:pStyle w:val="BodyText"/>
        <w:spacing w:before="277" w:line="292" w:lineRule="auto"/>
        <w:ind w:left="1440" w:right="865"/>
        <w:jc w:val="both"/>
      </w:pPr>
      <w:r>
        <w:rPr>
          <w:b/>
        </w:rPr>
        <w:t xml:space="preserve">Ohjeet: </w:t>
      </w:r>
      <w:r>
        <w:t>Mitä tiloja ja asiantuntemusta pal</w:t>
      </w:r>
      <w:r>
        <w:t>velulla on tällä hetkellä olemassa esteettömyyspalvelujen tarjoamiseksi? Onko palvelulla tekniset valmiudet tarjota esteettömyyspalveluja? Minkä tasoisia ja minkä tyyppisiä teknisiä välineitä ja asiantuntemusta tarvittaisiin?</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7115" w14:textId="77777777" w:rsidR="00546668" w:rsidRDefault="00546668">
      <w:r>
        <w:separator/>
      </w:r>
    </w:p>
  </w:endnote>
  <w:endnote w:type="continuationSeparator" w:id="0">
    <w:p w14:paraId="232F412D" w14:textId="77777777" w:rsidR="00546668" w:rsidRDefault="0054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546668">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66E52C9"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5364A03D"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546668">
                          <w:pPr>
                            <w:pStyle w:val="BodyText"/>
                            <w:spacing w:before="12"/>
                            <w:ind w:left="20" w:right="18"/>
                          </w:pPr>
                          <w:r>
                            <w:rPr>
                              <w:color w:val="391200"/>
                            </w:rPr>
                            <w:t>Tilattavia audiovisuaalisia mediapalveluja koskeva säännöstö</w:t>
                          </w:r>
                          <w:r>
                            <w:rPr>
                              <w:color w:val="391200"/>
                            </w:rPr>
                            <w:br/>
                            <w:t>ja mediapalvelusäännöt</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546668">
                    <w:pPr>
                      <w:pStyle w:val="BodyText"/>
                      <w:spacing w:before="12"/>
                      <w:ind w:left="20" w:right="18"/>
                    </w:pPr>
                    <w:r>
                      <w:rPr>
                        <w:color w:val="391200"/>
                      </w:rPr>
                      <w:t>Tilattavia audiovisuaalisia mediapalveluja koskeva säännöstö</w:t>
                    </w:r>
                    <w:r>
                      <w:rPr>
                        <w:color w:val="391200"/>
                      </w:rPr>
                      <w:br/>
                      <w:t>ja mediapalvelusäännöt</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546668">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546668">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4BC0" w14:textId="77777777" w:rsidR="00546668" w:rsidRDefault="00546668">
      <w:r>
        <w:separator/>
      </w:r>
    </w:p>
  </w:footnote>
  <w:footnote w:type="continuationSeparator" w:id="0">
    <w:p w14:paraId="3C9BACD1" w14:textId="77777777" w:rsidR="00546668" w:rsidRDefault="00546668">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proofErr w:type="spellStart"/>
      <w:r>
        <w:rPr>
          <w:sz w:val="18"/>
        </w:rPr>
        <w:t>Coimisiún</w:t>
      </w:r>
      <w:proofErr w:type="spellEnd"/>
      <w:r>
        <w:rPr>
          <w:sz w:val="18"/>
        </w:rPr>
        <w:t xml:space="preserve"> </w:t>
      </w:r>
      <w:proofErr w:type="spellStart"/>
      <w:r>
        <w:rPr>
          <w:sz w:val="18"/>
        </w:rPr>
        <w:t>na</w:t>
      </w:r>
      <w:proofErr w:type="spellEnd"/>
      <w:r>
        <w:rPr>
          <w:sz w:val="18"/>
        </w:rPr>
        <w:t xml:space="preserve"> </w:t>
      </w:r>
      <w:proofErr w:type="spellStart"/>
      <w:r>
        <w:rPr>
          <w:sz w:val="18"/>
        </w:rPr>
        <w:t>Meán</w:t>
      </w:r>
      <w:proofErr w:type="spellEnd"/>
      <w:r>
        <w:rPr>
          <w:sz w:val="18"/>
        </w:rPr>
        <w:t xml:space="preserve"> tunnustaa tilattavien audiovisuaalisten palvelujen ryhmän (’ODAS’) ja sen käytännesääntöjen roolin sääntelykehyksen luomisessa tilattavien palvelujen mediapalvelujen tarjoajille ennen käytännesääntöjen ja sääntöjen käyttöönottoa. Kun säännöstö ja säännöt on julkaistu, ODAS-käytännesääntöjen oikeusperusta kumotaan säädösvälineellä. </w:t>
      </w:r>
      <w:proofErr w:type="spellStart"/>
      <w:r>
        <w:rPr>
          <w:sz w:val="18"/>
        </w:rPr>
        <w:t>Coimisiún</w:t>
      </w:r>
      <w:proofErr w:type="spellEnd"/>
      <w:r>
        <w:rPr>
          <w:sz w:val="18"/>
        </w:rPr>
        <w:t xml:space="preserve"> </w:t>
      </w:r>
      <w:proofErr w:type="spellStart"/>
      <w:r>
        <w:rPr>
          <w:sz w:val="18"/>
        </w:rPr>
        <w:t>na</w:t>
      </w:r>
      <w:proofErr w:type="spellEnd"/>
      <w:r>
        <w:rPr>
          <w:sz w:val="18"/>
        </w:rPr>
        <w:t xml:space="preserve"> </w:t>
      </w:r>
      <w:proofErr w:type="spellStart"/>
      <w:r>
        <w:rPr>
          <w:sz w:val="18"/>
        </w:rPr>
        <w:t>Meán</w:t>
      </w:r>
      <w:proofErr w:type="spellEnd"/>
      <w:r>
        <w:rPr>
          <w:sz w:val="18"/>
        </w:rPr>
        <w:t xml:space="preserve"> jatkaa jatkuvaa yhteistyötään ODAS-ryhmän jäsenten kanssa osana sääntelyyn liittyvää yhteistyötään laajemman tilauspalvelusektorin kanssa.</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Kaupallisen viestinnän tapauksessa ei-lakisääteistä valitusprosessia hoitaa mainonnanvalvontavirasto (ASA). ASA arvioi valitukset Irlannin mainontaa ja markkinointiviestintää koskevista standardeista annetun säännöstön (</w:t>
      </w:r>
      <w:proofErr w:type="spellStart"/>
      <w:r>
        <w:rPr>
          <w:sz w:val="18"/>
        </w:rPr>
        <w:t>Code</w:t>
      </w:r>
      <w:proofErr w:type="spellEnd"/>
      <w:r>
        <w:rPr>
          <w:sz w:val="18"/>
        </w:rPr>
        <w:t xml:space="preserve"> of </w:t>
      </w:r>
      <w:proofErr w:type="spellStart"/>
      <w:r>
        <w:rPr>
          <w:sz w:val="18"/>
        </w:rPr>
        <w:t>Standards</w:t>
      </w:r>
      <w:proofErr w:type="spellEnd"/>
      <w:r>
        <w:rPr>
          <w:sz w:val="18"/>
        </w:rPr>
        <w:t xml:space="preserve"> for </w:t>
      </w:r>
      <w:proofErr w:type="spellStart"/>
      <w:r>
        <w:rPr>
          <w:sz w:val="18"/>
        </w:rPr>
        <w:t>Advertising</w:t>
      </w:r>
      <w:proofErr w:type="spellEnd"/>
      <w:r>
        <w:rPr>
          <w:sz w:val="18"/>
        </w:rPr>
        <w:t xml:space="preserve"> and Marketing </w:t>
      </w:r>
      <w:proofErr w:type="spellStart"/>
      <w:r>
        <w:rPr>
          <w:sz w:val="18"/>
        </w:rPr>
        <w:t>Communications</w:t>
      </w:r>
      <w:proofErr w:type="spellEnd"/>
      <w:r>
        <w:rPr>
          <w:sz w:val="18"/>
        </w:rPr>
        <w:t xml:space="preserve"> in </w:t>
      </w:r>
      <w:proofErr w:type="spellStart"/>
      <w:r>
        <w:rPr>
          <w:sz w:val="18"/>
        </w:rPr>
        <w:t>Ireland</w:t>
      </w:r>
      <w:proofErr w:type="spellEnd"/>
      <w:r>
        <w:rPr>
          <w:sz w:val="18"/>
        </w:rPr>
        <w:t xml:space="preserve">) nojalla – </w:t>
      </w:r>
      <w:proofErr w:type="spellStart"/>
      <w:r>
        <w:rPr>
          <w:sz w:val="18"/>
        </w:rPr>
        <w:t>ks.</w:t>
      </w:r>
      <w:hyperlink r:id="rId1">
        <w:r>
          <w:rPr>
            <w:color w:val="0462C1"/>
            <w:sz w:val="18"/>
            <w:u w:val="single" w:color="0462C1"/>
          </w:rPr>
          <w:t>https</w:t>
        </w:r>
        <w:proofErr w:type="spellEnd"/>
        <w:r>
          <w:rPr>
            <w:color w:val="0462C1"/>
            <w:sz w:val="18"/>
            <w:u w:val="single" w:color="0462C1"/>
          </w:rPr>
          <w:t>://adstandards.ie</w:t>
        </w:r>
      </w:hyperlink>
      <w:r>
        <w:rPr>
          <w:sz w:val="18"/>
        </w:rPr>
        <w:t xml:space="preserve"> </w:t>
      </w:r>
      <w:r>
        <w:rPr>
          <w:color w:val="0462C1"/>
        </w:rPr>
        <w:t>lisätietoja.</w:t>
      </w:r>
      <w:r>
        <w:rPr>
          <w:sz w:val="18"/>
        </w:rPr>
        <w:t xml:space="preserve"> Euroopan mainosstandardiliiton muut jäsenet hoitavat vastaavia valitusprosesseja muissa Euroopan jäsenvaltioissa (ks.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rPr>
          <w:sz w:val="18"/>
        </w:rPr>
        <w:t>Tämä koskee muun muassa kiertolaisyhteisön [”</w:t>
      </w:r>
      <w:proofErr w:type="spellStart"/>
      <w:r>
        <w:rPr>
          <w:sz w:val="18"/>
        </w:rPr>
        <w:t>Traveller</w:t>
      </w:r>
      <w:proofErr w:type="spellEnd"/>
      <w:r>
        <w:rPr>
          <w:sz w:val="18"/>
        </w:rPr>
        <w:t xml:space="preserve"> </w:t>
      </w:r>
      <w:proofErr w:type="spellStart"/>
      <w:r>
        <w:rPr>
          <w:sz w:val="18"/>
        </w:rPr>
        <w:t>Community</w:t>
      </w:r>
      <w:proofErr w:type="spellEnd"/>
      <w:r>
        <w:rPr>
          <w:sz w:val="18"/>
        </w:rPr>
        <w:t>”] ja romaniyhteisöjen jäseniä.</w:t>
      </w:r>
    </w:p>
  </w:footnote>
  <w:footnote w:id="4">
    <w:p w14:paraId="54C42AB4" w14:textId="3F7A735A" w:rsidR="003C0382" w:rsidRPr="003C0382" w:rsidRDefault="003C0382">
      <w:pPr>
        <w:pStyle w:val="FootnoteText"/>
      </w:pPr>
      <w:r>
        <w:rPr>
          <w:rStyle w:val="FootnoteReference"/>
        </w:rPr>
        <w:footnoteRef/>
      </w:r>
      <w:r>
        <w:rPr>
          <w:sz w:val="18"/>
        </w:rPr>
        <w:t>Iänvarmistustoimenpide, joka perustuu yksinomaan palvelun käyttäjien omaan ikäilmoitukseen, ei ole tässä säännöstössä ja näissä säännöissä tarkoitettu tehokas iänvarmistustoimenpide.</w:t>
      </w:r>
    </w:p>
  </w:footnote>
  <w:footnote w:id="5">
    <w:p w14:paraId="3150B168" w14:textId="7042D6C1" w:rsidR="003C0382" w:rsidRPr="003C0382" w:rsidRDefault="003C0382">
      <w:pPr>
        <w:pStyle w:val="FootnoteText"/>
      </w:pPr>
      <w:r>
        <w:rPr>
          <w:rStyle w:val="FootnoteReference"/>
        </w:rPr>
        <w:footnoteRef/>
      </w:r>
      <w:r>
        <w:rPr>
          <w:sz w:val="18"/>
        </w:rPr>
        <w:t xml:space="preserve"> Komissio on laatinut näitä vaikuttavia tekijöitä koskevat sitomattomat ohjeet, jotka ovat saatavilla osoitteessa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185A45"/>
    <w:rsid w:val="00352871"/>
    <w:rsid w:val="003C0382"/>
    <w:rsid w:val="003C4019"/>
    <w:rsid w:val="003E521E"/>
    <w:rsid w:val="00546668"/>
    <w:rsid w:val="009B383B"/>
    <w:rsid w:val="00B24927"/>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4418</Words>
  <Characters>36762</Characters>
  <Application>Microsoft Office Word</Application>
  <DocSecurity>0</DocSecurity>
  <Lines>782</Lines>
  <Paragraphs>263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2024-12-10T10:06:00Z</dcterms:created>
  <dcterms:modified xsi:type="dcterms:W3CDTF">2024-12-10T10:06:00Z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