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Ontwerp</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WET</w:t>
      </w:r>
    </w:p>
    <w:p w14:paraId="0740D84F" w14:textId="5A84A9FA" w:rsidR="00DE3FCE" w:rsidRPr="00C04037" w:rsidRDefault="00DE3FCE" w:rsidP="00DE3FCE">
      <w:pPr>
        <w:jc w:val="center"/>
        <w:rPr>
          <w:b/>
          <w:caps/>
        </w:rPr>
      </w:pPr>
      <w:r>
        <w:rPr>
          <w:b/>
          <w:caps/>
        </w:rPr>
        <w:t>TOT WIJZIGING VAN DE ARTIKELEN 2 EN 20</w:t>
      </w:r>
      <w:r>
        <w:rPr>
          <w:b/>
          <w:caps/>
          <w:vertAlign w:val="superscript"/>
        </w:rPr>
        <w:t>7</w:t>
      </w:r>
      <w:r>
        <w:rPr>
          <w:b/>
          <w:caps/>
        </w:rPr>
        <w:t xml:space="preserve"> VAN DE KANSSPELENWET VAN DE REPUBLIEK LITOUWEN</w:t>
      </w:r>
    </w:p>
    <w:p w14:paraId="5A20FC9E" w14:textId="43E302BE" w:rsidR="00F57874" w:rsidRPr="00C04037" w:rsidRDefault="00DE3FCE" w:rsidP="00DE3FCE">
      <w:pPr>
        <w:jc w:val="center"/>
        <w:rPr>
          <w:b/>
          <w:caps/>
        </w:rPr>
      </w:pPr>
      <w:r>
        <w:rPr>
          <w:b/>
          <w:caps/>
        </w:rPr>
        <w:t xml:space="preserve">NO IX-325 </w:t>
      </w:r>
    </w:p>
    <w:p w14:paraId="6FB2CCE1" w14:textId="77777777" w:rsidR="007A525D" w:rsidRDefault="007A525D">
      <w:pPr>
        <w:jc w:val="center"/>
        <w:rPr>
          <w:szCs w:val="24"/>
        </w:rPr>
      </w:pPr>
    </w:p>
    <w:p w14:paraId="08D1F4BF" w14:textId="1F957049" w:rsidR="00F57874" w:rsidRPr="00F12EAF" w:rsidRDefault="007A22ED">
      <w:pPr>
        <w:jc w:val="center"/>
        <w:rPr>
          <w:szCs w:val="24"/>
        </w:rPr>
      </w:pPr>
      <w:r>
        <w:t>Nr.      van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Artikel 1. Wijziging van artikel 2</w:t>
      </w:r>
    </w:p>
    <w:p w14:paraId="56191B23" w14:textId="193C5573" w:rsidR="008074DB" w:rsidRDefault="008074DB" w:rsidP="00831EBE">
      <w:pPr>
        <w:ind w:firstLine="720"/>
        <w:jc w:val="both"/>
        <w:rPr>
          <w:szCs w:val="24"/>
        </w:rPr>
      </w:pPr>
      <w:r>
        <w:t>Artikel 2, lid 31, wordt als volgt gewijzigd en geformuleerd:</w:t>
      </w:r>
    </w:p>
    <w:p w14:paraId="2BD267D2" w14:textId="7978C855" w:rsidR="003D1173" w:rsidRDefault="003D1173" w:rsidP="00831EBE">
      <w:pPr>
        <w:ind w:firstLine="720"/>
        <w:jc w:val="both"/>
        <w:rPr>
          <w:color w:val="000000"/>
        </w:rPr>
      </w:pPr>
      <w:r>
        <w:t>“31.</w:t>
      </w:r>
      <w:r>
        <w:rPr>
          <w:color w:val="000000"/>
        </w:rPr>
        <w:t xml:space="preserve"> De in deze wet gebruikte term „verwerkingsverantwoordelijke” wordt opgevat als de term „begunstigde” in de zin van de wet van de Republiek Litouwen ter voorkoming van het witwassen van geld en de financiering van terrorisme. Andere in deze wet gebruikte termen worden opgevat zoals gedefinieerd in de wet ter voorkoming van het witwassen van geld en de financiering van terrorisme, de wet van de Republiek Litouwen betreffende de financiële boekhouding en de wet van de Republiek Litouwen betreffende betalingen.”</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Artikel 2. Wijziging van artikel 20</w:t>
      </w:r>
      <w:r>
        <w:rPr>
          <w:b/>
          <w:vertAlign w:val="superscript"/>
        </w:rPr>
        <w:t>7</w:t>
      </w:r>
    </w:p>
    <w:p w14:paraId="03C9EC55" w14:textId="7E9093D8" w:rsidR="00241196" w:rsidRPr="00AE66B1" w:rsidRDefault="00241196" w:rsidP="00AE66B1">
      <w:pPr>
        <w:ind w:firstLine="720"/>
        <w:jc w:val="both"/>
        <w:rPr>
          <w:color w:val="000000"/>
          <w:szCs w:val="24"/>
        </w:rPr>
      </w:pPr>
      <w:r>
        <w:t>Artikel 20</w:t>
      </w:r>
      <w:r>
        <w:rPr>
          <w:vertAlign w:val="superscript"/>
        </w:rPr>
        <w:t>7</w:t>
      </w:r>
      <w:r>
        <w:t xml:space="preserve"> wordt als volgt gewijzigd en geformuleerd:</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Artikel 20</w:t>
      </w:r>
      <w:r>
        <w:rPr>
          <w:b/>
          <w:color w:val="000000"/>
          <w:vertAlign w:val="superscript"/>
        </w:rPr>
        <w:t>7</w:t>
      </w:r>
      <w:r>
        <w:rPr>
          <w:b/>
          <w:color w:val="000000"/>
        </w:rPr>
        <w:t xml:space="preserve">. </w:t>
      </w:r>
      <w:r>
        <w:rPr>
          <w:b/>
        </w:rPr>
        <w:t>Maatregelen ter bestrijding van exploitanten van illegale kansspelen op afstand en regelingen betreffende betalingen voor deelname aan kansspelen op afstand</w:t>
      </w:r>
    </w:p>
    <w:p w14:paraId="422F135F" w14:textId="6B476C79" w:rsidR="003712E3" w:rsidRPr="00D92212" w:rsidRDefault="003712E3" w:rsidP="003712E3">
      <w:pPr>
        <w:ind w:firstLine="720"/>
        <w:jc w:val="both"/>
        <w:rPr>
          <w:bCs/>
          <w:color w:val="000000"/>
          <w:szCs w:val="24"/>
        </w:rPr>
      </w:pPr>
      <w:r>
        <w:rPr>
          <w:color w:val="000000"/>
        </w:rPr>
        <w:t>1. Na een onderzoek te hebben uitgevoerd en te hebben vastgesteld dat een aanbieder van illegale kansspelen op afstand kansspelen op afstand organiseert in de Republiek Litouwen, vaardigt de Litouwse Autoriteit voor kansspelcontrole een of beide van de volgende verplichtingen uit:</w:t>
      </w:r>
    </w:p>
    <w:p w14:paraId="604E9F0D" w14:textId="1A72885B" w:rsidR="003712E3" w:rsidRPr="00D92212" w:rsidRDefault="00F537F9" w:rsidP="003712E3">
      <w:pPr>
        <w:ind w:firstLine="720"/>
        <w:jc w:val="both"/>
        <w:rPr>
          <w:bCs/>
          <w:color w:val="000000"/>
          <w:szCs w:val="24"/>
        </w:rPr>
      </w:pPr>
      <w:r>
        <w:rPr>
          <w:color w:val="000000"/>
        </w:rPr>
        <w:t>1)</w:t>
      </w:r>
      <w:r>
        <w:rPr>
          <w:color w:val="000000"/>
        </w:rPr>
        <w:tab/>
        <w:t>de aanbieder van betaaldiensten staakt betalingen of andere financiële transacties met betrekking tot een entiteit die illegale kansspelactiviteiten op afstand verricht in de Republiek Litouwen, met inbegrip van betalingen voor deelname aan door exploitanten van illegale kansspelen georganiseerde kansspelen op afstand, uitbetalingen van winsten en aanvaarding van inzetten ten behoeve van het organiseren van illegale kansspelen;</w:t>
      </w:r>
    </w:p>
    <w:p w14:paraId="7077647A" w14:textId="1429E83D" w:rsidR="003712E3" w:rsidRPr="00D92212" w:rsidRDefault="00F537F9" w:rsidP="00433BA1">
      <w:pPr>
        <w:ind w:firstLine="720"/>
        <w:jc w:val="both"/>
        <w:rPr>
          <w:bCs/>
          <w:color w:val="000000"/>
          <w:szCs w:val="24"/>
        </w:rPr>
      </w:pPr>
      <w:r>
        <w:rPr>
          <w:color w:val="000000"/>
        </w:rPr>
        <w:t>2)</w:t>
      </w:r>
      <w:r>
        <w:rPr>
          <w:color w:val="000000"/>
        </w:rPr>
        <w:tab/>
        <w:t>volgens de procedure van artikel 98 van de Litouwse wet op de elektronische communicatie wordt informatie verwijderd die wordt gebruikt voor de exploitatie van illegale kansspelen op afstand, of wordt de toegang tot deze informatie verwijderd.</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 xml:space="preserve">2. De controlerende autoriteit dient, met het oog op het uitvaardigen van een verplichting als bedoeld in lid 1, onder 1), van dit artikel, binnen drie werkdagen na de ontdekking van de illegale kansspelactiviteit op afstand, bij de bestuursrechter in eerste aanleg een verzoek in om toestemming tot ingrijpen. Een verzoek om toestemming tot ingrijpen moet de naam bevatten van de persoon die de inbreuk zou hebben gepleegd, de aard van de vermeende inbreuken en het voorgenomen ingrijpen. De bestuursrechter in eerste aanleg onderzoekt het verzoek om toestemming voor ingrijpen en vaardigt een met redenen omklede beschikking uit waarbij het verzoek om toestemming wordt ingewilligd of afgewezen. De aanvraag voor toestemming tot ingrijpen moet worden onderzocht en uiterlijk drie dagen na de indiening van de aanvraag voor toestemming tot ingrijpen wordt een besluit uitgevaardigd. Indien de controlerende autoriteit het niet eens is met het besluit van de administratieve rechtbank van eerste aanleg tot afwijzing van een verzoek om toestemming, heeft zij het recht om binnen zeven dagen na een dergelijk besluit beroep in te stellen bij de hoogste administratieve rechtbank van Litouwen. De hoogste bestuursrechter van Litouwen moet het beroep tegen de beslissing van de bestuursrechter in eerste aanleg tot afwijzing van het verzoek om toestemming binnen zeven dagen na ontvangst van het beroep van de controlerende autoriteit onderzoeken. De vertegenwoordiger van de controlerende autoriteit heeft het recht aanwezig te zijn bij de mondelinge behandeling van het beroep. Een uitspraak van het hoogste bestuursrechter van Litouwen is definitief </w:t>
      </w:r>
      <w:r>
        <w:rPr>
          <w:color w:val="000000"/>
        </w:rPr>
        <w:lastRenderedPageBreak/>
        <w:t>en is niet vatbaar voor beroep. De rechterlijke instanties moeten bij het onderzoek van de verzoeken en beroepen in verband met de verlening van de betrokken toestemming voor het instellen van beroep, de vertrouwelijkheid van de ontvangen informatie en het voorgenomen ingrijpen controleren.</w:t>
      </w:r>
    </w:p>
    <w:p w14:paraId="2527BBD0" w14:textId="309CBEA9" w:rsidR="003712E3" w:rsidRDefault="003712E3" w:rsidP="003712E3">
      <w:pPr>
        <w:ind w:firstLine="720"/>
        <w:jc w:val="both"/>
        <w:rPr>
          <w:color w:val="000000"/>
          <w:szCs w:val="24"/>
        </w:rPr>
      </w:pPr>
      <w:r>
        <w:t>3</w:t>
      </w:r>
      <w:r>
        <w:rPr>
          <w:color w:val="000000"/>
        </w:rPr>
        <w:t>. De controlerende autoriteit maakt de informatie over de geïdentificeerde exploitanten van illegale kansspelen die illegaal kansspelen op afstand organiseren in de Republiek Litouwen openbaar (deze exploitanten zijn niet opgenomen in de lijst van entiteiten die in de Republiek Litouwen kansspelactiviteiten op afstand mogen verrichten (hierna „de lijst” genoemd)) en deelt mee dat de gespecificeerde activiteiten voor het aanbieden van kansspeldiensten op afstand illegaal worden uitgevoerd.</w:t>
      </w:r>
    </w:p>
    <w:p w14:paraId="5275184C" w14:textId="0A761486" w:rsidR="00E76A47" w:rsidRPr="00D92212" w:rsidRDefault="00E76A47" w:rsidP="00B371EB">
      <w:pPr>
        <w:ind w:firstLine="720"/>
        <w:jc w:val="both"/>
        <w:rPr>
          <w:bCs/>
          <w:iCs/>
        </w:rPr>
      </w:pPr>
      <w:r>
        <w:rPr>
          <w:color w:val="000000"/>
        </w:rPr>
        <w:t>4. Een aanbieder van betaaldiensten mag alleen betaaltransacties en/of betaaltransacties op afstand ten gunste van de entiteiten op de lijst uitvoeren in verband met of geïnitieerd door een betaalkaart.</w:t>
      </w:r>
      <w:r>
        <w:t xml:space="preserve"> </w:t>
      </w:r>
    </w:p>
    <w:p w14:paraId="5B63201C" w14:textId="55EB2EE4" w:rsidR="00CF58B3" w:rsidRPr="00D92212" w:rsidRDefault="00E76A47" w:rsidP="00CF58B3">
      <w:pPr>
        <w:ind w:firstLine="720"/>
        <w:jc w:val="both"/>
        <w:rPr>
          <w:bCs/>
          <w:iCs/>
        </w:rPr>
      </w:pPr>
      <w:r>
        <w:rPr>
          <w:color w:val="000000"/>
        </w:rPr>
        <w:t>5.</w:t>
      </w:r>
      <w:r>
        <w:t xml:space="preserve"> Een entiteit wordt aan de lijst toegevoegd op de datum waarop een kansspelvergunning aan de entiteit wordt verleend en wordt van de lijst geschrapt op de datum waarop de kansspelvergunning wordt ingetrokken. De lijst met de naam van de rechtspersoon, de code van de rechtspersoon, het rekeningnummer en het unieke identificatienummer van de handelaar dat door de betaalkaartorganisatie is toegekend, wordt door de controleautoriteit op haar website gepubliceerd. </w:t>
      </w:r>
    </w:p>
    <w:p w14:paraId="067B233A" w14:textId="3391AC68" w:rsidR="003712E3" w:rsidRPr="00D92212" w:rsidRDefault="00241196" w:rsidP="000F7446">
      <w:pPr>
        <w:ind w:firstLine="720"/>
        <w:jc w:val="both"/>
        <w:rPr>
          <w:color w:val="000000"/>
          <w:szCs w:val="24"/>
        </w:rPr>
      </w:pPr>
      <w:r>
        <w:t>6</w:t>
      </w:r>
      <w:r>
        <w:rPr>
          <w:color w:val="000000"/>
        </w:rPr>
        <w:t>. De procedure voor het beperken van betalingen voor deelname aan kansspelen op afstand die worden georganiseerd door exploitanten van illegale kansspelen en de betaling van winsten via aanbieders van betaaldiensten die in de Republiek Litouwen actief zijn, wordt door de controleautoriteit vastgesteld in overleg met de Bank van Litouwen.”</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Artikel 3. Inwerkingtreding en implementatie van de wet</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Deze wet, met uitzondering van lid 2 van dit artikel, treedt in werking op 1 mei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De Autoriteit voor kansspelcontrole die valt onder het ministerie van Financiën van de Republiek Litouwen stelt de uitvoeringswetgeving in het kader van deze wet vast per 31 januari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Bij deze kondig ik deze wet af, die is aangenomen door de Seimas (Litouws Parlement) van de Republiek Litouwen.</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President van de Republiek</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2ED"/>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0F11"/>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nl-NL"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4.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5039</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