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868E" w14:textId="1491DFB4">
      <w:pPr>
        <w:pStyle w:val="P68B1DB1-P68B1DB1-Title11"/>
        <w:spacing w:before="0"/>
        <w:ind w:left="0"/>
        <w:jc w:val="right"/>
        <w:rPr>
          <w:i/>
          <w:iCs/>
          <w:color w:val="FF0000"/>
          <w:sz w:val="24"/>
          <w:szCs w:val="24"/>
          <w:u w:val="none"/>
        </w:rPr>
      </w:pPr>
      <w:r>
        <w:t xml:space="preserve">Jest to tłumaczenie maszynowe</w:t>
      </w:r>
    </w:p>
    <w:p w14:paraId="48A46481" w14:textId="77777777">
      <w:pPr>
        <w:pStyle w:val="P68B1DB1-Title1"/>
        <w:spacing w:before="0"/>
        <w:ind w:left="0"/>
      </w:pPr>
    </w:p>
    <w:p w14:paraId="5DDBFD33" w14:textId="3AD4A40E">
      <w:pPr>
        <w:pStyle w:val="P68B1DB1-Title1"/>
        <w:spacing w:before="0"/>
        <w:ind w:left="0"/>
      </w:pPr>
      <w:r>
        <w:t xml:space="preserve">Orzecznictwo dotyczące dyrektywy (UE) 2015/1535</w:t>
      </w:r>
    </w:p>
    <w:p w14:paraId="5AFCD03C" w14:textId="77777777">
      <w:pPr>
        <w:pStyle w:val="BodyText"/>
      </w:pPr>
    </w:p>
    <w:p w14:paraId="55805DA1" w14:textId="3A3D4AA9">
      <w:pPr>
        <w:pStyle w:val="BodyText"/>
      </w:pPr>
      <w:r>
        <w:t xml:space="preserve">Niniejszy dokument określa główne wyroki i postanowienia Trybunału Sprawiedliwości Unii Europejskiej dotyczące zakresu i stosowania dyrektywy (UE) 2015/1535 ustanawiającej procedurę udzielania informacji w dziedzinie przepisów technicznych i zasad dotyczących usług społeczeństwa informacyjnego. Ma on służyć jako przewodnik dla administracji, przemysłu i obywateli państw członkowskich.</w:t>
      </w:r>
    </w:p>
    <w:p w14:paraId="4F3E66AE" w14:textId="77777777">
      <w:pPr>
        <w:pStyle w:val="BodyText"/>
        <w:rPr>
          <w:sz w:val="22"/>
          <w:szCs w:val="18"/>
        </w:rPr>
      </w:pPr>
    </w:p>
    <w:p w14:paraId="53D6EBA0" w14:textId="77777777">
      <w:pPr>
        <w:pStyle w:val="BodyText"/>
      </w:pPr>
      <w:r>
        <w:t xml:space="preserve">Ponieważ niniejszy dokument nie jest wyczerpujący, niektóre istotne decyzje mogą nie zostać uwzględnione.</w:t>
      </w:r>
    </w:p>
    <w:p w14:paraId="771A43E5" w14:textId="77777777">
      <w:pPr>
        <w:pStyle w:val="BodyText"/>
      </w:pPr>
    </w:p>
    <w:p w14:paraId="45186CE0" w14:textId="45ABA22D">
      <w:pPr>
        <w:pStyle w:val="BodyText"/>
      </w:pPr>
      <w:r>
        <w:t xml:space="preserve">Wyroki przedstawiono w porządku chronologicznym, a dokument składa się z czterech części:</w:t>
      </w:r>
    </w:p>
    <w:p w14:paraId="267A7D41" w14:textId="77777777">
      <w:pPr>
        <w:pStyle w:val="P68B1DB1-Normal4"/>
        <w:spacing w:after="0" w:line="278" w:lineRule="auto"/>
        <w:rPr>
          <w:rFonts w:ascii="Times New Roman" w:hAnsi="Times New Roman" w:cs="Times New Roman"/>
        </w:rPr>
      </w:pPr>
      <w:bookmarkStart w:id="0" w:name="_Hlk194503326"/>
    </w:p>
    <w:p w14:paraId="7D859DD3" w14:textId="68537153">
      <w:pPr>
        <w:pStyle w:val="P68B1DB1-TOC12"/>
        <w:tabs>
          <w:tab w:val="left" w:pos="440"/>
          <w:tab w:val="right" w:leader="dot" w:pos="9016"/>
        </w:tabs>
        <w:rPr>
          <w:rFonts w:eastAsiaTheme="minorEastAsia"/>
          <w:b w:val="0"/>
          <w:bCs w:val="0"/>
          <w:caps w:val="0"/>
          <w:kern w:val="2"/>
          <w:sz w:val="24"/>
          <w:szCs w:val="24"/>
          <w14:ligatures w14:val="standardContextual"/>
        </w:rPr>
      </w:pPr>
      <w:r>
        <w:fldChar w:fldCharType="begin"/>
      </w:r>
      <w:r>
        <w:rPr>
          <w:rFonts w:ascii="Times New Roman" w:hAnsi="Times New Roman" w:cs="Times New Roman"/>
        </w:rPr>
        <w:instrText xml:space="preserve"> TOC \o "2-2" \h \z \t "Heading 1,1" </w:instrText>
      </w:r>
      <w:r>
        <w:rPr>
          <w:rFonts w:ascii="Times New Roman" w:hAnsi="Times New Roman" w:cs="Times New Roman"/>
        </w:rPr>
        <w:fldChar w:fldCharType="separate"/>
      </w:r>
      <w:hyperlink w:anchor="_Toc203035665" w:history="1">
        <w:r>
          <w:rPr>
            <w:rStyle w:val="Hyperlink"/>
          </w:rPr>
          <w:t>I.</w:t>
        </w:r>
        <w:r>
          <w:rPr>
            <w:rFonts w:eastAsiaTheme="minorEastAsia"/>
            <w:b w:val="0"/>
            <w:bCs w:val="0"/>
            <w:caps w:val="0"/>
            <w:kern w:val="2"/>
            <w:sz w:val="24"/>
            <w:szCs w:val="24"/>
            <w14:ligatures w14:val="standardContextual"/>
          </w:rPr>
          <w:tab/>
        </w:r>
        <w:r>
          <w:rPr>
            <w:rStyle w:val="Hyperlink"/>
          </w:rPr>
          <w:t>Classification as Technical Regulation</w:t>
        </w:r>
        <w:r>
          <w:rPr>
            <w:webHidden/>
          </w:rPr>
          <w:tab/>
        </w:r>
        <w:r>
          <w:rPr>
            <w:webHidden/>
          </w:rPr>
          <w:fldChar w:fldCharType="begin"/>
        </w:r>
        <w:r>
          <w:rPr>
            <w:webHidden/>
          </w:rPr>
          <w:instrText xml:space="preserve"> PAGEREF _Toc203035665 \h </w:instrText>
        </w:r>
        <w:r>
          <w:rPr>
            <w:webHidden/>
          </w:rPr>
        </w:r>
        <w:r>
          <w:rPr>
            <w:webHidden/>
          </w:rPr>
          <w:fldChar w:fldCharType="separate"/>
        </w:r>
        <w:r>
          <w:rPr>
            <w:webHidden/>
          </w:rPr>
          <w:t>4</w:t>
        </w:r>
        <w:r>
          <w:rPr>
            <w:webHidden/>
          </w:rPr>
          <w:fldChar w:fldCharType="end"/>
        </w:r>
      </w:hyperlink>
    </w:p>
    <w:p w14:paraId="0A04A47D" w14:textId="2BCBBFA9">
      <w:pPr>
        <w:pStyle w:val="TOC2"/>
        <w:tabs>
          <w:tab w:val="left" w:pos="660"/>
          <w:tab w:val="right" w:leader="dot" w:pos="9016"/>
        </w:tabs>
        <w:rPr>
          <w:rFonts w:eastAsiaTheme="minorEastAsia"/>
          <w:smallCaps w:val="0"/>
          <w:kern w:val="2"/>
          <w:sz w:val="24"/>
          <w:szCs w:val="24"/>
          <w14:ligatures w14:val="standardContextual"/>
        </w:rPr>
      </w:pPr>
      <w:hyperlink w:anchor="_Toc203035666" w:history="1">
        <w:r>
          <w:rPr>
            <w:rStyle w:val="Hyperlink"/>
            <w:bCs/>
          </w:rPr>
          <w:t>a.</w:t>
        </w:r>
        <w:r>
          <w:rPr>
            <w:rFonts w:eastAsiaTheme="minorEastAsia"/>
            <w:smallCaps w:val="0"/>
            <w:kern w:val="2"/>
            <w:sz w:val="24"/>
            <w:szCs w:val="24"/>
            <w14:ligatures w14:val="standardContextual"/>
          </w:rPr>
          <w:tab/>
        </w:r>
        <w:r>
          <w:rPr>
            <w:rStyle w:val="Hyperlink"/>
          </w:rPr>
          <w:t>Common Criteria for Technical Regulations</w:t>
        </w:r>
        <w:r>
          <w:rPr>
            <w:webHidden/>
          </w:rPr>
          <w:tab/>
        </w:r>
        <w:r>
          <w:rPr>
            <w:webHidden/>
          </w:rPr>
          <w:fldChar w:fldCharType="begin"/>
        </w:r>
        <w:r>
          <w:rPr>
            <w:webHidden/>
          </w:rPr>
          <w:instrText xml:space="preserve"> PAGEREF _Toc203035666 \h </w:instrText>
        </w:r>
        <w:r>
          <w:rPr>
            <w:webHidden/>
          </w:rPr>
        </w:r>
        <w:r>
          <w:rPr>
            <w:webHidden/>
          </w:rPr>
          <w:fldChar w:fldCharType="separate"/>
        </w:r>
        <w:r>
          <w:rPr>
            <w:webHidden/>
          </w:rPr>
          <w:t>4</w:t>
        </w:r>
        <w:r>
          <w:rPr>
            <w:webHidden/>
          </w:rPr>
          <w:fldChar w:fldCharType="end"/>
        </w:r>
      </w:hyperlink>
    </w:p>
    <w:p w14:paraId="6F26F433" w14:textId="185E7FA5">
      <w:pPr>
        <w:pStyle w:val="TOC2"/>
        <w:tabs>
          <w:tab w:val="left" w:pos="660"/>
          <w:tab w:val="right" w:leader="dot" w:pos="9016"/>
        </w:tabs>
        <w:rPr>
          <w:rFonts w:eastAsiaTheme="minorEastAsia"/>
          <w:smallCaps w:val="0"/>
          <w:kern w:val="2"/>
          <w:sz w:val="24"/>
          <w:szCs w:val="24"/>
          <w14:ligatures w14:val="standardContextual"/>
        </w:rPr>
      </w:pPr>
      <w:hyperlink w:anchor="_Toc203035667" w:history="1">
        <w:r>
          <w:rPr>
            <w:rStyle w:val="Hyperlink"/>
            <w:bCs/>
          </w:rPr>
          <w:t>b.</w:t>
        </w:r>
        <w:r>
          <w:rPr>
            <w:rFonts w:eastAsiaTheme="minorEastAsia"/>
            <w:smallCaps w:val="0"/>
            <w:kern w:val="2"/>
            <w:sz w:val="24"/>
            <w:szCs w:val="24"/>
            <w14:ligatures w14:val="standardContextual"/>
          </w:rPr>
          <w:tab/>
        </w:r>
        <w:r>
          <w:rPr>
            <w:rStyle w:val="Hyperlink"/>
          </w:rPr>
          <w:t>Technical Specifications</w:t>
        </w:r>
        <w:r>
          <w:rPr>
            <w:webHidden/>
          </w:rPr>
          <w:tab/>
        </w:r>
        <w:r>
          <w:rPr>
            <w:webHidden/>
          </w:rPr>
          <w:fldChar w:fldCharType="begin"/>
        </w:r>
        <w:r>
          <w:rPr>
            <w:webHidden/>
          </w:rPr>
          <w:instrText xml:space="preserve"> PAGEREF _Toc203035667 \h </w:instrText>
        </w:r>
        <w:r>
          <w:rPr>
            <w:webHidden/>
          </w:rPr>
        </w:r>
        <w:r>
          <w:rPr>
            <w:webHidden/>
          </w:rPr>
          <w:fldChar w:fldCharType="separate"/>
        </w:r>
        <w:r>
          <w:rPr>
            <w:webHidden/>
          </w:rPr>
          <w:t>6</w:t>
        </w:r>
        <w:r>
          <w:rPr>
            <w:webHidden/>
          </w:rPr>
          <w:fldChar w:fldCharType="end"/>
        </w:r>
      </w:hyperlink>
    </w:p>
    <w:p w14:paraId="4473297C" w14:textId="5097F959">
      <w:pPr>
        <w:pStyle w:val="TOC2"/>
        <w:tabs>
          <w:tab w:val="left" w:pos="660"/>
          <w:tab w:val="right" w:leader="dot" w:pos="9016"/>
        </w:tabs>
        <w:rPr>
          <w:rFonts w:eastAsiaTheme="minorEastAsia"/>
          <w:smallCaps w:val="0"/>
          <w:kern w:val="2"/>
          <w:sz w:val="24"/>
          <w:szCs w:val="24"/>
          <w14:ligatures w14:val="standardContextual"/>
        </w:rPr>
      </w:pPr>
      <w:hyperlink w:anchor="_Toc203035668" w:history="1">
        <w:r>
          <w:rPr>
            <w:rStyle w:val="Hyperlink"/>
            <w:bCs/>
          </w:rPr>
          <w:t>c.</w:t>
        </w:r>
        <w:r>
          <w:rPr>
            <w:rFonts w:eastAsiaTheme="minorEastAsia"/>
            <w:smallCaps w:val="0"/>
            <w:kern w:val="2"/>
            <w:sz w:val="24"/>
            <w:szCs w:val="24"/>
            <w14:ligatures w14:val="standardContextual"/>
          </w:rPr>
          <w:tab/>
        </w:r>
        <w:r>
          <w:rPr>
            <w:rStyle w:val="Hyperlink"/>
          </w:rPr>
          <w:t>Other Requirements</w:t>
        </w:r>
        <w:r>
          <w:rPr>
            <w:webHidden/>
          </w:rPr>
          <w:tab/>
        </w:r>
        <w:r>
          <w:rPr>
            <w:webHidden/>
          </w:rPr>
          <w:fldChar w:fldCharType="begin"/>
        </w:r>
        <w:r>
          <w:rPr>
            <w:webHidden/>
          </w:rPr>
          <w:instrText xml:space="preserve"> PAGEREF _Toc203035668 \h </w:instrText>
        </w:r>
        <w:r>
          <w:rPr>
            <w:webHidden/>
          </w:rPr>
        </w:r>
        <w:r>
          <w:rPr>
            <w:webHidden/>
          </w:rPr>
          <w:fldChar w:fldCharType="separate"/>
        </w:r>
        <w:r>
          <w:rPr>
            <w:webHidden/>
          </w:rPr>
          <w:t>14</w:t>
        </w:r>
        <w:r>
          <w:rPr>
            <w:webHidden/>
          </w:rPr>
          <w:fldChar w:fldCharType="end"/>
        </w:r>
      </w:hyperlink>
    </w:p>
    <w:p w14:paraId="110B55B0" w14:textId="4A4EB9AB">
      <w:pPr>
        <w:pStyle w:val="TOC2"/>
        <w:tabs>
          <w:tab w:val="left" w:pos="660"/>
          <w:tab w:val="right" w:leader="dot" w:pos="9016"/>
        </w:tabs>
        <w:rPr>
          <w:rFonts w:eastAsiaTheme="minorEastAsia"/>
          <w:smallCaps w:val="0"/>
          <w:kern w:val="2"/>
          <w:sz w:val="24"/>
          <w:szCs w:val="24"/>
          <w14:ligatures w14:val="standardContextual"/>
        </w:rPr>
      </w:pPr>
      <w:hyperlink w:anchor="_Toc203035669" w:history="1">
        <w:r>
          <w:rPr>
            <w:rStyle w:val="Hyperlink"/>
            <w:bCs/>
          </w:rPr>
          <w:t>d.</w:t>
        </w:r>
        <w:r>
          <w:rPr>
            <w:rFonts w:eastAsiaTheme="minorEastAsia"/>
            <w:smallCaps w:val="0"/>
            <w:kern w:val="2"/>
            <w:sz w:val="24"/>
            <w:szCs w:val="24"/>
            <w14:ligatures w14:val="standardContextual"/>
          </w:rPr>
          <w:tab/>
        </w:r>
        <w:r>
          <w:rPr>
            <w:rStyle w:val="Hyperlink"/>
          </w:rPr>
          <w:t>Rules on Services</w:t>
        </w:r>
        <w:r>
          <w:rPr>
            <w:webHidden/>
          </w:rPr>
          <w:tab/>
        </w:r>
        <w:r>
          <w:rPr>
            <w:webHidden/>
          </w:rPr>
          <w:fldChar w:fldCharType="begin"/>
        </w:r>
        <w:r>
          <w:rPr>
            <w:webHidden/>
          </w:rPr>
          <w:instrText xml:space="preserve"> PAGEREF _Toc203035669 \h </w:instrText>
        </w:r>
        <w:r>
          <w:rPr>
            <w:webHidden/>
          </w:rPr>
        </w:r>
        <w:r>
          <w:rPr>
            <w:webHidden/>
          </w:rPr>
          <w:fldChar w:fldCharType="separate"/>
        </w:r>
        <w:r>
          <w:rPr>
            <w:webHidden/>
          </w:rPr>
          <w:t>21</w:t>
        </w:r>
        <w:r>
          <w:rPr>
            <w:webHidden/>
          </w:rPr>
          <w:fldChar w:fldCharType="end"/>
        </w:r>
      </w:hyperlink>
    </w:p>
    <w:p w14:paraId="7AE2FA08" w14:textId="1FC0EAA8">
      <w:pPr>
        <w:pStyle w:val="TOC2"/>
        <w:tabs>
          <w:tab w:val="left" w:pos="660"/>
          <w:tab w:val="right" w:leader="dot" w:pos="9016"/>
        </w:tabs>
        <w:rPr>
          <w:rFonts w:eastAsiaTheme="minorEastAsia"/>
          <w:smallCaps w:val="0"/>
          <w:kern w:val="2"/>
          <w:sz w:val="24"/>
          <w:szCs w:val="24"/>
          <w14:ligatures w14:val="standardContextual"/>
        </w:rPr>
      </w:pPr>
      <w:hyperlink w:anchor="_Toc203035670" w:history="1">
        <w:r>
          <w:rPr>
            <w:rStyle w:val="Hyperlink"/>
            <w:bCs/>
          </w:rPr>
          <w:t>e.</w:t>
        </w:r>
        <w:r>
          <w:rPr>
            <w:rFonts w:eastAsiaTheme="minorEastAsia"/>
            <w:smallCaps w:val="0"/>
            <w:kern w:val="2"/>
            <w:sz w:val="24"/>
            <w:szCs w:val="24"/>
            <w14:ligatures w14:val="standardContextual"/>
          </w:rPr>
          <w:tab/>
        </w:r>
        <w:r>
          <w:rPr>
            <w:rStyle w:val="Hyperlink"/>
          </w:rPr>
          <w:t>Prohibition Provisions</w:t>
        </w:r>
        <w:r>
          <w:rPr>
            <w:webHidden/>
          </w:rPr>
          <w:tab/>
        </w:r>
        <w:r>
          <w:rPr>
            <w:webHidden/>
          </w:rPr>
          <w:fldChar w:fldCharType="begin"/>
        </w:r>
        <w:r>
          <w:rPr>
            <w:webHidden/>
          </w:rPr>
          <w:instrText xml:space="preserve"> PAGEREF _Toc203035670 \h </w:instrText>
        </w:r>
        <w:r>
          <w:rPr>
            <w:webHidden/>
          </w:rPr>
        </w:r>
        <w:r>
          <w:rPr>
            <w:webHidden/>
          </w:rPr>
          <w:fldChar w:fldCharType="separate"/>
        </w:r>
        <w:r>
          <w:rPr>
            <w:webHidden/>
          </w:rPr>
          <w:t>31</w:t>
        </w:r>
        <w:r>
          <w:rPr>
            <w:webHidden/>
          </w:rPr>
          <w:fldChar w:fldCharType="end"/>
        </w:r>
      </w:hyperlink>
    </w:p>
    <w:p w14:paraId="709EEE7A" w14:textId="670F7D1D">
      <w:pPr>
        <w:pStyle w:val="TOC2"/>
        <w:tabs>
          <w:tab w:val="left" w:pos="660"/>
          <w:tab w:val="right" w:leader="dot" w:pos="9016"/>
        </w:tabs>
        <w:rPr>
          <w:rFonts w:eastAsiaTheme="minorEastAsia"/>
          <w:smallCaps w:val="0"/>
          <w:kern w:val="2"/>
          <w:sz w:val="24"/>
          <w:szCs w:val="24"/>
          <w14:ligatures w14:val="standardContextual"/>
        </w:rPr>
      </w:pPr>
      <w:hyperlink w:anchor="_Toc203035671" w:history="1">
        <w:r>
          <w:rPr>
            <w:rStyle w:val="Hyperlink"/>
            <w:bCs/>
          </w:rPr>
          <w:t>f.</w:t>
        </w:r>
        <w:r>
          <w:rPr>
            <w:rFonts w:eastAsiaTheme="minorEastAsia"/>
            <w:smallCaps w:val="0"/>
            <w:kern w:val="2"/>
            <w:sz w:val="24"/>
            <w:szCs w:val="24"/>
            <w14:ligatures w14:val="standardContextual"/>
          </w:rPr>
          <w:tab/>
        </w:r>
        <w:r>
          <w:rPr>
            <w:rStyle w:val="Hyperlink"/>
          </w:rPr>
          <w:t>De Facto Technical Regulations</w:t>
        </w:r>
        <w:r>
          <w:rPr>
            <w:webHidden/>
          </w:rPr>
          <w:tab/>
        </w:r>
        <w:r>
          <w:rPr>
            <w:webHidden/>
          </w:rPr>
          <w:fldChar w:fldCharType="begin"/>
        </w:r>
        <w:r>
          <w:rPr>
            <w:webHidden/>
          </w:rPr>
          <w:instrText xml:space="preserve"> PAGEREF _Toc203035671 \h </w:instrText>
        </w:r>
        <w:r>
          <w:rPr>
            <w:webHidden/>
          </w:rPr>
        </w:r>
        <w:r>
          <w:rPr>
            <w:webHidden/>
          </w:rPr>
          <w:fldChar w:fldCharType="separate"/>
        </w:r>
        <w:r>
          <w:rPr>
            <w:webHidden/>
          </w:rPr>
          <w:t>34</w:t>
        </w:r>
        <w:r>
          <w:rPr>
            <w:webHidden/>
          </w:rPr>
          <w:fldChar w:fldCharType="end"/>
        </w:r>
      </w:hyperlink>
    </w:p>
    <w:p w14:paraId="1C2FBBFA" w14:textId="2ED58CFC">
      <w:pPr>
        <w:pStyle w:val="TOC2"/>
        <w:tabs>
          <w:tab w:val="left" w:pos="660"/>
          <w:tab w:val="right" w:leader="dot" w:pos="9016"/>
        </w:tabs>
        <w:rPr>
          <w:rFonts w:eastAsiaTheme="minorEastAsia"/>
          <w:smallCaps w:val="0"/>
          <w:kern w:val="2"/>
          <w:sz w:val="24"/>
          <w:szCs w:val="24"/>
          <w14:ligatures w14:val="standardContextual"/>
        </w:rPr>
      </w:pPr>
      <w:hyperlink w:anchor="_Toc203035672" w:history="1">
        <w:r>
          <w:rPr>
            <w:rStyle w:val="Hyperlink"/>
            <w:bCs/>
          </w:rPr>
          <w:t>g.</w:t>
        </w:r>
        <w:r>
          <w:rPr>
            <w:rFonts w:eastAsiaTheme="minorEastAsia"/>
            <w:smallCaps w:val="0"/>
            <w:kern w:val="2"/>
            <w:sz w:val="24"/>
            <w:szCs w:val="24"/>
            <w14:ligatures w14:val="standardContextual"/>
          </w:rPr>
          <w:tab/>
        </w:r>
        <w:r>
          <w:rPr>
            <w:rStyle w:val="Hyperlink"/>
          </w:rPr>
          <w:t>Excluded Matters</w:t>
        </w:r>
        <w:r>
          <w:rPr>
            <w:webHidden/>
          </w:rPr>
          <w:tab/>
        </w:r>
        <w:r>
          <w:rPr>
            <w:webHidden/>
          </w:rPr>
          <w:fldChar w:fldCharType="begin"/>
        </w:r>
        <w:r>
          <w:rPr>
            <w:webHidden/>
          </w:rPr>
          <w:instrText xml:space="preserve"> PAGEREF _Toc203035672 \h </w:instrText>
        </w:r>
        <w:r>
          <w:rPr>
            <w:webHidden/>
          </w:rPr>
        </w:r>
        <w:r>
          <w:rPr>
            <w:webHidden/>
          </w:rPr>
          <w:fldChar w:fldCharType="separate"/>
        </w:r>
        <w:r>
          <w:rPr>
            <w:webHidden/>
          </w:rPr>
          <w:t>37</w:t>
        </w:r>
        <w:r>
          <w:rPr>
            <w:webHidden/>
          </w:rPr>
          <w:fldChar w:fldCharType="end"/>
        </w:r>
      </w:hyperlink>
    </w:p>
    <w:p w14:paraId="6E4B30D2" w14:textId="492D7E3B">
      <w:pPr>
        <w:pStyle w:val="TOC1"/>
        <w:tabs>
          <w:tab w:val="left" w:pos="440"/>
          <w:tab w:val="right" w:leader="dot" w:pos="9016"/>
        </w:tabs>
        <w:rPr>
          <w:rFonts w:eastAsiaTheme="minorEastAsia"/>
          <w:b w:val="0"/>
          <w:bCs w:val="0"/>
          <w:caps w:val="0"/>
          <w:kern w:val="2"/>
          <w:sz w:val="24"/>
          <w:szCs w:val="24"/>
          <w14:ligatures w14:val="standardContextual"/>
        </w:rPr>
      </w:pPr>
      <w:hyperlink w:anchor="_Toc203035673" w:history="1">
        <w:r>
          <w:rPr>
            <w:rStyle w:val="Hyperlink"/>
          </w:rPr>
          <w:t>II.</w:t>
        </w:r>
        <w:r>
          <w:rPr>
            <w:rFonts w:eastAsiaTheme="minorEastAsia"/>
            <w:b w:val="0"/>
            <w:bCs w:val="0"/>
            <w:caps w:val="0"/>
            <w:kern w:val="2"/>
            <w:sz w:val="24"/>
            <w:szCs w:val="24"/>
            <w14:ligatures w14:val="standardContextual"/>
          </w:rPr>
          <w:tab/>
        </w:r>
        <w:r>
          <w:rPr>
            <w:rStyle w:val="Hyperlink"/>
          </w:rPr>
          <w:t>Notification Obligation</w:t>
        </w:r>
        <w:r>
          <w:rPr>
            <w:webHidden/>
          </w:rPr>
          <w:tab/>
        </w:r>
        <w:r>
          <w:rPr>
            <w:webHidden/>
          </w:rPr>
          <w:fldChar w:fldCharType="begin"/>
        </w:r>
        <w:r>
          <w:rPr>
            <w:webHidden/>
          </w:rPr>
          <w:instrText xml:space="preserve"> PAGEREF _Toc203035673 \h </w:instrText>
        </w:r>
        <w:r>
          <w:rPr>
            <w:webHidden/>
          </w:rPr>
        </w:r>
        <w:r>
          <w:rPr>
            <w:webHidden/>
          </w:rPr>
          <w:fldChar w:fldCharType="separate"/>
        </w:r>
        <w:r>
          <w:rPr>
            <w:webHidden/>
          </w:rPr>
          <w:t>39</w:t>
        </w:r>
        <w:r>
          <w:rPr>
            <w:webHidden/>
          </w:rPr>
          <w:fldChar w:fldCharType="end"/>
        </w:r>
      </w:hyperlink>
    </w:p>
    <w:p w14:paraId="559CE1AC" w14:textId="73AB7DFD">
      <w:pPr>
        <w:pStyle w:val="TOC2"/>
        <w:tabs>
          <w:tab w:val="left" w:pos="660"/>
          <w:tab w:val="right" w:leader="dot" w:pos="9016"/>
        </w:tabs>
        <w:rPr>
          <w:rFonts w:eastAsiaTheme="minorEastAsia"/>
          <w:smallCaps w:val="0"/>
          <w:kern w:val="2"/>
          <w:sz w:val="24"/>
          <w:szCs w:val="24"/>
          <w14:ligatures w14:val="standardContextual"/>
        </w:rPr>
      </w:pPr>
      <w:hyperlink w:anchor="_Toc203035674" w:history="1">
        <w:r>
          <w:rPr>
            <w:rStyle w:val="Hyperlink"/>
            <w:bCs/>
          </w:rPr>
          <w:t>a.</w:t>
        </w:r>
        <w:r>
          <w:rPr>
            <w:rFonts w:eastAsiaTheme="minorEastAsia"/>
            <w:smallCaps w:val="0"/>
            <w:kern w:val="2"/>
            <w:sz w:val="24"/>
            <w:szCs w:val="24"/>
            <w14:ligatures w14:val="standardContextual"/>
          </w:rPr>
          <w:tab/>
        </w:r>
        <w:r>
          <w:rPr>
            <w:rStyle w:val="Hyperlink"/>
          </w:rPr>
          <w:t>Notification at the Draft Stage</w:t>
        </w:r>
        <w:r>
          <w:rPr>
            <w:webHidden/>
          </w:rPr>
          <w:tab/>
        </w:r>
        <w:r>
          <w:rPr>
            <w:webHidden/>
          </w:rPr>
          <w:fldChar w:fldCharType="begin"/>
        </w:r>
        <w:r>
          <w:rPr>
            <w:webHidden/>
          </w:rPr>
          <w:instrText xml:space="preserve"> PAGEREF _Toc203035674 \h </w:instrText>
        </w:r>
        <w:r>
          <w:rPr>
            <w:webHidden/>
          </w:rPr>
        </w:r>
        <w:r>
          <w:rPr>
            <w:webHidden/>
          </w:rPr>
          <w:fldChar w:fldCharType="separate"/>
        </w:r>
        <w:r>
          <w:rPr>
            <w:webHidden/>
          </w:rPr>
          <w:t>39</w:t>
        </w:r>
        <w:r>
          <w:rPr>
            <w:webHidden/>
          </w:rPr>
          <w:fldChar w:fldCharType="end"/>
        </w:r>
      </w:hyperlink>
    </w:p>
    <w:p w14:paraId="7E8A6736" w14:textId="71519B8A">
      <w:pPr>
        <w:pStyle w:val="TOC2"/>
        <w:tabs>
          <w:tab w:val="left" w:pos="660"/>
          <w:tab w:val="right" w:leader="dot" w:pos="9016"/>
        </w:tabs>
        <w:rPr>
          <w:rFonts w:eastAsiaTheme="minorEastAsia"/>
          <w:smallCaps w:val="0"/>
          <w:kern w:val="2"/>
          <w:sz w:val="24"/>
          <w:szCs w:val="24"/>
          <w14:ligatures w14:val="standardContextual"/>
        </w:rPr>
      </w:pPr>
      <w:hyperlink w:anchor="_Toc203035675" w:history="1">
        <w:r>
          <w:rPr>
            <w:rStyle w:val="Hyperlink"/>
            <w:bCs/>
          </w:rPr>
          <w:t>b.</w:t>
        </w:r>
        <w:r>
          <w:rPr>
            <w:rFonts w:eastAsiaTheme="minorEastAsia"/>
            <w:smallCaps w:val="0"/>
            <w:kern w:val="2"/>
            <w:sz w:val="24"/>
            <w:szCs w:val="24"/>
            <w14:ligatures w14:val="standardContextual"/>
          </w:rPr>
          <w:tab/>
        </w:r>
        <w:r>
          <w:rPr>
            <w:rStyle w:val="Hyperlink"/>
          </w:rPr>
          <w:t>Notifications of New Technical Regulations</w:t>
        </w:r>
        <w:r>
          <w:rPr>
            <w:webHidden/>
          </w:rPr>
          <w:tab/>
        </w:r>
        <w:r>
          <w:rPr>
            <w:webHidden/>
          </w:rPr>
          <w:fldChar w:fldCharType="begin"/>
        </w:r>
        <w:r>
          <w:rPr>
            <w:webHidden/>
          </w:rPr>
          <w:instrText xml:space="preserve"> PAGEREF _Toc203035675 \h </w:instrText>
        </w:r>
        <w:r>
          <w:rPr>
            <w:webHidden/>
          </w:rPr>
        </w:r>
        <w:r>
          <w:rPr>
            <w:webHidden/>
          </w:rPr>
          <w:fldChar w:fldCharType="separate"/>
        </w:r>
        <w:r>
          <w:rPr>
            <w:webHidden/>
          </w:rPr>
          <w:t>41</w:t>
        </w:r>
        <w:r>
          <w:rPr>
            <w:webHidden/>
          </w:rPr>
          <w:fldChar w:fldCharType="end"/>
        </w:r>
      </w:hyperlink>
    </w:p>
    <w:p w14:paraId="1EA679C1" w14:textId="584C8B1D">
      <w:pPr>
        <w:pStyle w:val="TOC2"/>
        <w:tabs>
          <w:tab w:val="left" w:pos="660"/>
          <w:tab w:val="right" w:leader="dot" w:pos="9016"/>
        </w:tabs>
        <w:rPr>
          <w:rFonts w:eastAsiaTheme="minorEastAsia"/>
          <w:smallCaps w:val="0"/>
          <w:kern w:val="2"/>
          <w:sz w:val="24"/>
          <w:szCs w:val="24"/>
          <w14:ligatures w14:val="standardContextual"/>
        </w:rPr>
      </w:pPr>
      <w:hyperlink w:anchor="_Toc203035676" w:history="1">
        <w:r>
          <w:rPr>
            <w:rStyle w:val="Hyperlink"/>
            <w:bCs/>
          </w:rPr>
          <w:t>c.</w:t>
        </w:r>
        <w:r>
          <w:rPr>
            <w:rFonts w:eastAsiaTheme="minorEastAsia"/>
            <w:smallCaps w:val="0"/>
            <w:kern w:val="2"/>
            <w:sz w:val="24"/>
            <w:szCs w:val="24"/>
            <w14:ligatures w14:val="standardContextual"/>
          </w:rPr>
          <w:tab/>
        </w:r>
        <w:r>
          <w:rPr>
            <w:rStyle w:val="Hyperlink"/>
          </w:rPr>
          <w:t>Notification of the Full Text</w:t>
        </w:r>
        <w:r>
          <w:rPr>
            <w:webHidden/>
          </w:rPr>
          <w:tab/>
        </w:r>
        <w:r>
          <w:rPr>
            <w:webHidden/>
          </w:rPr>
          <w:fldChar w:fldCharType="begin"/>
        </w:r>
        <w:r>
          <w:rPr>
            <w:webHidden/>
          </w:rPr>
          <w:instrText xml:space="preserve"> PAGEREF _Toc203035676 \h </w:instrText>
        </w:r>
        <w:r>
          <w:rPr>
            <w:webHidden/>
          </w:rPr>
        </w:r>
        <w:r>
          <w:rPr>
            <w:webHidden/>
          </w:rPr>
          <w:fldChar w:fldCharType="separate"/>
        </w:r>
        <w:r>
          <w:rPr>
            <w:webHidden/>
          </w:rPr>
          <w:t>43</w:t>
        </w:r>
        <w:r>
          <w:rPr>
            <w:webHidden/>
          </w:rPr>
          <w:fldChar w:fldCharType="end"/>
        </w:r>
      </w:hyperlink>
    </w:p>
    <w:p w14:paraId="7399B3C2" w14:textId="37BC6B70">
      <w:pPr>
        <w:pStyle w:val="TOC2"/>
        <w:tabs>
          <w:tab w:val="left" w:pos="660"/>
          <w:tab w:val="right" w:leader="dot" w:pos="9016"/>
        </w:tabs>
        <w:rPr>
          <w:rFonts w:eastAsiaTheme="minorEastAsia"/>
          <w:smallCaps w:val="0"/>
          <w:kern w:val="2"/>
          <w:sz w:val="24"/>
          <w:szCs w:val="24"/>
          <w14:ligatures w14:val="standardContextual"/>
        </w:rPr>
      </w:pPr>
      <w:hyperlink w:anchor="_Toc203035677" w:history="1">
        <w:r>
          <w:rPr>
            <w:rStyle w:val="Hyperlink"/>
            <w:bCs/>
          </w:rPr>
          <w:t>d.</w:t>
        </w:r>
        <w:r>
          <w:rPr>
            <w:rFonts w:eastAsiaTheme="minorEastAsia"/>
            <w:smallCaps w:val="0"/>
            <w:kern w:val="2"/>
            <w:sz w:val="24"/>
            <w:szCs w:val="24"/>
            <w14:ligatures w14:val="standardContextual"/>
          </w:rPr>
          <w:tab/>
        </w:r>
        <w:r>
          <w:rPr>
            <w:rStyle w:val="Hyperlink"/>
          </w:rPr>
          <w:t>Notification of Concerned Basic Provisions</w:t>
        </w:r>
        <w:r>
          <w:rPr>
            <w:webHidden/>
          </w:rPr>
          <w:tab/>
        </w:r>
        <w:r>
          <w:rPr>
            <w:webHidden/>
          </w:rPr>
          <w:fldChar w:fldCharType="begin"/>
        </w:r>
        <w:r>
          <w:rPr>
            <w:webHidden/>
          </w:rPr>
          <w:instrText xml:space="preserve"> PAGEREF _Toc203035677 \h </w:instrText>
        </w:r>
        <w:r>
          <w:rPr>
            <w:webHidden/>
          </w:rPr>
        </w:r>
        <w:r>
          <w:rPr>
            <w:webHidden/>
          </w:rPr>
          <w:fldChar w:fldCharType="separate"/>
        </w:r>
        <w:r>
          <w:rPr>
            <w:webHidden/>
          </w:rPr>
          <w:t>44</w:t>
        </w:r>
        <w:r>
          <w:rPr>
            <w:webHidden/>
          </w:rPr>
          <w:fldChar w:fldCharType="end"/>
        </w:r>
      </w:hyperlink>
    </w:p>
    <w:p w14:paraId="6A9200BA" w14:textId="09F270C1">
      <w:pPr>
        <w:pStyle w:val="TOC2"/>
        <w:tabs>
          <w:tab w:val="left" w:pos="660"/>
          <w:tab w:val="right" w:leader="dot" w:pos="9016"/>
        </w:tabs>
        <w:rPr>
          <w:rFonts w:eastAsiaTheme="minorEastAsia"/>
          <w:smallCaps w:val="0"/>
          <w:kern w:val="2"/>
          <w:sz w:val="24"/>
          <w:szCs w:val="24"/>
          <w14:ligatures w14:val="standardContextual"/>
        </w:rPr>
      </w:pPr>
      <w:hyperlink w:anchor="_Toc203035678" w:history="1">
        <w:r>
          <w:rPr>
            <w:rStyle w:val="Hyperlink"/>
            <w:bCs/>
          </w:rPr>
          <w:t>e.</w:t>
        </w:r>
        <w:r>
          <w:rPr>
            <w:rFonts w:eastAsiaTheme="minorEastAsia"/>
            <w:smallCaps w:val="0"/>
            <w:kern w:val="2"/>
            <w:sz w:val="24"/>
            <w:szCs w:val="24"/>
            <w14:ligatures w14:val="standardContextual"/>
          </w:rPr>
          <w:tab/>
        </w:r>
        <w:r>
          <w:rPr>
            <w:rStyle w:val="Hyperlink"/>
          </w:rPr>
          <w:t>Re-Notification During the Standstill Period</w:t>
        </w:r>
        <w:r>
          <w:rPr>
            <w:webHidden/>
          </w:rPr>
          <w:tab/>
        </w:r>
        <w:r>
          <w:rPr>
            <w:webHidden/>
          </w:rPr>
          <w:fldChar w:fldCharType="begin"/>
        </w:r>
        <w:r>
          <w:rPr>
            <w:webHidden/>
          </w:rPr>
          <w:instrText xml:space="preserve"> PAGEREF _Toc203035678 \h </w:instrText>
        </w:r>
        <w:r>
          <w:rPr>
            <w:webHidden/>
          </w:rPr>
        </w:r>
        <w:r>
          <w:rPr>
            <w:webHidden/>
          </w:rPr>
          <w:fldChar w:fldCharType="separate"/>
        </w:r>
        <w:r>
          <w:rPr>
            <w:webHidden/>
          </w:rPr>
          <w:t>45</w:t>
        </w:r>
        <w:r>
          <w:rPr>
            <w:webHidden/>
          </w:rPr>
          <w:fldChar w:fldCharType="end"/>
        </w:r>
      </w:hyperlink>
    </w:p>
    <w:p w14:paraId="7E32C518" w14:textId="7B625DD7">
      <w:pPr>
        <w:pStyle w:val="TOC1"/>
        <w:tabs>
          <w:tab w:val="left" w:pos="660"/>
          <w:tab w:val="right" w:leader="dot" w:pos="9016"/>
        </w:tabs>
        <w:rPr>
          <w:rFonts w:eastAsiaTheme="minorEastAsia"/>
          <w:b w:val="0"/>
          <w:bCs w:val="0"/>
          <w:caps w:val="0"/>
          <w:kern w:val="2"/>
          <w:sz w:val="24"/>
          <w:szCs w:val="24"/>
          <w14:ligatures w14:val="standardContextual"/>
        </w:rPr>
      </w:pPr>
      <w:hyperlink w:anchor="_Toc203035679" w:history="1">
        <w:r>
          <w:rPr>
            <w:rStyle w:val="Hyperlink"/>
          </w:rPr>
          <w:t>III.</w:t>
        </w:r>
        <w:r>
          <w:rPr>
            <w:rFonts w:eastAsiaTheme="minorEastAsia"/>
            <w:b w:val="0"/>
            <w:bCs w:val="0"/>
            <w:caps w:val="0"/>
            <w:kern w:val="2"/>
            <w:sz w:val="24"/>
            <w:szCs w:val="24"/>
            <w14:ligatures w14:val="standardContextual"/>
          </w:rPr>
          <w:tab/>
        </w:r>
        <w:r>
          <w:rPr>
            <w:rStyle w:val="Hyperlink"/>
          </w:rPr>
          <w:t>Exceptions to the Obligation to Notify</w:t>
        </w:r>
        <w:r>
          <w:rPr>
            <w:webHidden/>
          </w:rPr>
          <w:tab/>
        </w:r>
        <w:r>
          <w:rPr>
            <w:webHidden/>
          </w:rPr>
          <w:fldChar w:fldCharType="begin"/>
        </w:r>
        <w:r>
          <w:rPr>
            <w:webHidden/>
          </w:rPr>
          <w:instrText xml:space="preserve"> PAGEREF _Toc203035679 \h </w:instrText>
        </w:r>
        <w:r>
          <w:rPr>
            <w:webHidden/>
          </w:rPr>
        </w:r>
        <w:r>
          <w:rPr>
            <w:webHidden/>
          </w:rPr>
          <w:fldChar w:fldCharType="separate"/>
        </w:r>
        <w:r>
          <w:rPr>
            <w:webHidden/>
          </w:rPr>
          <w:t>47</w:t>
        </w:r>
        <w:r>
          <w:rPr>
            <w:webHidden/>
          </w:rPr>
          <w:fldChar w:fldCharType="end"/>
        </w:r>
      </w:hyperlink>
    </w:p>
    <w:p w14:paraId="7CC02EA3" w14:textId="01C3FBA0">
      <w:pPr>
        <w:pStyle w:val="TOC2"/>
        <w:tabs>
          <w:tab w:val="left" w:pos="660"/>
          <w:tab w:val="right" w:leader="dot" w:pos="9016"/>
        </w:tabs>
        <w:rPr>
          <w:rFonts w:eastAsiaTheme="minorEastAsia"/>
          <w:smallCaps w:val="0"/>
          <w:kern w:val="2"/>
          <w:sz w:val="24"/>
          <w:szCs w:val="24"/>
          <w14:ligatures w14:val="standardContextual"/>
        </w:rPr>
      </w:pPr>
      <w:hyperlink w:anchor="_Toc203035680" w:history="1">
        <w:r>
          <w:rPr>
            <w:rStyle w:val="Hyperlink"/>
            <w:bCs/>
          </w:rPr>
          <w:t>a.</w:t>
        </w:r>
        <w:r>
          <w:rPr>
            <w:rFonts w:eastAsiaTheme="minorEastAsia"/>
            <w:smallCaps w:val="0"/>
            <w:kern w:val="2"/>
            <w:sz w:val="24"/>
            <w:szCs w:val="24"/>
            <w14:ligatures w14:val="standardContextual"/>
          </w:rPr>
          <w:tab/>
        </w:r>
        <w:r>
          <w:rPr>
            <w:rStyle w:val="Hyperlink"/>
          </w:rPr>
          <w:t>Transposition of a European Act</w:t>
        </w:r>
        <w:r>
          <w:rPr>
            <w:webHidden/>
          </w:rPr>
          <w:tab/>
        </w:r>
        <w:r>
          <w:rPr>
            <w:webHidden/>
          </w:rPr>
          <w:fldChar w:fldCharType="begin"/>
        </w:r>
        <w:r>
          <w:rPr>
            <w:webHidden/>
          </w:rPr>
          <w:instrText xml:space="preserve"> PAGEREF _Toc203035680 \h </w:instrText>
        </w:r>
        <w:r>
          <w:rPr>
            <w:webHidden/>
          </w:rPr>
        </w:r>
        <w:r>
          <w:rPr>
            <w:webHidden/>
          </w:rPr>
          <w:fldChar w:fldCharType="separate"/>
        </w:r>
        <w:r>
          <w:rPr>
            <w:webHidden/>
          </w:rPr>
          <w:t>47</w:t>
        </w:r>
        <w:r>
          <w:rPr>
            <w:webHidden/>
          </w:rPr>
          <w:fldChar w:fldCharType="end"/>
        </w:r>
      </w:hyperlink>
    </w:p>
    <w:p w14:paraId="73CA2C68" w14:textId="27F826B4">
      <w:pPr>
        <w:pStyle w:val="TOC2"/>
        <w:tabs>
          <w:tab w:val="left" w:pos="660"/>
          <w:tab w:val="right" w:leader="dot" w:pos="9016"/>
        </w:tabs>
        <w:rPr>
          <w:rFonts w:eastAsiaTheme="minorEastAsia"/>
          <w:smallCaps w:val="0"/>
          <w:kern w:val="2"/>
          <w:sz w:val="24"/>
          <w:szCs w:val="24"/>
          <w14:ligatures w14:val="standardContextual"/>
        </w:rPr>
      </w:pPr>
      <w:hyperlink w:anchor="_Toc203035681" w:history="1">
        <w:r>
          <w:rPr>
            <w:rStyle w:val="Hyperlink"/>
            <w:bCs/>
          </w:rPr>
          <w:t>b.</w:t>
        </w:r>
        <w:r>
          <w:rPr>
            <w:rFonts w:eastAsiaTheme="minorEastAsia"/>
            <w:smallCaps w:val="0"/>
            <w:kern w:val="2"/>
            <w:sz w:val="24"/>
            <w:szCs w:val="24"/>
            <w14:ligatures w14:val="standardContextual"/>
          </w:rPr>
          <w:tab/>
        </w:r>
        <w:r>
          <w:rPr>
            <w:rStyle w:val="Hyperlink"/>
          </w:rPr>
          <w:t>Use of a Safeguard Clause</w:t>
        </w:r>
        <w:r>
          <w:rPr>
            <w:webHidden/>
          </w:rPr>
          <w:tab/>
        </w:r>
        <w:r>
          <w:rPr>
            <w:webHidden/>
          </w:rPr>
          <w:fldChar w:fldCharType="begin"/>
        </w:r>
        <w:r>
          <w:rPr>
            <w:webHidden/>
          </w:rPr>
          <w:instrText xml:space="preserve"> PAGEREF _Toc203035681 \h </w:instrText>
        </w:r>
        <w:r>
          <w:rPr>
            <w:webHidden/>
          </w:rPr>
        </w:r>
        <w:r>
          <w:rPr>
            <w:webHidden/>
          </w:rPr>
          <w:fldChar w:fldCharType="separate"/>
        </w:r>
        <w:r>
          <w:rPr>
            <w:webHidden/>
          </w:rPr>
          <w:t>49</w:t>
        </w:r>
        <w:r>
          <w:rPr>
            <w:webHidden/>
          </w:rPr>
          <w:fldChar w:fldCharType="end"/>
        </w:r>
      </w:hyperlink>
    </w:p>
    <w:p w14:paraId="2E16821A" w14:textId="37A0CCE7">
      <w:pPr>
        <w:pStyle w:val="TOC2"/>
        <w:tabs>
          <w:tab w:val="left" w:pos="660"/>
          <w:tab w:val="right" w:leader="dot" w:pos="9016"/>
        </w:tabs>
        <w:rPr>
          <w:rFonts w:eastAsiaTheme="minorEastAsia"/>
          <w:smallCaps w:val="0"/>
          <w:kern w:val="2"/>
          <w:sz w:val="24"/>
          <w:szCs w:val="24"/>
          <w14:ligatures w14:val="standardContextual"/>
        </w:rPr>
      </w:pPr>
      <w:hyperlink w:anchor="_Toc203035682" w:history="1">
        <w:r>
          <w:rPr>
            <w:rStyle w:val="Hyperlink"/>
            <w:bCs/>
          </w:rPr>
          <w:t>c.</w:t>
        </w:r>
        <w:r>
          <w:rPr>
            <w:rFonts w:eastAsiaTheme="minorEastAsia"/>
            <w:smallCaps w:val="0"/>
            <w:kern w:val="2"/>
            <w:sz w:val="24"/>
            <w:szCs w:val="24"/>
            <w14:ligatures w14:val="standardContextual"/>
          </w:rPr>
          <w:tab/>
        </w:r>
        <w:r>
          <w:rPr>
            <w:rStyle w:val="Hyperlink"/>
          </w:rPr>
          <w:t>Amendment in Accordance with a Commission Request</w:t>
        </w:r>
        <w:r>
          <w:rPr>
            <w:webHidden/>
          </w:rPr>
          <w:tab/>
        </w:r>
        <w:r>
          <w:rPr>
            <w:webHidden/>
          </w:rPr>
          <w:fldChar w:fldCharType="begin"/>
        </w:r>
        <w:r>
          <w:rPr>
            <w:webHidden/>
          </w:rPr>
          <w:instrText xml:space="preserve"> PAGEREF _Toc203035682 \h </w:instrText>
        </w:r>
        <w:r>
          <w:rPr>
            <w:webHidden/>
          </w:rPr>
        </w:r>
        <w:r>
          <w:rPr>
            <w:webHidden/>
          </w:rPr>
          <w:fldChar w:fldCharType="separate"/>
        </w:r>
        <w:r>
          <w:rPr>
            <w:webHidden/>
          </w:rPr>
          <w:t>51</w:t>
        </w:r>
        <w:r>
          <w:rPr>
            <w:webHidden/>
          </w:rPr>
          <w:fldChar w:fldCharType="end"/>
        </w:r>
      </w:hyperlink>
    </w:p>
    <w:p w14:paraId="3089DDB6" w14:textId="5A964DBB">
      <w:pPr>
        <w:pStyle w:val="TOC2"/>
        <w:tabs>
          <w:tab w:val="left" w:pos="660"/>
          <w:tab w:val="right" w:leader="dot" w:pos="9016"/>
        </w:tabs>
        <w:rPr>
          <w:rFonts w:eastAsiaTheme="minorEastAsia"/>
          <w:smallCaps w:val="0"/>
          <w:kern w:val="2"/>
          <w:sz w:val="24"/>
          <w:szCs w:val="24"/>
          <w14:ligatures w14:val="standardContextual"/>
        </w:rPr>
      </w:pPr>
      <w:hyperlink w:anchor="_Toc203035683" w:history="1">
        <w:r>
          <w:rPr>
            <w:rStyle w:val="Hyperlink"/>
          </w:rPr>
          <w:t>a.</w:t>
        </w:r>
        <w:r>
          <w:rPr>
            <w:rFonts w:eastAsiaTheme="minorEastAsia"/>
            <w:smallCaps w:val="0"/>
            <w:kern w:val="2"/>
            <w:sz w:val="24"/>
            <w:szCs w:val="24"/>
            <w14:ligatures w14:val="standardContextual"/>
          </w:rPr>
          <w:tab/>
        </w:r>
        <w:r>
          <w:rPr>
            <w:rStyle w:val="Hyperlink"/>
          </w:rPr>
          <w:t>Circumstances That Do Not Constitute Exceptions</w:t>
        </w:r>
        <w:r>
          <w:rPr>
            <w:webHidden/>
          </w:rPr>
          <w:tab/>
        </w:r>
        <w:r>
          <w:rPr>
            <w:webHidden/>
          </w:rPr>
          <w:fldChar w:fldCharType="begin"/>
        </w:r>
        <w:r>
          <w:rPr>
            <w:webHidden/>
          </w:rPr>
          <w:instrText xml:space="preserve"> PAGEREF _Toc203035683 \h </w:instrText>
        </w:r>
        <w:r>
          <w:rPr>
            <w:webHidden/>
          </w:rPr>
        </w:r>
        <w:r>
          <w:rPr>
            <w:webHidden/>
          </w:rPr>
          <w:fldChar w:fldCharType="separate"/>
        </w:r>
        <w:r>
          <w:rPr>
            <w:webHidden/>
          </w:rPr>
          <w:t>52</w:t>
        </w:r>
        <w:r>
          <w:rPr>
            <w:webHidden/>
          </w:rPr>
          <w:fldChar w:fldCharType="end"/>
        </w:r>
      </w:hyperlink>
    </w:p>
    <w:p w14:paraId="340B66C9" w14:textId="65DEBB09">
      <w:pPr>
        <w:pStyle w:val="TOC1"/>
        <w:tabs>
          <w:tab w:val="left" w:pos="660"/>
          <w:tab w:val="right" w:leader="dot" w:pos="9016"/>
        </w:tabs>
        <w:rPr>
          <w:rFonts w:eastAsiaTheme="minorEastAsia"/>
          <w:b w:val="0"/>
          <w:bCs w:val="0"/>
          <w:caps w:val="0"/>
          <w:kern w:val="2"/>
          <w:sz w:val="24"/>
          <w:szCs w:val="24"/>
          <w14:ligatures w14:val="standardContextual"/>
        </w:rPr>
      </w:pPr>
      <w:hyperlink w:anchor="_Toc203035684" w:history="1">
        <w:r>
          <w:rPr>
            <w:rStyle w:val="Hyperlink"/>
          </w:rPr>
          <w:t>IV.</w:t>
        </w:r>
        <w:r>
          <w:rPr>
            <w:rFonts w:eastAsiaTheme="minorEastAsia"/>
            <w:b w:val="0"/>
            <w:bCs w:val="0"/>
            <w:caps w:val="0"/>
            <w:kern w:val="2"/>
            <w:sz w:val="24"/>
            <w:szCs w:val="24"/>
            <w14:ligatures w14:val="standardContextual"/>
          </w:rPr>
          <w:tab/>
        </w:r>
        <w:r>
          <w:rPr>
            <w:rStyle w:val="Hyperlink"/>
          </w:rPr>
          <w:t>Inapplicability</w:t>
        </w:r>
        <w:r>
          <w:rPr>
            <w:webHidden/>
          </w:rPr>
          <w:tab/>
        </w:r>
        <w:r>
          <w:rPr>
            <w:webHidden/>
          </w:rPr>
          <w:fldChar w:fldCharType="begin"/>
        </w:r>
        <w:r>
          <w:rPr>
            <w:webHidden/>
          </w:rPr>
          <w:instrText xml:space="preserve"> PAGEREF _Toc203035684 \h </w:instrText>
        </w:r>
        <w:r>
          <w:rPr>
            <w:webHidden/>
          </w:rPr>
        </w:r>
        <w:r>
          <w:rPr>
            <w:webHidden/>
          </w:rPr>
          <w:fldChar w:fldCharType="separate"/>
        </w:r>
        <w:r>
          <w:rPr>
            <w:webHidden/>
          </w:rPr>
          <w:t>54</w:t>
        </w:r>
        <w:r>
          <w:rPr>
            <w:webHidden/>
          </w:rPr>
          <w:fldChar w:fldCharType="end"/>
        </w:r>
      </w:hyperlink>
    </w:p>
    <w:p w14:paraId="3472F46D" w14:textId="5B898B42">
      <w:pPr>
        <w:pStyle w:val="TOC2"/>
        <w:tabs>
          <w:tab w:val="left" w:pos="660"/>
          <w:tab w:val="right" w:leader="dot" w:pos="9016"/>
        </w:tabs>
        <w:rPr>
          <w:rFonts w:eastAsiaTheme="minorEastAsia"/>
          <w:smallCaps w:val="0"/>
          <w:kern w:val="2"/>
          <w:sz w:val="24"/>
          <w:szCs w:val="24"/>
          <w14:ligatures w14:val="standardContextual"/>
        </w:rPr>
      </w:pPr>
      <w:hyperlink w:anchor="_Toc203035685" w:history="1">
        <w:r>
          <w:rPr>
            <w:rStyle w:val="Hyperlink"/>
            <w:bCs/>
          </w:rPr>
          <w:t>a.</w:t>
        </w:r>
        <w:r>
          <w:rPr>
            <w:rFonts w:eastAsiaTheme="minorEastAsia"/>
            <w:smallCaps w:val="0"/>
            <w:kern w:val="2"/>
            <w:sz w:val="24"/>
            <w:szCs w:val="24"/>
            <w14:ligatures w14:val="standardContextual"/>
          </w:rPr>
          <w:tab/>
        </w:r>
        <w:r>
          <w:rPr>
            <w:rStyle w:val="Hyperlink"/>
          </w:rPr>
          <w:t>Inapplicability in the Event of Non-Notification</w:t>
        </w:r>
        <w:r>
          <w:rPr>
            <w:webHidden/>
          </w:rPr>
          <w:tab/>
        </w:r>
        <w:r>
          <w:rPr>
            <w:webHidden/>
          </w:rPr>
          <w:fldChar w:fldCharType="begin"/>
        </w:r>
        <w:r>
          <w:rPr>
            <w:webHidden/>
          </w:rPr>
          <w:instrText xml:space="preserve"> PAGEREF _Toc203035685 \h </w:instrText>
        </w:r>
        <w:r>
          <w:rPr>
            <w:webHidden/>
          </w:rPr>
        </w:r>
        <w:r>
          <w:rPr>
            <w:webHidden/>
          </w:rPr>
          <w:fldChar w:fldCharType="separate"/>
        </w:r>
        <w:r>
          <w:rPr>
            <w:webHidden/>
          </w:rPr>
          <w:t>54</w:t>
        </w:r>
        <w:r>
          <w:rPr>
            <w:webHidden/>
          </w:rPr>
          <w:fldChar w:fldCharType="end"/>
        </w:r>
      </w:hyperlink>
    </w:p>
    <w:p w14:paraId="3917D769" w14:textId="59C074AB">
      <w:pPr>
        <w:pStyle w:val="TOC2"/>
        <w:tabs>
          <w:tab w:val="left" w:pos="660"/>
          <w:tab w:val="right" w:leader="dot" w:pos="9016"/>
        </w:tabs>
        <w:rPr>
          <w:rFonts w:eastAsiaTheme="minorEastAsia"/>
          <w:smallCaps w:val="0"/>
          <w:kern w:val="2"/>
          <w:sz w:val="24"/>
          <w:szCs w:val="24"/>
          <w14:ligatures w14:val="standardContextual"/>
        </w:rPr>
      </w:pPr>
      <w:hyperlink w:anchor="_Toc203035686" w:history="1">
        <w:r>
          <w:rPr>
            <w:rStyle w:val="Hyperlink"/>
            <w:bCs/>
          </w:rPr>
          <w:t>b.</w:t>
        </w:r>
        <w:r>
          <w:rPr>
            <w:rFonts w:eastAsiaTheme="minorEastAsia"/>
            <w:smallCaps w:val="0"/>
            <w:kern w:val="2"/>
            <w:sz w:val="24"/>
            <w:szCs w:val="24"/>
            <w14:ligatures w14:val="standardContextual"/>
          </w:rPr>
          <w:tab/>
        </w:r>
        <w:r>
          <w:rPr>
            <w:rStyle w:val="Hyperlink"/>
          </w:rPr>
          <w:t>Inapplicability in the Event of Adoption During the Standstill Period</w:t>
        </w:r>
        <w:r>
          <w:rPr>
            <w:webHidden/>
          </w:rPr>
          <w:tab/>
        </w:r>
        <w:r>
          <w:rPr>
            <w:webHidden/>
          </w:rPr>
          <w:fldChar w:fldCharType="begin"/>
        </w:r>
        <w:r>
          <w:rPr>
            <w:webHidden/>
          </w:rPr>
          <w:instrText xml:space="preserve"> PAGEREF _Toc203035686 \h </w:instrText>
        </w:r>
        <w:r>
          <w:rPr>
            <w:webHidden/>
          </w:rPr>
        </w:r>
        <w:r>
          <w:rPr>
            <w:webHidden/>
          </w:rPr>
          <w:fldChar w:fldCharType="separate"/>
        </w:r>
        <w:r>
          <w:rPr>
            <w:webHidden/>
          </w:rPr>
          <w:t>58</w:t>
        </w:r>
        <w:r>
          <w:rPr>
            <w:webHidden/>
          </w:rPr>
          <w:fldChar w:fldCharType="end"/>
        </w:r>
      </w:hyperlink>
    </w:p>
    <w:p w14:paraId="62AF9A81" w14:textId="5B90334F">
      <w:pPr>
        <w:pStyle w:val="TOC2"/>
        <w:tabs>
          <w:tab w:val="left" w:pos="660"/>
          <w:tab w:val="right" w:leader="dot" w:pos="9016"/>
        </w:tabs>
        <w:rPr>
          <w:rFonts w:eastAsiaTheme="minorEastAsia"/>
          <w:smallCaps w:val="0"/>
          <w:kern w:val="2"/>
          <w:sz w:val="24"/>
          <w:szCs w:val="24"/>
          <w14:ligatures w14:val="standardContextual"/>
        </w:rPr>
      </w:pPr>
      <w:hyperlink w:anchor="_Toc203035687" w:history="1">
        <w:r>
          <w:rPr>
            <w:rStyle w:val="Hyperlink"/>
            <w:bCs/>
          </w:rPr>
          <w:t>c.</w:t>
        </w:r>
        <w:r>
          <w:rPr>
            <w:rFonts w:eastAsiaTheme="minorEastAsia"/>
            <w:smallCaps w:val="0"/>
            <w:kern w:val="2"/>
            <w:sz w:val="24"/>
            <w:szCs w:val="24"/>
            <w14:ligatures w14:val="standardContextual"/>
          </w:rPr>
          <w:tab/>
        </w:r>
        <w:r>
          <w:rPr>
            <w:rStyle w:val="Hyperlink"/>
          </w:rPr>
          <w:t>Clarification as to the Effect of Inapplicability</w:t>
        </w:r>
        <w:r>
          <w:rPr>
            <w:webHidden/>
          </w:rPr>
          <w:tab/>
        </w:r>
        <w:r>
          <w:rPr>
            <w:webHidden/>
          </w:rPr>
          <w:fldChar w:fldCharType="begin"/>
        </w:r>
        <w:r>
          <w:rPr>
            <w:webHidden/>
          </w:rPr>
          <w:instrText xml:space="preserve"> PAGEREF _Toc203035687 \h </w:instrText>
        </w:r>
        <w:r>
          <w:rPr>
            <w:webHidden/>
          </w:rPr>
        </w:r>
        <w:r>
          <w:rPr>
            <w:webHidden/>
          </w:rPr>
          <w:fldChar w:fldCharType="separate"/>
        </w:r>
        <w:r>
          <w:rPr>
            <w:webHidden/>
          </w:rPr>
          <w:t>60</w:t>
        </w:r>
        <w:r>
          <w:rPr>
            <w:webHidden/>
          </w:rPr>
          <w:fldChar w:fldCharType="end"/>
        </w:r>
      </w:hyperlink>
    </w:p>
    <w:p w14:paraId="05C72C05" w14:textId="53813097">
      <w:pPr>
        <w:pStyle w:val="TOC2"/>
        <w:tabs>
          <w:tab w:val="left" w:pos="660"/>
          <w:tab w:val="right" w:leader="dot" w:pos="9016"/>
        </w:tabs>
        <w:rPr>
          <w:rFonts w:eastAsiaTheme="minorEastAsia"/>
          <w:smallCaps w:val="0"/>
          <w:kern w:val="2"/>
          <w:sz w:val="24"/>
          <w:szCs w:val="24"/>
          <w14:ligatures w14:val="standardContextual"/>
        </w:rPr>
      </w:pPr>
      <w:hyperlink w:anchor="_Toc203035688" w:history="1">
        <w:r>
          <w:rPr>
            <w:rStyle w:val="Hyperlink"/>
            <w:bCs/>
          </w:rPr>
          <w:t>d.</w:t>
        </w:r>
        <w:r>
          <w:rPr>
            <w:rFonts w:eastAsiaTheme="minorEastAsia"/>
            <w:smallCaps w:val="0"/>
            <w:kern w:val="2"/>
            <w:sz w:val="24"/>
            <w:szCs w:val="24"/>
            <w14:ligatures w14:val="standardContextual"/>
          </w:rPr>
          <w:tab/>
        </w:r>
        <w:r>
          <w:rPr>
            <w:rStyle w:val="Hyperlink"/>
          </w:rPr>
          <w:t>Infringement Procedure</w:t>
        </w:r>
        <w:r>
          <w:rPr>
            <w:webHidden/>
          </w:rPr>
          <w:tab/>
        </w:r>
        <w:r>
          <w:rPr>
            <w:webHidden/>
          </w:rPr>
          <w:fldChar w:fldCharType="begin"/>
        </w:r>
        <w:r>
          <w:rPr>
            <w:webHidden/>
          </w:rPr>
          <w:instrText xml:space="preserve"> PAGEREF _Toc203035688 \h </w:instrText>
        </w:r>
        <w:r>
          <w:rPr>
            <w:webHidden/>
          </w:rPr>
        </w:r>
        <w:r>
          <w:rPr>
            <w:webHidden/>
          </w:rPr>
          <w:fldChar w:fldCharType="separate"/>
        </w:r>
        <w:r>
          <w:rPr>
            <w:webHidden/>
          </w:rPr>
          <w:t>61</w:t>
        </w:r>
        <w:r>
          <w:rPr>
            <w:webHidden/>
          </w:rPr>
          <w:fldChar w:fldCharType="end"/>
        </w:r>
      </w:hyperlink>
    </w:p>
    <w:p w14:paraId="58AB357B" w14:textId="44F07789">
      <w:pPr>
        <w:pStyle w:val="P68B1DB1-Normal4"/>
        <w:spacing w:line="278" w:lineRule="auto"/>
        <w:rPr>
          <w:rFonts w:ascii="Times New Roman" w:hAnsi="Times New Roman" w:cs="Times New Roman"/>
        </w:rPr>
      </w:pPr>
      <w:r>
        <w:rPr>
          <w:rFonts w:ascii="Times New Roman" w:hAnsi="Times New Roman" w:cs="Times New Roman"/>
        </w:rPr>
        <w:fldChar w:fldCharType="end"/>
      </w:r>
    </w:p>
    <w:p w14:paraId="0EC5AF49" w14:textId="77777777">
      <w:pPr>
        <w:spacing w:line="278" w:lineRule="auto"/>
        <w:rPr>
          <w:sz w:val="20"/>
        </w:rPr>
      </w:pPr>
      <w:r>
        <w:br w:type="page"/>
      </w:r>
    </w:p>
    <w:p w14:paraId="6635D92A" w14:textId="484720D6">
      <w:pPr>
        <w:pStyle w:val="P68B1DB1-Normal4"/>
        <w:spacing w:line="278" w:lineRule="auto"/>
        <w:jc w:val="both"/>
      </w:pPr>
      <w:r>
        <w:rPr>
          <w:rFonts w:ascii="Times New Roman" w:hAnsi="Times New Roman" w:cs="Times New Roman"/>
          <w:sz w:val="24"/>
          <w:szCs w:val="24"/>
        </w:rPr>
        <w:t xml:space="preserve">Decyzje, na podstawie których sporządzono fragmenty niniejszego dokumentu, odnoszą się do kolejnych dyrektyw ustanawiających procedurę udzielania informacji w dziedzinie przepisów technicznych. Poniższa tabela równoważności ilustruje ciągłość ich głównych przepisów</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7EF257CD" w14:textId="77777777">
      <w:pPr>
        <w:spacing w:after="0" w:line="240" w:lineRule="auto"/>
        <w:jc w:val="both"/>
        <w:rPr>
          <w:rFonts w:ascii="Times New Roman" w:hAnsi="Times New Roman" w:cs="Times New Roman"/>
          <w:sz w:val="24"/>
          <w:szCs w:val="24"/>
        </w:rPr>
      </w:pPr>
    </w:p>
    <w:p w14:paraId="31BFF92A" w14:textId="3BC8AB17">
      <w:pPr>
        <w:pStyle w:val="P68B1DB1-Normal5"/>
        <w:spacing w:after="0" w:line="240" w:lineRule="auto"/>
        <w:jc w:val="center"/>
        <w:rPr>
          <w:bCs/>
        </w:rPr>
      </w:pPr>
      <w:r>
        <w:t xml:space="preserve">Tabela równoważności przepisów głównych </w:t>
      </w:r>
    </w:p>
    <w:p w14:paraId="74F41B86" w14:textId="7258661E">
      <w:pPr>
        <w:pStyle w:val="P68B1DB1-Normal5"/>
        <w:spacing w:after="0" w:line="240" w:lineRule="auto"/>
        <w:jc w:val="center"/>
        <w:rPr>
          <w:bCs/>
        </w:rPr>
      </w:pPr>
      <w:r>
        <w:t xml:space="preserve">Dyrektywy (UE) 2015/1535, 98/34/WE i 83/189/EWG</w:t>
      </w:r>
    </w:p>
    <w:p w14:paraId="3AD91D64" w14:textId="77777777">
      <w:pPr>
        <w:spacing w:after="0" w:line="240" w:lineRule="auto"/>
      </w:pPr>
    </w:p>
    <w:tbl>
      <w:tblPr>
        <w:tblStyle w:val="TableGrid"/>
        <w:tblW w:w="10206" w:type="dxa"/>
        <w:tblInd w:w="-572" w:type="dxa"/>
        <w:tblLook w:val="04A0" w:firstRow="1" w:lastRow="0" w:firstColumn="1" w:lastColumn="0" w:noHBand="0" w:noVBand="1"/>
      </w:tblPr>
      <w:tblGrid>
        <w:gridCol w:w="3119"/>
        <w:gridCol w:w="2457"/>
        <w:gridCol w:w="2315"/>
        <w:gridCol w:w="2315"/>
      </w:tblGrid>
      <w:tr w14:paraId="3A08F315" w14:textId="77777777">
        <w:trPr>
          <w:trHeight w:val="599"/>
        </w:trPr>
        <w:tc>
          <w:tcPr>
            <w:tcW w:w="3119" w:type="dxa"/>
            <w:shd w:val="clear" w:color="auto" w:fill="auto"/>
          </w:tcPr>
          <w:p w14:paraId="364945D8" w14:textId="2E5772D6">
            <w:pPr>
              <w:pStyle w:val="P68B1DB1-Normal6"/>
              <w:spacing w:line="240" w:lineRule="auto"/>
              <w:rPr>
                <w:bCs/>
              </w:rPr>
            </w:pPr>
            <w:r>
              <w:t xml:space="preserve">Treść przepisów</w:t>
            </w:r>
          </w:p>
        </w:tc>
        <w:tc>
          <w:tcPr>
            <w:tcW w:w="2457" w:type="dxa"/>
            <w:shd w:val="clear" w:color="auto" w:fill="auto"/>
          </w:tcPr>
          <w:p w14:paraId="34093202" w14:textId="25E58692">
            <w:pPr>
              <w:spacing w:line="240" w:lineRule="auto"/>
              <w:rPr>
                <w:rFonts w:ascii="Times New Roman" w:hAnsi="Times New Roman" w:cs="Times New Roman"/>
                <w:b/>
                <w:bCs/>
                <w:sz w:val="24"/>
                <w:szCs w:val="24"/>
              </w:rPr>
            </w:pPr>
            <w:hyperlink r:id="rId8" w:history="1">
              <w:r>
                <w:rPr>
                  <w:rStyle w:val="Hyperlink"/>
                  <w:rFonts w:ascii="Times New Roman" w:hAnsi="Times New Roman" w:cs="Times New Roman"/>
                  <w:b/>
                  <w:color w:val="0000FF"/>
                  <w:sz w:val="24"/>
                  <w:szCs w:val="24"/>
                </w:rPr>
                <w:t xml:space="preserve">Dyrektywa (UE) 2015/1535</w:t>
              </w:r>
            </w:hyperlink>
            <w:r>
              <w:rPr>
                <w:rStyle w:val="FootnoteReference"/>
                <w:rFonts w:ascii="Times New Roman" w:hAnsi="Times New Roman" w:cs="Times New Roman"/>
                <w:sz w:val="24"/>
                <w:szCs w:val="24"/>
              </w:rPr>
              <w:footnoteReference w:id="2"/>
            </w:r>
          </w:p>
        </w:tc>
        <w:tc>
          <w:tcPr>
            <w:tcW w:w="2315" w:type="dxa"/>
            <w:shd w:val="clear" w:color="auto" w:fill="auto"/>
          </w:tcPr>
          <w:p w14:paraId="5FD03597" w14:textId="330E7145">
            <w:pPr>
              <w:spacing w:line="240" w:lineRule="auto"/>
              <w:rPr>
                <w:rFonts w:ascii="Times New Roman" w:hAnsi="Times New Roman" w:cs="Times New Roman"/>
                <w:b/>
                <w:bCs/>
                <w:sz w:val="24"/>
                <w:szCs w:val="24"/>
              </w:rPr>
            </w:pPr>
            <w:hyperlink r:id="rId9" w:history="1">
              <w:r>
                <w:rPr>
                  <w:rStyle w:val="Hyperlink"/>
                  <w:rFonts w:ascii="Times New Roman" w:hAnsi="Times New Roman" w:cs="Times New Roman"/>
                  <w:b/>
                  <w:color w:val="0000FF"/>
                  <w:sz w:val="24"/>
                  <w:szCs w:val="24"/>
                </w:rPr>
                <w:t xml:space="preserve">Dyrektywa 98/34/WE</w:t>
              </w:r>
            </w:hyperlink>
            <w:r>
              <w:rPr>
                <w:rStyle w:val="FootnoteReference"/>
                <w:rFonts w:ascii="Times New Roman" w:hAnsi="Times New Roman" w:cs="Times New Roman"/>
                <w:sz w:val="24"/>
                <w:szCs w:val="24"/>
              </w:rPr>
              <w:footnoteReference w:id="3"/>
            </w:r>
          </w:p>
        </w:tc>
        <w:tc>
          <w:tcPr>
            <w:tcW w:w="2315" w:type="dxa"/>
            <w:shd w:val="clear" w:color="auto" w:fill="auto"/>
          </w:tcPr>
          <w:p w14:paraId="51A4CAE7" w14:textId="73C3CCF3">
            <w:pPr>
              <w:spacing w:line="240" w:lineRule="auto"/>
              <w:rPr>
                <w:rFonts w:ascii="Times New Roman" w:hAnsi="Times New Roman" w:cs="Times New Roman"/>
                <w:b/>
                <w:bCs/>
                <w:sz w:val="24"/>
                <w:szCs w:val="24"/>
              </w:rPr>
            </w:pPr>
            <w:hyperlink r:id="rId10" w:history="1">
              <w:r>
                <w:rPr>
                  <w:rStyle w:val="Hyperlink"/>
                  <w:rFonts w:ascii="Times New Roman" w:hAnsi="Times New Roman" w:cs="Times New Roman"/>
                  <w:b/>
                  <w:color w:val="0000FF"/>
                  <w:sz w:val="24"/>
                  <w:szCs w:val="24"/>
                </w:rPr>
                <w:t xml:space="preserve">Dyrektywa 83/189/EWG</w:t>
              </w:r>
            </w:hyperlink>
            <w:r>
              <w:rPr>
                <w:rStyle w:val="FootnoteReference"/>
                <w:rFonts w:ascii="Times New Roman" w:hAnsi="Times New Roman" w:cs="Times New Roman"/>
                <w:sz w:val="24"/>
                <w:szCs w:val="24"/>
              </w:rPr>
              <w:footnoteReference w:id="4"/>
            </w:r>
          </w:p>
        </w:tc>
      </w:tr>
      <w:tr w14:paraId="72585BFB" w14:textId="77777777">
        <w:trPr>
          <w:trHeight w:val="599"/>
        </w:trPr>
        <w:tc>
          <w:tcPr>
            <w:tcW w:w="3119" w:type="dxa"/>
          </w:tcPr>
          <w:p w14:paraId="04624D71" w14:textId="77777777">
            <w:pPr>
              <w:pStyle w:val="P68B1DB1-Normal7"/>
              <w:spacing w:line="240" w:lineRule="auto"/>
            </w:pPr>
            <w:r>
              <w:t xml:space="preserve">Definicja „produktów”</w:t>
            </w:r>
          </w:p>
        </w:tc>
        <w:tc>
          <w:tcPr>
            <w:tcW w:w="2457" w:type="dxa"/>
          </w:tcPr>
          <w:p w14:paraId="4A418F3D" w14:textId="11CADE6C">
            <w:pPr>
              <w:pStyle w:val="P68B1DB1-Normal7"/>
              <w:spacing w:line="240" w:lineRule="auto"/>
            </w:pPr>
            <w:r>
              <w:t xml:space="preserve">Artykuł 1 ust. 1a</w:t>
            </w:r>
          </w:p>
        </w:tc>
        <w:tc>
          <w:tcPr>
            <w:tcW w:w="2315" w:type="dxa"/>
          </w:tcPr>
          <w:p w14:paraId="5020F0EC" w14:textId="29FBC8B8">
            <w:pPr>
              <w:pStyle w:val="P68B1DB1-Normal7"/>
              <w:spacing w:line="240" w:lineRule="auto"/>
            </w:pPr>
            <w:r>
              <w:t xml:space="preserve">Artykuł 1 ust. 1</w:t>
            </w:r>
          </w:p>
        </w:tc>
        <w:tc>
          <w:tcPr>
            <w:tcW w:w="2315" w:type="dxa"/>
          </w:tcPr>
          <w:p w14:paraId="1AC77ECE" w14:textId="6BC392C6">
            <w:pPr>
              <w:pStyle w:val="P68B1DB1-Normal7"/>
              <w:spacing w:line="240" w:lineRule="auto"/>
            </w:pPr>
            <w:r>
              <w:t xml:space="preserve">Artykuł 1 ustęp 7</w:t>
            </w:r>
          </w:p>
        </w:tc>
      </w:tr>
      <w:tr w14:paraId="4F3F95AF" w14:textId="77777777">
        <w:trPr>
          <w:trHeight w:val="599"/>
        </w:trPr>
        <w:tc>
          <w:tcPr>
            <w:tcW w:w="3119" w:type="dxa"/>
          </w:tcPr>
          <w:p w14:paraId="42CDA066" w14:textId="77777777">
            <w:pPr>
              <w:pStyle w:val="P68B1DB1-Normal7"/>
              <w:spacing w:line="240" w:lineRule="auto"/>
            </w:pPr>
            <w:r>
              <w:t xml:space="preserve">Definicja „usług”</w:t>
            </w:r>
          </w:p>
        </w:tc>
        <w:tc>
          <w:tcPr>
            <w:tcW w:w="2457" w:type="dxa"/>
          </w:tcPr>
          <w:p w14:paraId="658F3867" w14:textId="6E2F4A98">
            <w:pPr>
              <w:pStyle w:val="P68B1DB1-Normal7"/>
              <w:spacing w:line="240" w:lineRule="auto"/>
            </w:pPr>
            <w:r>
              <w:t xml:space="preserve">Art. 1 ust 1 lit. b)</w:t>
            </w:r>
          </w:p>
        </w:tc>
        <w:tc>
          <w:tcPr>
            <w:tcW w:w="2315" w:type="dxa"/>
          </w:tcPr>
          <w:p w14:paraId="4273AEF8" w14:textId="51C8B937">
            <w:pPr>
              <w:pStyle w:val="P68B1DB1-Normal7"/>
              <w:spacing w:line="240" w:lineRule="auto"/>
            </w:pPr>
            <w:r>
              <w:t xml:space="preserve">Artykuł 1 ust. 2</w:t>
            </w:r>
          </w:p>
        </w:tc>
        <w:tc>
          <w:tcPr>
            <w:tcW w:w="2315" w:type="dxa"/>
          </w:tcPr>
          <w:p w14:paraId="6B0C3AFB" w14:textId="2BD4E0BD">
            <w:pPr>
              <w:pStyle w:val="P68B1DB1-Normal7"/>
              <w:spacing w:line="240" w:lineRule="auto"/>
              <w:jc w:val="center"/>
            </w:pPr>
            <w:r>
              <w:t>___</w:t>
            </w:r>
          </w:p>
        </w:tc>
      </w:tr>
      <w:tr w14:paraId="576462BF" w14:textId="77777777">
        <w:trPr>
          <w:trHeight w:val="599"/>
        </w:trPr>
        <w:tc>
          <w:tcPr>
            <w:tcW w:w="3119" w:type="dxa"/>
          </w:tcPr>
          <w:p w14:paraId="555E46FF" w14:textId="77777777">
            <w:pPr>
              <w:pStyle w:val="P68B1DB1-Normal7"/>
              <w:spacing w:line="240" w:lineRule="auto"/>
            </w:pPr>
            <w:r>
              <w:t xml:space="preserve">Definicja „specyfikacji technicznej”</w:t>
            </w:r>
          </w:p>
        </w:tc>
        <w:tc>
          <w:tcPr>
            <w:tcW w:w="2457" w:type="dxa"/>
          </w:tcPr>
          <w:p w14:paraId="1CD6781C" w14:textId="4816FB95">
            <w:pPr>
              <w:pStyle w:val="P68B1DB1-Normal7"/>
              <w:spacing w:line="240" w:lineRule="auto"/>
            </w:pPr>
            <w:r>
              <w:t xml:space="preserve">Artykuł 1 ust. 1 lit. c)</w:t>
            </w:r>
          </w:p>
        </w:tc>
        <w:tc>
          <w:tcPr>
            <w:tcW w:w="2315" w:type="dxa"/>
          </w:tcPr>
          <w:p w14:paraId="6ACA8AFC" w14:textId="5CBBFC47">
            <w:pPr>
              <w:pStyle w:val="P68B1DB1-Normal7"/>
              <w:spacing w:line="240" w:lineRule="auto"/>
            </w:pPr>
            <w:r>
              <w:t xml:space="preserve">Artykuł 1 ust. 3</w:t>
            </w:r>
          </w:p>
        </w:tc>
        <w:tc>
          <w:tcPr>
            <w:tcW w:w="2315" w:type="dxa"/>
          </w:tcPr>
          <w:p w14:paraId="7742C3F4" w14:textId="668574B6">
            <w:pPr>
              <w:pStyle w:val="P68B1DB1-Normal7"/>
              <w:spacing w:line="240" w:lineRule="auto"/>
            </w:pPr>
            <w:r>
              <w:t xml:space="preserve">Artykuł 1 ust. 1</w:t>
            </w:r>
          </w:p>
        </w:tc>
      </w:tr>
      <w:tr w14:paraId="39DCA993" w14:textId="77777777">
        <w:trPr>
          <w:trHeight w:val="599"/>
        </w:trPr>
        <w:tc>
          <w:tcPr>
            <w:tcW w:w="3119" w:type="dxa"/>
          </w:tcPr>
          <w:p w14:paraId="412D2403" w14:textId="77777777">
            <w:pPr>
              <w:pStyle w:val="P68B1DB1-Normal7"/>
              <w:spacing w:line="240" w:lineRule="auto"/>
            </w:pPr>
            <w:r>
              <w:t xml:space="preserve">Definicja „innych wymagań”</w:t>
            </w:r>
          </w:p>
        </w:tc>
        <w:tc>
          <w:tcPr>
            <w:tcW w:w="2457" w:type="dxa"/>
          </w:tcPr>
          <w:p w14:paraId="7BCB4CC5" w14:textId="4C804DFA">
            <w:pPr>
              <w:pStyle w:val="P68B1DB1-Normal7"/>
              <w:spacing w:line="240" w:lineRule="auto"/>
            </w:pPr>
            <w:r>
              <w:t xml:space="preserve">Artykuł 1 ust. 1 lit. d)</w:t>
            </w:r>
          </w:p>
        </w:tc>
        <w:tc>
          <w:tcPr>
            <w:tcW w:w="2315" w:type="dxa"/>
          </w:tcPr>
          <w:p w14:paraId="414D1EEC" w14:textId="18CAA0FE">
            <w:pPr>
              <w:pStyle w:val="P68B1DB1-Normal7"/>
              <w:spacing w:line="240" w:lineRule="auto"/>
            </w:pPr>
            <w:r>
              <w:t xml:space="preserve">Artykuł 1 ust. 4</w:t>
            </w:r>
          </w:p>
        </w:tc>
        <w:tc>
          <w:tcPr>
            <w:tcW w:w="2315" w:type="dxa"/>
          </w:tcPr>
          <w:p w14:paraId="46A8193A" w14:textId="477D2F0E">
            <w:pPr>
              <w:pStyle w:val="P68B1DB1-Normal7"/>
              <w:spacing w:line="240" w:lineRule="auto"/>
              <w:jc w:val="center"/>
            </w:pPr>
            <w:r>
              <w:t>___</w:t>
            </w:r>
          </w:p>
        </w:tc>
      </w:tr>
      <w:tr w14:paraId="48F0D2A4" w14:textId="77777777">
        <w:trPr>
          <w:trHeight w:val="599"/>
        </w:trPr>
        <w:tc>
          <w:tcPr>
            <w:tcW w:w="3119" w:type="dxa"/>
          </w:tcPr>
          <w:p w14:paraId="61624EA2" w14:textId="77777777">
            <w:pPr>
              <w:pStyle w:val="P68B1DB1-Normal7"/>
              <w:spacing w:line="240" w:lineRule="auto"/>
            </w:pPr>
            <w:r>
              <w:t xml:space="preserve">Definicja „zasady dotyczącej usług”</w:t>
            </w:r>
          </w:p>
        </w:tc>
        <w:tc>
          <w:tcPr>
            <w:tcW w:w="2457" w:type="dxa"/>
          </w:tcPr>
          <w:p w14:paraId="136F7BB7" w14:textId="4AA67A90">
            <w:pPr>
              <w:pStyle w:val="P68B1DB1-Normal7"/>
              <w:spacing w:line="240" w:lineRule="auto"/>
            </w:pPr>
            <w:r>
              <w:t xml:space="preserve">Artykuł 1 ust. 1 lit. e)</w:t>
            </w:r>
          </w:p>
        </w:tc>
        <w:tc>
          <w:tcPr>
            <w:tcW w:w="2315" w:type="dxa"/>
          </w:tcPr>
          <w:p w14:paraId="36E9CD4F" w14:textId="1B75247A">
            <w:pPr>
              <w:pStyle w:val="P68B1DB1-Normal7"/>
              <w:spacing w:line="240" w:lineRule="auto"/>
            </w:pPr>
            <w:r>
              <w:t xml:space="preserve">Artykuł 1 ust. 5</w:t>
            </w:r>
          </w:p>
        </w:tc>
        <w:tc>
          <w:tcPr>
            <w:tcW w:w="2315" w:type="dxa"/>
          </w:tcPr>
          <w:p w14:paraId="42762185" w14:textId="37A509CA">
            <w:pPr>
              <w:pStyle w:val="P68B1DB1-Normal7"/>
              <w:spacing w:line="240" w:lineRule="auto"/>
              <w:jc w:val="center"/>
            </w:pPr>
            <w:r>
              <w:t>___</w:t>
            </w:r>
          </w:p>
        </w:tc>
      </w:tr>
      <w:tr w14:paraId="4622E632" w14:textId="77777777">
        <w:trPr>
          <w:trHeight w:val="599"/>
        </w:trPr>
        <w:tc>
          <w:tcPr>
            <w:tcW w:w="3119" w:type="dxa"/>
          </w:tcPr>
          <w:p w14:paraId="59CDC9EC" w14:textId="77777777">
            <w:pPr>
              <w:pStyle w:val="P68B1DB1-Normal7"/>
              <w:spacing w:line="240" w:lineRule="auto"/>
            </w:pPr>
            <w:r>
              <w:t xml:space="preserve">Pojęcie „przepisu technicznego”</w:t>
            </w:r>
          </w:p>
        </w:tc>
        <w:tc>
          <w:tcPr>
            <w:tcW w:w="2457" w:type="dxa"/>
          </w:tcPr>
          <w:p w14:paraId="46C85599" w14:textId="1342B29E">
            <w:pPr>
              <w:pStyle w:val="P68B1DB1-Normal7"/>
              <w:spacing w:line="240" w:lineRule="auto"/>
            </w:pPr>
            <w:r>
              <w:t xml:space="preserve">Artykuł 1 ust. 1 lit. f)</w:t>
            </w:r>
          </w:p>
        </w:tc>
        <w:tc>
          <w:tcPr>
            <w:tcW w:w="2315" w:type="dxa"/>
          </w:tcPr>
          <w:p w14:paraId="0E88B9E2" w14:textId="31F951B8">
            <w:pPr>
              <w:pStyle w:val="P68B1DB1-Normal7"/>
              <w:spacing w:line="240" w:lineRule="auto"/>
            </w:pPr>
            <w:r>
              <w:t xml:space="preserve">Artykuł 1 ust. 11</w:t>
            </w:r>
          </w:p>
        </w:tc>
        <w:tc>
          <w:tcPr>
            <w:tcW w:w="2315" w:type="dxa"/>
          </w:tcPr>
          <w:p w14:paraId="2E4FCAC6" w14:textId="1930FF48">
            <w:pPr>
              <w:pStyle w:val="P68B1DB1-Normal7"/>
              <w:spacing w:line="240" w:lineRule="auto"/>
            </w:pPr>
            <w:r>
              <w:t xml:space="preserve">Artykuł 1 ust. 5</w:t>
            </w:r>
          </w:p>
        </w:tc>
      </w:tr>
      <w:tr w14:paraId="0C829266" w14:textId="77777777">
        <w:trPr>
          <w:trHeight w:val="599"/>
        </w:trPr>
        <w:tc>
          <w:tcPr>
            <w:tcW w:w="3119" w:type="dxa"/>
          </w:tcPr>
          <w:p w14:paraId="2E36B6FC" w14:textId="77777777">
            <w:pPr>
              <w:pStyle w:val="P68B1DB1-Normal7"/>
              <w:spacing w:line="240" w:lineRule="auto"/>
            </w:pPr>
            <w:r>
              <w:t xml:space="preserve">Obowiązek powiadamiania</w:t>
            </w:r>
          </w:p>
        </w:tc>
        <w:tc>
          <w:tcPr>
            <w:tcW w:w="2457" w:type="dxa"/>
          </w:tcPr>
          <w:p w14:paraId="04169FF7" w14:textId="77777777">
            <w:pPr>
              <w:pStyle w:val="P68B1DB1-Normal7"/>
              <w:spacing w:line="240" w:lineRule="auto"/>
            </w:pPr>
            <w:r>
              <w:t xml:space="preserve">Art. 5 ust. 1 zdanie pierwsze</w:t>
            </w:r>
          </w:p>
        </w:tc>
        <w:tc>
          <w:tcPr>
            <w:tcW w:w="2315" w:type="dxa"/>
          </w:tcPr>
          <w:p w14:paraId="730385F8" w14:textId="77777777">
            <w:pPr>
              <w:pStyle w:val="P68B1DB1-Normal7"/>
              <w:spacing w:line="240" w:lineRule="auto"/>
            </w:pPr>
            <w:r>
              <w:t xml:space="preserve">Art. 8 ust. 1 zdanie pierwsze</w:t>
            </w:r>
          </w:p>
        </w:tc>
        <w:tc>
          <w:tcPr>
            <w:tcW w:w="2315" w:type="dxa"/>
          </w:tcPr>
          <w:p w14:paraId="6937609F" w14:textId="5A2377E0">
            <w:pPr>
              <w:pStyle w:val="P68B1DB1-Normal8"/>
              <w:spacing w:line="240" w:lineRule="auto"/>
            </w:pPr>
            <w:r>
              <w:t xml:space="preserve">Artykuł 8 ust. 1</w:t>
            </w:r>
          </w:p>
        </w:tc>
      </w:tr>
      <w:tr w14:paraId="4472DE96" w14:textId="77777777">
        <w:trPr>
          <w:trHeight w:val="599"/>
        </w:trPr>
        <w:tc>
          <w:tcPr>
            <w:tcW w:w="3119" w:type="dxa"/>
          </w:tcPr>
          <w:p w14:paraId="08371658" w14:textId="2AE2569B">
            <w:pPr>
              <w:pStyle w:val="P68B1DB1-Normal7"/>
              <w:spacing w:line="240" w:lineRule="auto"/>
            </w:pPr>
            <w:r>
              <w:t xml:space="preserve">Powiadomienie o przepisach podstawowych lub odnośnych przepisach</w:t>
            </w:r>
          </w:p>
        </w:tc>
        <w:tc>
          <w:tcPr>
            <w:tcW w:w="2457" w:type="dxa"/>
          </w:tcPr>
          <w:p w14:paraId="4460E5CA" w14:textId="77777777">
            <w:pPr>
              <w:pStyle w:val="P68B1DB1-Normal7"/>
              <w:spacing w:line="240" w:lineRule="auto"/>
            </w:pPr>
            <w:r>
              <w:t xml:space="preserve">Art. 5 ust. 1 zdanie drugie</w:t>
            </w:r>
          </w:p>
        </w:tc>
        <w:tc>
          <w:tcPr>
            <w:tcW w:w="2315" w:type="dxa"/>
          </w:tcPr>
          <w:p w14:paraId="545C5C96" w14:textId="77777777">
            <w:pPr>
              <w:pStyle w:val="P68B1DB1-Normal7"/>
              <w:spacing w:line="240" w:lineRule="auto"/>
            </w:pPr>
            <w:r>
              <w:t xml:space="preserve">Art. 8 ust. 1 zdanie drugie</w:t>
            </w:r>
          </w:p>
        </w:tc>
        <w:tc>
          <w:tcPr>
            <w:tcW w:w="2315" w:type="dxa"/>
          </w:tcPr>
          <w:p w14:paraId="7658B70A" w14:textId="43A43C7F">
            <w:pPr>
              <w:pStyle w:val="P68B1DB1-Normal7"/>
              <w:spacing w:line="240" w:lineRule="auto"/>
              <w:jc w:val="center"/>
              <w:rPr>
                <w:rFonts w:eastAsia="Times New Roman"/>
              </w:rPr>
            </w:pPr>
            <w:r>
              <w:t>___</w:t>
            </w:r>
          </w:p>
        </w:tc>
      </w:tr>
      <w:tr w14:paraId="6E207C21" w14:textId="77777777">
        <w:trPr>
          <w:trHeight w:val="599"/>
        </w:trPr>
        <w:tc>
          <w:tcPr>
            <w:tcW w:w="3119" w:type="dxa"/>
          </w:tcPr>
          <w:p w14:paraId="05D20653" w14:textId="1C493645">
            <w:pPr>
              <w:pStyle w:val="P68B1DB1-Normal7"/>
              <w:spacing w:line="240" w:lineRule="auto"/>
            </w:pPr>
            <w:r>
              <w:t xml:space="preserve">Ponowne powiadomienie w okresie zawieszenia</w:t>
            </w:r>
          </w:p>
        </w:tc>
        <w:tc>
          <w:tcPr>
            <w:tcW w:w="2457" w:type="dxa"/>
          </w:tcPr>
          <w:p w14:paraId="65494BDB" w14:textId="77777777">
            <w:pPr>
              <w:pStyle w:val="P68B1DB1-Normal7"/>
              <w:spacing w:line="240" w:lineRule="auto"/>
            </w:pPr>
            <w:r>
              <w:t xml:space="preserve">Art. 5 ust. 1 zdanie trzecie</w:t>
            </w:r>
          </w:p>
        </w:tc>
        <w:tc>
          <w:tcPr>
            <w:tcW w:w="2315" w:type="dxa"/>
          </w:tcPr>
          <w:p w14:paraId="47F0091E" w14:textId="77777777">
            <w:pPr>
              <w:pStyle w:val="P68B1DB1-Normal7"/>
              <w:spacing w:line="240" w:lineRule="auto"/>
            </w:pPr>
            <w:r>
              <w:t xml:space="preserve">Art. 8 ust. 1 zdanie trzecie</w:t>
            </w:r>
          </w:p>
        </w:tc>
        <w:tc>
          <w:tcPr>
            <w:tcW w:w="2315" w:type="dxa"/>
          </w:tcPr>
          <w:p w14:paraId="5E9AA7B4" w14:textId="7B61CCCA">
            <w:pPr>
              <w:pStyle w:val="P68B1DB1-Normal7"/>
              <w:spacing w:line="240" w:lineRule="auto"/>
              <w:jc w:val="center"/>
              <w:rPr>
                <w:rFonts w:eastAsia="Times New Roman"/>
              </w:rPr>
            </w:pPr>
            <w:r>
              <w:t>___</w:t>
            </w:r>
          </w:p>
        </w:tc>
      </w:tr>
      <w:tr w14:paraId="7EEDDE8A" w14:textId="77777777">
        <w:trPr>
          <w:trHeight w:val="599"/>
        </w:trPr>
        <w:tc>
          <w:tcPr>
            <w:tcW w:w="3119" w:type="dxa"/>
          </w:tcPr>
          <w:p w14:paraId="6F46F2B9" w14:textId="77777777">
            <w:pPr>
              <w:pStyle w:val="P68B1DB1-Normal7"/>
              <w:spacing w:line="240" w:lineRule="auto"/>
            </w:pPr>
            <w:r>
              <w:t xml:space="preserve">Okres zawieszenia</w:t>
            </w:r>
          </w:p>
        </w:tc>
        <w:tc>
          <w:tcPr>
            <w:tcW w:w="2457" w:type="dxa"/>
          </w:tcPr>
          <w:p w14:paraId="0FDAA36A" w14:textId="77777777">
            <w:pPr>
              <w:pStyle w:val="P68B1DB1-Normal7"/>
              <w:spacing w:line="240" w:lineRule="auto"/>
            </w:pPr>
            <w:r>
              <w:t xml:space="preserve">Artykuł 6</w:t>
            </w:r>
          </w:p>
        </w:tc>
        <w:tc>
          <w:tcPr>
            <w:tcW w:w="2315" w:type="dxa"/>
          </w:tcPr>
          <w:p w14:paraId="51BBC4E4" w14:textId="77777777">
            <w:pPr>
              <w:pStyle w:val="P68B1DB1-Normal7"/>
              <w:spacing w:line="240" w:lineRule="auto"/>
            </w:pPr>
            <w:r>
              <w:t xml:space="preserve">Artykuł 9</w:t>
            </w:r>
          </w:p>
        </w:tc>
        <w:tc>
          <w:tcPr>
            <w:tcW w:w="2315" w:type="dxa"/>
          </w:tcPr>
          <w:p w14:paraId="2B7D3F30" w14:textId="77777777">
            <w:pPr>
              <w:pStyle w:val="P68B1DB1-Normal8"/>
              <w:spacing w:line="240" w:lineRule="auto"/>
            </w:pPr>
            <w:r>
              <w:t xml:space="preserve">Artykuł 9</w:t>
            </w:r>
          </w:p>
        </w:tc>
      </w:tr>
      <w:tr w14:paraId="31FCCE62" w14:textId="77777777">
        <w:trPr>
          <w:trHeight w:val="599"/>
        </w:trPr>
        <w:tc>
          <w:tcPr>
            <w:tcW w:w="3119" w:type="dxa"/>
          </w:tcPr>
          <w:p w14:paraId="067F46A1" w14:textId="77777777">
            <w:pPr>
              <w:pStyle w:val="P68B1DB1-Normal7"/>
              <w:spacing w:line="240" w:lineRule="auto"/>
            </w:pPr>
            <w:r>
              <w:t xml:space="preserve">Wyjątki od obowiązku powiadamiania i obowiązku stosowania okresu zawieszenia</w:t>
            </w:r>
          </w:p>
        </w:tc>
        <w:tc>
          <w:tcPr>
            <w:tcW w:w="2457" w:type="dxa"/>
          </w:tcPr>
          <w:p w14:paraId="5BC53094" w14:textId="77777777">
            <w:pPr>
              <w:pStyle w:val="P68B1DB1-Normal7"/>
              <w:spacing w:line="240" w:lineRule="auto"/>
            </w:pPr>
            <w:r>
              <w:t xml:space="preserve">Artykuł 7</w:t>
            </w:r>
          </w:p>
        </w:tc>
        <w:tc>
          <w:tcPr>
            <w:tcW w:w="2315" w:type="dxa"/>
          </w:tcPr>
          <w:p w14:paraId="36E59068" w14:textId="77777777">
            <w:pPr>
              <w:pStyle w:val="P68B1DB1-Normal7"/>
              <w:spacing w:line="240" w:lineRule="auto"/>
            </w:pPr>
            <w:r>
              <w:t xml:space="preserve">Artykuł 10</w:t>
            </w:r>
          </w:p>
        </w:tc>
        <w:tc>
          <w:tcPr>
            <w:tcW w:w="2315" w:type="dxa"/>
          </w:tcPr>
          <w:p w14:paraId="1FE1BC2D" w14:textId="77777777">
            <w:pPr>
              <w:pStyle w:val="P68B1DB1-Normal8"/>
              <w:spacing w:line="240" w:lineRule="auto"/>
            </w:pPr>
            <w:r>
              <w:t xml:space="preserve">Artykuł 10</w:t>
            </w:r>
          </w:p>
        </w:tc>
      </w:tr>
    </w:tbl>
    <w:p w14:paraId="4A865CBE" w14:textId="77777777">
      <w:pPr>
        <w:spacing w:after="0" w:line="240" w:lineRule="auto"/>
      </w:pPr>
    </w:p>
    <w:p w14:paraId="08C84FAC" w14:textId="77777777">
      <w:pPr>
        <w:spacing w:line="278" w:lineRule="auto"/>
      </w:pPr>
      <w:r>
        <w:br w:type="page"/>
      </w:r>
    </w:p>
    <w:p w14:paraId="0059B666" w14:textId="32BA8B95">
      <w:pPr>
        <w:jc w:val="both"/>
        <w:rPr>
          <w:rFonts w:ascii="Times New Roman" w:hAnsi="Times New Roman" w:cs="Times New Roman"/>
          <w:b/>
          <w:bCs/>
          <w:sz w:val="24"/>
          <w:szCs w:val="24"/>
          <w:u w:val="single"/>
        </w:rPr>
        <w:pStyle w:val="P68B1DB1-Normal5"/>
      </w:pPr>
      <w:r>
        <w:t>Zastrzeżenie</w:t>
      </w:r>
    </w:p>
    <w:p w14:paraId="0CB71D4E" w14:textId="7BF1CD8D">
      <w:pPr>
        <w:jc w:val="both"/>
        <w:rPr>
          <w:rFonts w:ascii="Times New Roman" w:hAnsi="Times New Roman" w:cs="Times New Roman"/>
          <w:sz w:val="24"/>
          <w:szCs w:val="24"/>
        </w:rPr>
        <w:pStyle w:val="P68B1DB1-Normal7"/>
      </w:pPr>
      <w:r>
        <w:t xml:space="preserve">Informacje i wytyczne zawarte w niniejszym dokumencie mają przyczynić się do lepszego zrozumienia przepisów dyrektywy (UE) 2015/1535 dotyczących powiadamiania.</w:t>
      </w:r>
    </w:p>
    <w:p w14:paraId="67EC004B" w14:textId="434F8650">
      <w:pPr>
        <w:jc w:val="both"/>
        <w:rPr>
          <w:rFonts w:ascii="Times New Roman" w:hAnsi="Times New Roman" w:cs="Times New Roman"/>
          <w:sz w:val="24"/>
          <w:szCs w:val="24"/>
        </w:rPr>
        <w:pStyle w:val="P68B1DB1-Normal7"/>
      </w:pPr>
      <w:r>
        <w:t xml:space="preserve">Ma to służyć wyłącznie jako narzędzie wskazówkowe. Jedynie tekst dyrektywy ma moc prawną i może tworzyć prawa i obowiązki dla jednostek i państw członkowskich. Niniejszy dokument nie tworzy żadnego możliwego do wyegzekwowania prawa ani oczekiwań.</w:t>
      </w:r>
    </w:p>
    <w:p w14:paraId="63D425FC" w14:textId="2836B58B">
      <w:pPr>
        <w:jc w:val="both"/>
        <w:rPr>
          <w:rFonts w:ascii="Times New Roman" w:hAnsi="Times New Roman" w:cs="Times New Roman"/>
          <w:sz w:val="24"/>
          <w:szCs w:val="24"/>
        </w:rPr>
        <w:pStyle w:val="P68B1DB1-Normal7"/>
      </w:pPr>
      <w:r>
        <w:t xml:space="preserve">Wiążąca wykładnia przepisów Unii Europejskiej należy do wyłącznej kompetencji Trybunału Sprawiedliwości Unii Europejskiej. Opinie wyrażone w niniejszym dokumencie pozostają bez uszczerbku dla stanowiska, jakie Komisja może zająć przed Trybunałem Sprawiedliwości.</w:t>
      </w:r>
    </w:p>
    <w:p w14:paraId="5CC222EA" w14:textId="4A13BEE2">
      <w:pPr>
        <w:jc w:val="both"/>
        <w:rPr>
          <w:rFonts w:ascii="Times New Roman" w:hAnsi="Times New Roman" w:cs="Times New Roman"/>
          <w:sz w:val="24"/>
          <w:szCs w:val="24"/>
        </w:rPr>
        <w:pStyle w:val="P68B1DB1-Normal7"/>
      </w:pPr>
      <w:r>
        <w:t xml:space="preserve">Ponieważ niniejszy dokument odzwierciedla stan orzecznictwa w momencie jego opracowywania, należy go uznać za „żywe narzędzie”, które można udoskonalić, a jego treść może podlegać zmianom bez uprzedzenia.</w:t>
      </w:r>
    </w:p>
    <w:p w14:paraId="00285176" w14:textId="09C940D1">
      <w:pPr>
        <w:spacing w:after="0" w:line="240" w:lineRule="auto"/>
      </w:pPr>
      <w:r>
        <w:br w:type="page"/>
      </w:r>
    </w:p>
    <w:p w14:paraId="16528720" w14:textId="3D5EAE69">
      <w:pPr>
        <w:pStyle w:val="P68B1DB1-Heading13"/>
        <w:numPr>
          <w:ilvl w:val="0"/>
          <w:numId w:val="34"/>
        </w:numPr>
        <w:spacing w:before="0" w:after="0"/>
        <w:jc w:val="center"/>
        <w:rPr>
          <w:color w:val="auto"/>
        </w:rPr>
      </w:pPr>
      <w:bookmarkStart w:id="1" w:name="_Ref194485731"/>
      <w:bookmarkStart w:id="2" w:name="_Toc198043782"/>
      <w:bookmarkStart w:id="3" w:name="_Toc198044080"/>
      <w:bookmarkStart w:id="4" w:name="_Toc203035665"/>
      <w:bookmarkStart w:id="5" w:name="_Ref194484508"/>
      <w:bookmarkEnd w:id="0"/>
      <w:r>
        <w:t xml:space="preserve">Klasyfikacja jako przepis techniczny</w:t>
      </w:r>
      <w:bookmarkEnd w:id="1"/>
      <w:bookmarkEnd w:id="2"/>
      <w:bookmarkEnd w:id="3"/>
      <w:bookmarkEnd w:id="4"/>
    </w:p>
    <w:p w14:paraId="771697CF" w14:textId="77777777">
      <w:pPr>
        <w:pStyle w:val="BodyText"/>
        <w:jc w:val="left"/>
      </w:pPr>
    </w:p>
    <w:p w14:paraId="0A4D39B5" w14:textId="5B89CEFC">
      <w:pPr>
        <w:pStyle w:val="P68B1DB1-Normal12"/>
        <w:spacing w:after="0" w:line="240" w:lineRule="auto"/>
        <w:ind w:left="567"/>
        <w:jc w:val="both"/>
        <w:rPr>
          <w:iCs/>
        </w:rPr>
      </w:pPr>
      <w:r>
        <w:t xml:space="preserve">„[...] pojęcie »przepisów technicznych« obejmuje cztery kategorie środków, a mianowicie: (i) »specyfikacje techniczne« w rozumieniu art. 1 pkt 3 dyrektywy 98/34, (ii) »inne wymagania« zdefiniowane w art. 1 pkt 4 tej dyrektywy, (iii) »zasady dotyczące usług«, o których mowa w art. 1 pkt 5 tej dyrektywy, oraz (iv) „przepisy ustawowe, wykonawcze i administracyjne państw członkowskich [...] zakazujące produkcji, przywozu, wprowadzania do obrotu lub stosowania produktu lub zakazujące świadczenia lub korzystania z usługi lub podejmowania działalności w charakterze usługodawcy”.</w:t>
      </w:r>
    </w:p>
    <w:p w14:paraId="4FAB98F0" w14:textId="77777777">
      <w:pPr>
        <w:spacing w:after="0" w:line="240" w:lineRule="auto"/>
        <w:ind w:left="567"/>
        <w:jc w:val="both"/>
        <w:rPr>
          <w:rFonts w:ascii="Times New Roman" w:hAnsi="Times New Roman" w:cs="Times New Roman"/>
          <w:i/>
          <w:iCs/>
          <w:sz w:val="24"/>
          <w:szCs w:val="24"/>
        </w:rPr>
      </w:pPr>
    </w:p>
    <w:p w14:paraId="52EA0CC8" w14:textId="61714FD0">
      <w:pPr>
        <w:pStyle w:val="P68B1DB1-Normal7"/>
        <w:spacing w:after="0" w:line="240" w:lineRule="auto"/>
        <w:ind w:left="567"/>
        <w:jc w:val="right"/>
      </w:pPr>
      <w:hyperlink r:id="rId11" w:history="1">
        <w:r>
          <w:rPr>
            <w:rStyle w:val="Hyperlink"/>
            <w:color w:val="0000FF"/>
          </w:rPr>
          <w:t xml:space="preserve">(Wyrok z dnia 2 lutego 2016</w:t>
        </w:r>
      </w:hyperlink>
      <w:r>
        <w:t xml:space="preserve"> r., </w:t>
      </w:r>
      <w:r>
        <w:rPr>
          <w:i/>
        </w:rPr>
        <w:t>Ince</w:t>
      </w:r>
      <w:r>
        <w:t xml:space="preserve">, C-336/14, EU:C:2016:72, pkt 70)</w:t>
      </w:r>
    </w:p>
    <w:p w14:paraId="39D1F0E4" w14:textId="77777777">
      <w:pPr>
        <w:pStyle w:val="BodyText"/>
        <w:jc w:val="left"/>
      </w:pPr>
    </w:p>
    <w:p w14:paraId="38CAE174" w14:textId="44091B45">
      <w:pPr>
        <w:pStyle w:val="P68B1DB1-Heading24"/>
        <w:numPr>
          <w:ilvl w:val="0"/>
          <w:numId w:val="35"/>
        </w:numPr>
        <w:spacing w:before="0" w:after="0"/>
        <w:jc w:val="center"/>
        <w:rPr>
          <w:bCs/>
          <w:color w:val="auto"/>
        </w:rPr>
      </w:pPr>
      <w:bookmarkStart w:id="6" w:name="_Ref194479747"/>
      <w:bookmarkStart w:id="7" w:name="_Ref196314191"/>
      <w:bookmarkStart w:id="8" w:name="_Toc198043783"/>
      <w:bookmarkStart w:id="9" w:name="_Toc198044081"/>
      <w:bookmarkStart w:id="10" w:name="_Toc203035666"/>
      <w:r>
        <w:t xml:space="preserve">Wspólne kryteria dotyczące </w:t>
      </w:r>
      <w:bookmarkEnd w:id="6"/>
      <w:r>
        <w:t xml:space="preserve">przepisów technicznych</w:t>
      </w:r>
      <w:bookmarkEnd w:id="7"/>
      <w:bookmarkEnd w:id="8"/>
      <w:bookmarkEnd w:id="9"/>
      <w:bookmarkEnd w:id="10"/>
    </w:p>
    <w:p w14:paraId="5A37DF5A" w14:textId="77777777">
      <w:pPr>
        <w:pStyle w:val="BodyText"/>
      </w:pPr>
    </w:p>
    <w:p w14:paraId="2C807316" w14:textId="77777777">
      <w:pPr>
        <w:pStyle w:val="P68B1DB1-BodyText11"/>
        <w:ind w:left="567"/>
        <w:rPr>
          <w:iCs/>
        </w:rPr>
      </w:pPr>
      <w:r>
        <w:t xml:space="preserve">„»Przepisy techniczne« oznaczają specyfikacje techniczne i inne wymagania lub zasady dotyczące usług, włącznie z odpowiednimi przepisami administracyjnymi, których przestrzeganie jest obowiązkowe, de iure lub de facto, w przypadku wprowadzania do obrotu, świadczenia usługi, ustanowienia podmiotu świadczącego usługi lub użytkowania w państwie członkowskim lub na przeważającej jego części, jak również przepisy ustawowe, wykonawcze i administracyjne państw członkowskich, z wyjątkiem przepisów przewidzianych w art. 7, zakazujące produkcji, przywozu, wprowadzania do obrotu lub stosowania produktu lub zakazujące świadczenia lub korzystania z usługi lub podejmowania działalności w charakterze dostawcy usług.”</w:t>
      </w:r>
    </w:p>
    <w:p w14:paraId="56CBE257" w14:textId="77777777">
      <w:pPr>
        <w:pStyle w:val="BodyText"/>
      </w:pPr>
    </w:p>
    <w:p w14:paraId="66B70B28" w14:textId="1278CE54">
      <w:pPr>
        <w:pStyle w:val="P68B1DB1-Normal7"/>
        <w:spacing w:after="0" w:line="240" w:lineRule="auto"/>
        <w:jc w:val="right"/>
      </w:pPr>
      <w:r>
        <w:t xml:space="preserve">(art. 1 ust. 1 lit. f) zdanie pierwsze dyrektywy (UE) 2015/1535)</w:t>
      </w:r>
    </w:p>
    <w:p w14:paraId="4D7A236C" w14:textId="77777777">
      <w:pPr>
        <w:spacing w:after="0" w:line="240" w:lineRule="auto"/>
        <w:rPr>
          <w:sz w:val="24"/>
          <w:szCs w:val="24"/>
        </w:rPr>
      </w:pPr>
    </w:p>
    <w:p w14:paraId="61ADC4B8" w14:textId="2F4C951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2" w:history="1">
        <w:r>
          <w:rPr>
            <w:rStyle w:val="Hyperlink"/>
            <w:rFonts w:ascii="Times New Roman" w:hAnsi="Times New Roman" w:cs="Times New Roman" w:eastAsia="Times New Roman"/>
            <w:b/>
            <w:i/>
            <w:color w:val="0000FF"/>
            <w:szCs w:val="20"/>
          </w:rPr>
          <w:t xml:space="preserve">Wyrok z dnia 30 kwietnia 1996</w:t>
        </w:r>
      </w:hyperlink>
      <w:r>
        <w:rPr>
          <w:rFonts w:ascii="Times New Roman" w:hAnsi="Times New Roman" w:cs="Times New Roman" w:eastAsia="Times New Roman"/>
          <w:b/>
          <w:i/>
          <w:szCs w:val="20"/>
        </w:rPr>
        <w:t xml:space="preserve"> r., CIA Security International SA, C-194/94, EU:C:1996:172, pkt 29</w:t>
      </w:r>
      <w:bookmarkEnd w:id="11"/>
    </w:p>
    <w:p w14:paraId="6260A28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490804" w14:textId="77777777">
      <w:pPr>
        <w:pStyle w:val="P68B1DB1-P68B1DB1-Normal135"/>
        <w:widowControl w:val="0"/>
        <w:tabs>
          <w:tab w:val="left" w:pos="393"/>
        </w:tabs>
        <w:autoSpaceDE w:val="0"/>
        <w:autoSpaceDN w:val="0"/>
        <w:spacing w:after="0" w:line="240" w:lineRule="auto"/>
        <w:jc w:val="both"/>
        <w:rPr>
          <w:b w:val="0"/>
          <w:bCs/>
          <w:i w:val="0"/>
          <w:iCs/>
        </w:rPr>
      </w:pPr>
      <w:r>
        <w:t xml:space="preserve">Przepis może zostać zakwalifikowany jako „przepis techniczny” tylko wtedy, gdy ma własne skutki prawne. Nie ma to miejsca w przypadku ustawy ramowej niemającej skutków prawnych dla jednostek.</w:t>
      </w:r>
    </w:p>
    <w:p w14:paraId="7CC5408A" w14:textId="77777777">
      <w:pPr>
        <w:widowControl w:val="0"/>
        <w:tabs>
          <w:tab w:val="left" w:pos="393"/>
        </w:tabs>
        <w:autoSpaceDE w:val="0"/>
        <w:autoSpaceDN w:val="0"/>
        <w:spacing w:after="0" w:line="240" w:lineRule="auto"/>
        <w:jc w:val="both"/>
        <w:rPr>
          <w:rFonts w:ascii="Times New Roman" w:hAnsi="Times New Roman" w:cs="Times New Roman" w:eastAsia="Times New Roman"/>
          <w:sz w:val="20"/>
          <w:szCs w:val="20"/>
        </w:rPr>
      </w:pPr>
    </w:p>
    <w:p w14:paraId="3649EC17" w14:textId="62FD7542">
      <w:pPr>
        <w:pStyle w:val="P68B1DB1-P68B1DB1-Normal146"/>
        <w:widowControl w:val="0"/>
        <w:tabs>
          <w:tab w:val="left" w:pos="393"/>
        </w:tabs>
        <w:autoSpaceDE w:val="0"/>
        <w:autoSpaceDN w:val="0"/>
        <w:spacing w:after="0" w:line="240" w:lineRule="auto"/>
        <w:ind w:left="567"/>
        <w:jc w:val="both"/>
        <w:rPr>
          <w:i/>
          <w:iCs/>
          <w:sz w:val="20"/>
        </w:rPr>
      </w:pPr>
      <w:r>
        <w:t xml:space="preserve">„29. Należy tu stwierdzić, że przepis uznaje się za przepis techniczny w rozumieniu dyrektywy 83/189, jeżeli wywołuje on samodzielnie skutki prawne. Jeżeli zgodnie z prawem krajowym norma ta służy jedynie jako podstawa do przyjęcia przepisów administracyjnych zawierających przepisy wiążące zainteresowane strony, tak że sama w sobie nie wywołuje skutków prawnych wobec jednostek, przepis ten nie stanowi przepisu technicznego w rozumieniu tej dyrektywy (zob. wyrok z dnia 14 czerwca 1994 r. w sprawie C-317/92 Komisja przeciwko Niemcom, Rec. s. 1-2039, pkt 26). W tym miejscu należy przypomnieć, że zgodnie z art. 8 ust. 1 akapit pierwszy dyrektywy 83/189 państwa członkowskie powinny przekazać, w tym samym czasie co projekt przepisu technicznego, akt upoważniający, na podstawie którego został on przyjęty, jeżeli znajomość tego tekstu jest niezbędna do oceny skutków projektu przepisów technicznych”.</w:t>
      </w:r>
    </w:p>
    <w:p w14:paraId="4CF2EEDE" w14:textId="77777777">
      <w:pPr>
        <w:spacing w:after="0" w:line="240" w:lineRule="auto"/>
      </w:pPr>
    </w:p>
    <w:p w14:paraId="1EC2A38D" w14:textId="4709776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3" w:history="1">
        <w:r>
          <w:rPr>
            <w:rStyle w:val="Hyperlink"/>
            <w:rFonts w:ascii="Times New Roman" w:hAnsi="Times New Roman" w:cs="Times New Roman" w:eastAsia="Times New Roman"/>
            <w:b/>
            <w:i/>
            <w:color w:val="0000FF"/>
            <w:szCs w:val="20"/>
          </w:rPr>
          <w:t xml:space="preserve">Wyrok z dnia 20 marca 1997</w:t>
        </w:r>
      </w:hyperlink>
      <w:r>
        <w:rPr>
          <w:rFonts w:ascii="Times New Roman" w:hAnsi="Times New Roman" w:cs="Times New Roman" w:eastAsia="Times New Roman"/>
          <w:b/>
          <w:i/>
          <w:szCs w:val="20"/>
        </w:rPr>
        <w:t xml:space="preserve"> r., Bic Benelux, C-13/96, EU:C:1997:173, pkt 19 i 20</w:t>
      </w:r>
      <w:bookmarkEnd w:id="12"/>
    </w:p>
    <w:p w14:paraId="2C091717"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73C7900A" w14:textId="3F5D68F7">
      <w:pPr>
        <w:pStyle w:val="P68B1DB1-P68B1DB1-Normal135"/>
        <w:widowControl w:val="0"/>
        <w:tabs>
          <w:tab w:val="left" w:pos="396"/>
          <w:tab w:val="left" w:pos="400"/>
        </w:tabs>
        <w:autoSpaceDE w:val="0"/>
        <w:autoSpaceDN w:val="0"/>
        <w:spacing w:after="0" w:line="240" w:lineRule="auto"/>
        <w:jc w:val="both"/>
        <w:rPr>
          <w:b w:val="0"/>
          <w:bCs/>
          <w:i w:val="0"/>
          <w:iCs/>
        </w:rPr>
      </w:pPr>
      <w:r>
        <w:t xml:space="preserve">Powody przyjęcia środka krajowego nie mają znaczenia dla zakwalifikowania tego środka jako „przepisu technicznego”. Celem dyrektywy jest, poprzez kontrolę prewencyjną, ochrona swobodnego przepływu towarów, który jest jednym z fundamentów Wspólnoty.</w:t>
      </w:r>
    </w:p>
    <w:p w14:paraId="49EDC2CC" w14:textId="77777777">
      <w:pPr>
        <w:widowControl w:val="0"/>
        <w:autoSpaceDE w:val="0"/>
        <w:autoSpaceDN w:val="0"/>
        <w:spacing w:after="0" w:line="240" w:lineRule="auto"/>
        <w:jc w:val="both"/>
        <w:rPr>
          <w:rFonts w:ascii="Times New Roman" w:hAnsi="Times New Roman" w:cs="Times New Roman" w:eastAsia="Times New Roman"/>
          <w:szCs w:val="20"/>
        </w:rPr>
      </w:pPr>
    </w:p>
    <w:p w14:paraId="4156ECFE" w14:textId="7DEAF419">
      <w:pPr>
        <w:pStyle w:val="P68B1DB1-P68B1DB1-Normal146"/>
        <w:widowControl w:val="0"/>
        <w:autoSpaceDE w:val="0"/>
        <w:autoSpaceDN w:val="0"/>
        <w:spacing w:after="0" w:line="240" w:lineRule="auto"/>
        <w:ind w:left="510"/>
        <w:jc w:val="both"/>
        <w:rPr>
          <w:i/>
          <w:iCs/>
          <w:sz w:val="20"/>
        </w:rPr>
      </w:pPr>
      <w:r>
        <w:t xml:space="preserve">„19. [...] W dyrektywie 83/189 nie ma podstaw do dokonywania wykładni ograniczającej jej stosowanie do środków krajowych, które mogą być harmonizowane wyłącznie na podstawie art. 100a traktatu. Celem tej dyrektywy jest, poprzez kontrolę prewencyjną, ochrona swobodnego przepływu towarów, który jest jednym z fundamentów Wspólnoty. Takie monitorowanie jest konieczne, ponieważ przepisy techniczne objęte dyrektywą mogą utrudniać, bezpośrednio lub pośrednio, faktycznie lub potencjalnie, wewnątrzwspólnotowy handel towarami. Przeszkody takie mogą wynikać z przyjęcia krajowych przepisów technicznych, nawet jeśli rozporządzenia te nie powielają oznaczeń umieszczonych w państwie członkowskim pochodzenia i niezależnie od powodów, dla których zostały one przyjęte. </w:t>
      </w:r>
    </w:p>
    <w:p w14:paraId="3ECEA0CB" w14:textId="77777777">
      <w:pPr>
        <w:pStyle w:val="P68B1DB1-Normal14"/>
        <w:widowControl w:val="0"/>
        <w:autoSpaceDE w:val="0"/>
        <w:autoSpaceDN w:val="0"/>
        <w:spacing w:after="0" w:line="240" w:lineRule="auto"/>
        <w:ind w:left="510"/>
        <w:jc w:val="both"/>
        <w:rPr>
          <w:i/>
          <w:iCs/>
          <w:sz w:val="20"/>
        </w:rPr>
      </w:pPr>
    </w:p>
    <w:p w14:paraId="17FB6164" w14:textId="39A34C5B">
      <w:pPr>
        <w:pStyle w:val="P68B1DB1-P68B1DB1-Normal146"/>
        <w:widowControl w:val="0"/>
        <w:autoSpaceDE w:val="0"/>
        <w:autoSpaceDN w:val="0"/>
        <w:spacing w:after="0" w:line="240" w:lineRule="auto"/>
        <w:ind w:left="510"/>
        <w:jc w:val="both"/>
        <w:rPr>
          <w:i/>
          <w:iCs/>
          <w:sz w:val="20"/>
        </w:rPr>
      </w:pPr>
      <w:r>
        <w:t xml:space="preserve">20. W konsekwencji fakt, że środek krajowy został przyjęty w celu ochrony środowiska lub że nie wprowadza on w życie normy technicznej, która sama w sobie może stanowić przeszkodę w swobodnym przepływie, nie oznacza, że dany środek nie może stanowić przepisu technicznego w rozumieniu dyrektywy 83/189”.</w:t>
      </w:r>
    </w:p>
    <w:p w14:paraId="21D40469" w14:textId="77777777">
      <w:pPr>
        <w:spacing w:after="0" w:line="240" w:lineRule="auto"/>
      </w:pPr>
    </w:p>
    <w:p w14:paraId="5DB9E3C5" w14:textId="38D65933">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4" w:history="1">
        <w:r>
          <w:rPr>
            <w:rStyle w:val="Hyperlink"/>
            <w:rFonts w:ascii="Times New Roman" w:hAnsi="Times New Roman" w:cs="Times New Roman" w:eastAsia="Times New Roman"/>
            <w:b/>
            <w:i/>
            <w:color w:val="0000FF"/>
            <w:szCs w:val="20"/>
          </w:rPr>
          <w:t xml:space="preserve">Wyrok z dnia 16 listopada 2000</w:t>
        </w:r>
      </w:hyperlink>
      <w:r>
        <w:rPr>
          <w:rFonts w:ascii="Times New Roman" w:hAnsi="Times New Roman" w:cs="Times New Roman" w:eastAsia="Times New Roman"/>
          <w:b/>
          <w:i/>
          <w:szCs w:val="20"/>
        </w:rPr>
        <w:t xml:space="preserve"> r., Donkersteeg, C-37/99, EU:C:2000:636, pkt 30–34.</w:t>
      </w:r>
      <w:bookmarkEnd w:id="13"/>
    </w:p>
    <w:p w14:paraId="3F63DC2D" w14:textId="77777777">
      <w:pPr>
        <w:widowControl w:val="0"/>
        <w:autoSpaceDE w:val="0"/>
        <w:autoSpaceDN w:val="0"/>
        <w:spacing w:after="0" w:line="240" w:lineRule="auto"/>
        <w:jc w:val="both"/>
        <w:rPr>
          <w:rFonts w:ascii="Times New Roman" w:hAnsi="Times New Roman" w:cs="Times New Roman" w:eastAsia="Times New Roman"/>
          <w:szCs w:val="20"/>
        </w:rPr>
      </w:pPr>
    </w:p>
    <w:p w14:paraId="75027B7E" w14:textId="22C0CBFC">
      <w:pPr>
        <w:pStyle w:val="P68B1DB1-P68B1DB1-Normal135"/>
        <w:widowControl w:val="0"/>
        <w:autoSpaceDE w:val="0"/>
        <w:autoSpaceDN w:val="0"/>
        <w:spacing w:after="0" w:line="240" w:lineRule="auto"/>
        <w:jc w:val="both"/>
        <w:rPr>
          <w:b w:val="0"/>
          <w:bCs/>
          <w:i w:val="0"/>
          <w:iCs/>
        </w:rPr>
      </w:pPr>
      <w:r>
        <w:t xml:space="preserve">Szczegółowe przepisy dotyczące szczepień zwierząt są „specyfikacją techniczną”. Będzie to jednak „przepis techniczny” wymagający notyfikacji tylko wtedy, gdy jego przestrzeganie jest obowiązkowe de iure lub de facto. Nie jest tak w przypadku, gdy w przypadku naruszenia tej zasady nie nakłada się żadnych ograniczeń na wprowadzanie do obrotu lub używanie danych produktów.</w:t>
      </w:r>
    </w:p>
    <w:p w14:paraId="7B48861C" w14:textId="77777777">
      <w:pPr>
        <w:widowControl w:val="0"/>
        <w:autoSpaceDE w:val="0"/>
        <w:autoSpaceDN w:val="0"/>
        <w:spacing w:after="0" w:line="240" w:lineRule="auto"/>
        <w:jc w:val="both"/>
        <w:rPr>
          <w:rFonts w:ascii="Times New Roman" w:hAnsi="Times New Roman" w:cs="Times New Roman" w:eastAsia="Times New Roman"/>
          <w:szCs w:val="20"/>
        </w:rPr>
      </w:pPr>
    </w:p>
    <w:p w14:paraId="284DCB65" w14:textId="72CEBC4F">
      <w:pPr>
        <w:pStyle w:val="P68B1DB1-P68B1DB1-Normal146"/>
        <w:widowControl w:val="0"/>
        <w:autoSpaceDE w:val="0"/>
        <w:autoSpaceDN w:val="0"/>
        <w:spacing w:after="0"/>
        <w:ind w:left="567"/>
        <w:jc w:val="both"/>
        <w:rPr>
          <w:i/>
          <w:iCs/>
          <w:sz w:val="20"/>
        </w:rPr>
      </w:pPr>
      <w:r>
        <w:t xml:space="preserve">„30. [...] zgodnie z art. 1 ust. 1 tej dyrektywy w odniesieniu do produktów rolnych „specyfikacja techniczna” jest zawarta w dokumencie określającym wymagane cechy produktu lub jego metody i procedury produkcji.</w:t>
      </w:r>
    </w:p>
    <w:p w14:paraId="4B80B8D5" w14:textId="77777777">
      <w:pPr>
        <w:pStyle w:val="P68B1DB1-Normal14"/>
        <w:widowControl w:val="0"/>
        <w:autoSpaceDE w:val="0"/>
        <w:autoSpaceDN w:val="0"/>
        <w:spacing w:after="0"/>
        <w:ind w:left="567"/>
        <w:jc w:val="both"/>
        <w:rPr>
          <w:i/>
          <w:iCs/>
          <w:sz w:val="20"/>
        </w:rPr>
      </w:pPr>
    </w:p>
    <w:p w14:paraId="243FA6BC" w14:textId="77777777">
      <w:pPr>
        <w:pStyle w:val="P68B1DB1-P68B1DB1-Normal146"/>
        <w:widowControl w:val="0"/>
        <w:autoSpaceDE w:val="0"/>
        <w:autoSpaceDN w:val="0"/>
        <w:spacing w:after="0"/>
        <w:ind w:left="567"/>
        <w:jc w:val="both"/>
        <w:rPr>
          <w:i/>
          <w:iCs/>
          <w:sz w:val="20"/>
        </w:rPr>
      </w:pPr>
      <w:r>
        <w:t xml:space="preserve">31. Przepis taki jak zawarty w art. 2 ust. 1 VBZA stanowi specyfikację techniczną w rozumieniu art. 1 ust. 1 dyrektywy. Jak słusznie podnosi Komisja, ponieważ dokładne i szczegółowe zasady dotyczące szczepień przeciwko chorobie Aujeszkyego są związane z produkcją danego produktu rolnego sensu stricto i muszą być przestrzegane w całym cyklu produkcyjnym, zasada ta definiuje zatem „procedurę” wytwarzania tego produktu.</w:t>
      </w:r>
    </w:p>
    <w:p w14:paraId="38EC4E98" w14:textId="77777777">
      <w:pPr>
        <w:pStyle w:val="P68B1DB1-Normal14"/>
        <w:widowControl w:val="0"/>
        <w:autoSpaceDE w:val="0"/>
        <w:autoSpaceDN w:val="0"/>
        <w:spacing w:after="0"/>
        <w:ind w:left="567"/>
        <w:jc w:val="both"/>
        <w:rPr>
          <w:i/>
          <w:iCs/>
          <w:sz w:val="20"/>
        </w:rPr>
      </w:pPr>
    </w:p>
    <w:p w14:paraId="5C8FDDF5" w14:textId="77777777">
      <w:pPr>
        <w:pStyle w:val="P68B1DB1-P68B1DB1-Normal146"/>
        <w:widowControl w:val="0"/>
        <w:autoSpaceDE w:val="0"/>
        <w:autoSpaceDN w:val="0"/>
        <w:spacing w:after="0"/>
        <w:ind w:left="567"/>
        <w:jc w:val="both"/>
        <w:rPr>
          <w:i/>
          <w:iCs/>
          <w:sz w:val="20"/>
        </w:rPr>
      </w:pPr>
      <w:r>
        <w:t xml:space="preserve">32. Niemniej jednak, aby przepis będący przedmiotem postępowania przed sądem krajowym mógł zostać zakwalifikowany jako przepis techniczny w rozumieniu tej dyrektywy, musi on, zgodnie z art. 1 ust. 5 tej dyrektywy, zawierać specyfikacje techniczne, „których przestrzeganie jest obowiązkowe, de iure lub de facto, w przypadku wprowadzania do obrotu lub używania w państwie członkowskim lub na znacznej jego części, z wyjątkiem specyfikacji określonych przez władze lokalne.</w:t>
      </w:r>
    </w:p>
    <w:p w14:paraId="1642D773" w14:textId="77777777">
      <w:pPr>
        <w:pStyle w:val="P68B1DB1-Normal14"/>
        <w:widowControl w:val="0"/>
        <w:autoSpaceDE w:val="0"/>
        <w:autoSpaceDN w:val="0"/>
        <w:spacing w:after="0"/>
        <w:ind w:left="567"/>
        <w:jc w:val="both"/>
        <w:rPr>
          <w:i/>
          <w:iCs/>
          <w:sz w:val="20"/>
        </w:rPr>
      </w:pPr>
    </w:p>
    <w:p w14:paraId="1D500948" w14:textId="77777777">
      <w:pPr>
        <w:pStyle w:val="P68B1DB1-P68B1DB1-Normal146"/>
        <w:widowControl w:val="0"/>
        <w:autoSpaceDE w:val="0"/>
        <w:autoSpaceDN w:val="0"/>
        <w:spacing w:after="0"/>
        <w:ind w:left="567"/>
        <w:jc w:val="both"/>
        <w:rPr>
          <w:i/>
          <w:iCs/>
          <w:sz w:val="20"/>
        </w:rPr>
      </w:pPr>
      <w:r>
        <w:t xml:space="preserve">33. Należy zauważyć, podobnie jak uczynił to rząd niderlandzki, że zasada zawarta w art. 2 ust. 1 VBZA nie nakłada żadnych ograniczeń ani na wprowadzanie do obrotu, ani na używanie danych produktów, jeżeli wbrew temu przepisowi świnie nie zostały zaszczepione przeciwko chorobie Aujeszkyego.</w:t>
      </w:r>
    </w:p>
    <w:p w14:paraId="2280D2F8" w14:textId="77777777">
      <w:pPr>
        <w:pStyle w:val="P68B1DB1-Normal14"/>
        <w:widowControl w:val="0"/>
        <w:autoSpaceDE w:val="0"/>
        <w:autoSpaceDN w:val="0"/>
        <w:spacing w:after="0"/>
        <w:ind w:left="567"/>
        <w:jc w:val="both"/>
        <w:rPr>
          <w:i/>
          <w:iCs/>
          <w:sz w:val="20"/>
        </w:rPr>
      </w:pPr>
    </w:p>
    <w:p w14:paraId="432A3655" w14:textId="77777777">
      <w:pPr>
        <w:pStyle w:val="P68B1DB1-P68B1DB1-Normal146"/>
        <w:widowControl w:val="0"/>
        <w:autoSpaceDE w:val="0"/>
        <w:autoSpaceDN w:val="0"/>
        <w:spacing w:after="0"/>
        <w:ind w:left="567"/>
        <w:jc w:val="both"/>
        <w:rPr>
          <w:i/>
          <w:iCs/>
          <w:sz w:val="20"/>
        </w:rPr>
      </w:pPr>
      <w:r>
        <w:t xml:space="preserve">34. Na pytanie drugie należy zatem odpowiedzieć, że przepis taki jak będący przedmiotem postępowania przed sądem krajowym, który nakłada na każdego rolnika obowiązek poddania świń w jego gospodarstwie szczepieniu przeciwko chorobie Aujeszkyego, nie stanowi, w rozumieniu dyrektywy, przepisu technicznego, który powinien był zostać notyfikowany Komisji przed jego przyjęciem”.</w:t>
      </w:r>
    </w:p>
    <w:p w14:paraId="4573243C" w14:textId="77777777">
      <w:pPr>
        <w:spacing w:after="0" w:line="240" w:lineRule="auto"/>
      </w:pPr>
    </w:p>
    <w:p w14:paraId="6D41E4F7" w14:textId="2DFA6AAE">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5" w:history="1">
        <w:r>
          <w:rPr>
            <w:rStyle w:val="Hyperlink"/>
            <w:rFonts w:ascii="Times New Roman" w:hAnsi="Times New Roman" w:cs="Times New Roman" w:eastAsia="Times New Roman"/>
            <w:b/>
            <w:i/>
            <w:color w:val="0000FF"/>
            <w:szCs w:val="20"/>
          </w:rPr>
          <w:t xml:space="preserve">Wyrok z dnia 3 grudnia 2020</w:t>
        </w:r>
      </w:hyperlink>
      <w:r>
        <w:rPr>
          <w:rFonts w:ascii="Times New Roman" w:hAnsi="Times New Roman" w:cs="Times New Roman" w:eastAsia="Times New Roman"/>
          <w:b/>
          <w:i/>
          <w:szCs w:val="20"/>
        </w:rPr>
        <w:t xml:space="preserve"> r., Star Taxi App, C-62/19, EU:C:2020:980, pkt 60, 61</w:t>
      </w:r>
      <w:bookmarkEnd w:id="14"/>
    </w:p>
    <w:p w14:paraId="13F9C96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B016A8" w14:textId="595E56D7">
      <w:pPr>
        <w:pStyle w:val="P68B1DB1-P68B1DB1-Normal135"/>
        <w:widowControl w:val="0"/>
        <w:autoSpaceDE w:val="0"/>
        <w:autoSpaceDN w:val="0"/>
        <w:spacing w:after="0" w:line="240" w:lineRule="auto"/>
        <w:jc w:val="both"/>
        <w:rPr>
          <w:b w:val="0"/>
          <w:bCs/>
          <w:i w:val="0"/>
          <w:iCs/>
        </w:rPr>
      </w:pPr>
      <w:r>
        <w:t xml:space="preserve">Aby środek krajowy mógł zostać zakwalifikowany jako „przepis techniczny”, musi on być wiążący de iure lub de facto w zakresie świadczenia lub korzystania z danej usługi w państwie członkowskim lub jego znacznej części.</w:t>
      </w:r>
    </w:p>
    <w:p w14:paraId="2E622B9C" w14:textId="77777777">
      <w:pPr>
        <w:widowControl w:val="0"/>
        <w:autoSpaceDE w:val="0"/>
        <w:autoSpaceDN w:val="0"/>
        <w:spacing w:after="0" w:line="240" w:lineRule="auto"/>
        <w:jc w:val="both"/>
        <w:rPr>
          <w:rFonts w:ascii="Times New Roman" w:hAnsi="Times New Roman" w:cs="Times New Roman" w:eastAsia="Times New Roman"/>
          <w:szCs w:val="20"/>
        </w:rPr>
      </w:pPr>
    </w:p>
    <w:p w14:paraId="072FCDD3" w14:textId="5A28BFDE">
      <w:pPr>
        <w:pStyle w:val="P68B1DB1-Normal15"/>
        <w:widowControl w:val="0"/>
        <w:autoSpaceDE w:val="0"/>
        <w:autoSpaceDN w:val="0"/>
        <w:spacing w:after="0" w:line="240" w:lineRule="auto"/>
        <w:ind w:left="567"/>
        <w:jc w:val="both"/>
        <w:rPr>
          <w:i w:val="0"/>
          <w:iCs/>
        </w:rPr>
      </w:pPr>
      <w:r>
        <w:t xml:space="preserve">„60. [...] z art. 1 ust. 1 lit. f) akapit pierwszy dyrektywy 2015/1535 wynika, że „przepisy techniczne” oznaczają „specyfikacje techniczne i inne wymagania lub zasady dotyczące usług, włącznie z odpowiednimi przepisami administracyjnymi, których przestrzeganie jest obowiązkowe, de iure lub de facto, w przypadku wprowadzania do obrotu, świadczenia usługi, ustanowienia podmiotu świadczącego usługi lub użytkowania w państwie członkowskim lub na znacznej jego części, jak również przepisy ustawowe, wykonawcze i administracyjne państw członkowskich, z wyjątkiem przepisów przewidzianych w art. 7, zakazujące produkcji, przywozu, wprowadzania do obrotu lub stosowania produktu lub zakazujące świadczenia lub korzystania z usługi lub podejmowania działalności w charakterze dostawcy usług”.</w:t>
      </w:r>
    </w:p>
    <w:p w14:paraId="4FF7DC70" w14:textId="77777777">
      <w:pPr>
        <w:pStyle w:val="P68B1DB1-Normal15"/>
        <w:widowControl w:val="0"/>
        <w:autoSpaceDE w:val="0"/>
        <w:autoSpaceDN w:val="0"/>
        <w:spacing w:after="0" w:line="240" w:lineRule="auto"/>
        <w:ind w:left="567"/>
        <w:jc w:val="both"/>
        <w:rPr>
          <w:i w:val="0"/>
          <w:iCs/>
        </w:rPr>
      </w:pPr>
    </w:p>
    <w:p w14:paraId="4482F387" w14:textId="50B8F03F">
      <w:pPr>
        <w:pStyle w:val="P68B1DB1-Normal15"/>
        <w:widowControl w:val="0"/>
        <w:autoSpaceDE w:val="0"/>
        <w:autoSpaceDN w:val="0"/>
        <w:spacing w:after="0" w:line="240" w:lineRule="auto"/>
        <w:ind w:left="567"/>
        <w:jc w:val="both"/>
        <w:rPr>
          <w:i w:val="0"/>
          <w:iCs/>
        </w:rPr>
      </w:pPr>
      <w:r>
        <w:t xml:space="preserve">61. Wynika z tego, że aby przepisy krajowe mające wpływ na usługę społeczeństwa informacyjnego mogły zostać zakwalifikowane jako „przepisy techniczne”, należy je nie tylko zakwalifikować jako „zasadę dotyczącą usług” w rozumieniu art. 1 ust. 1 lit. e) dyrektywy 2015/1535, ale również muszą być one obowiązkowe, de iure lub de facto, w szczególności w przypadku świadczenia danej usługi lub korzystania z niej w państwie członkowskim lub w znacznej części tego państwa”.</w:t>
      </w:r>
    </w:p>
    <w:p w14:paraId="6EC55A15" w14:textId="67024D34">
      <w:pPr>
        <w:pStyle w:val="P68B1DB1-Heading24"/>
        <w:numPr>
          <w:ilvl w:val="0"/>
          <w:numId w:val="35"/>
        </w:numPr>
        <w:spacing w:before="0" w:after="0"/>
        <w:jc w:val="center"/>
        <w:rPr>
          <w:bCs/>
          <w:color w:val="auto"/>
        </w:rPr>
      </w:pPr>
      <w:bookmarkStart w:id="15" w:name="_Ref194481248"/>
      <w:bookmarkStart w:id="16" w:name="_Ref196314204"/>
      <w:bookmarkStart w:id="17" w:name="_Toc203035667"/>
      <w:bookmarkEnd w:id="15"/>
      <w:r>
        <w:t xml:space="preserve">Specyfikacja techniczna</w:t>
      </w:r>
      <w:bookmarkEnd w:id="16"/>
      <w:bookmarkEnd w:id="17"/>
    </w:p>
    <w:p w14:paraId="241DC1E1" w14:textId="77777777">
      <w:pPr>
        <w:pStyle w:val="BodyText"/>
      </w:pPr>
    </w:p>
    <w:p w14:paraId="24A39E18" w14:textId="77777777">
      <w:pPr>
        <w:pStyle w:val="P68B1DB1-BodyText11"/>
        <w:ind w:left="567"/>
      </w:pPr>
      <w:r>
        <w:t xml:space="preserve">„specyfikacja techniczna” oznacza specyfikację zawartą w dokumencie określającym wymagane cechy produktu, takie jak poziom jakości, właściwości użytkowe, bezpieczeństwo lub wymiary, w tym wymogi mające zastosowanie do produktu w odniesieniu do nazwy, pod jaką produkt jest sprzedawany, terminologii, symboli, badań i metod badań, opakowania, oznakowania lub etykietowania oraz procedur oceny zgodności.</w:t>
      </w:r>
    </w:p>
    <w:p w14:paraId="33F4D1E4" w14:textId="77777777">
      <w:pPr>
        <w:pStyle w:val="P68B1DB1-BodyText11"/>
        <w:ind w:left="567"/>
      </w:pPr>
    </w:p>
    <w:p w14:paraId="5224E321" w14:textId="77777777">
      <w:pPr>
        <w:pStyle w:val="P68B1DB1-BodyText11"/>
        <w:ind w:left="567"/>
        <w:rPr>
          <w:iCs/>
        </w:rPr>
      </w:pPr>
      <w:r>
        <w:t xml:space="preserve">Termin »specyfikacja techniczna« obejmuje również metody i procesy produkcji stosowane w odniesieniu do produktów rolnych, o których mowa w art. 38 ust. 1 akapit drugi Traktatu o funkcjonowaniu Unii Europejskiej (TFUE), produktów przeznaczonych do spożycia przez ludzi i zwierzęta oraz produktów leczniczych zdefiniowanych w art. 1 dyrektywy 2001/83/WE Parlamentu Europejskiego i Rady (1), jak również metody produkcji i procesy odnoszące się do innych produktów, jeżeli mają one wpływ na ich właściwości;”;</w:t>
      </w:r>
    </w:p>
    <w:p w14:paraId="6C2A57E1" w14:textId="77777777">
      <w:pPr>
        <w:pStyle w:val="BodyText"/>
        <w:ind w:left="567"/>
        <w:rPr>
          <w:i/>
          <w:iCs/>
        </w:rPr>
      </w:pPr>
    </w:p>
    <w:p w14:paraId="2F7A4C59" w14:textId="62E0EC95">
      <w:pPr>
        <w:pStyle w:val="BodyText"/>
        <w:ind w:left="1440"/>
        <w:jc w:val="right"/>
      </w:pPr>
      <w:r>
        <w:t xml:space="preserve">(Art. 1 ust. 1 lit. c) dyrektywy (UE) 2015/1535)</w:t>
      </w:r>
    </w:p>
    <w:p w14:paraId="01CFC4AF" w14:textId="77777777">
      <w:pPr>
        <w:spacing w:after="0" w:line="240" w:lineRule="auto"/>
      </w:pPr>
    </w:p>
    <w:p w14:paraId="1AB91297" w14:textId="219B80DD">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6" w:history="1">
        <w:r>
          <w:rPr>
            <w:rStyle w:val="Hyperlink"/>
            <w:rFonts w:ascii="Times New Roman" w:hAnsi="Times New Roman" w:cs="Times New Roman" w:eastAsia="Times New Roman"/>
            <w:b/>
            <w:i/>
            <w:color w:val="0000FF"/>
            <w:szCs w:val="20"/>
          </w:rPr>
          <w:t xml:space="preserve">Wyrok z dnia 11 stycznia 1996</w:t>
        </w:r>
      </w:hyperlink>
      <w:r>
        <w:rPr>
          <w:rFonts w:ascii="Times New Roman" w:hAnsi="Times New Roman" w:cs="Times New Roman" w:eastAsia="Times New Roman"/>
          <w:b/>
          <w:i/>
          <w:szCs w:val="20"/>
        </w:rPr>
        <w:t xml:space="preserve"> r., Komisja/Niderlandy, C-273/94, EU:C:1996:4, pkt 13.</w:t>
      </w:r>
      <w:bookmarkEnd w:id="18"/>
    </w:p>
    <w:p w14:paraId="490AFA5B"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45335B30" w14:textId="77777777">
      <w:pPr>
        <w:pStyle w:val="P68B1DB1-P68B1DB1-Normal135"/>
        <w:widowControl w:val="0"/>
        <w:tabs>
          <w:tab w:val="left" w:pos="396"/>
          <w:tab w:val="left" w:pos="405"/>
        </w:tabs>
        <w:autoSpaceDE w:val="0"/>
        <w:autoSpaceDN w:val="0"/>
        <w:spacing w:after="0" w:line="240" w:lineRule="auto"/>
        <w:jc w:val="both"/>
        <w:rPr>
          <w:b w:val="0"/>
          <w:bCs/>
          <w:i w:val="0"/>
          <w:iCs/>
        </w:rPr>
      </w:pPr>
      <w:r>
        <w:t xml:space="preserve">Przepis krajowy wprowadzający odstępstwo od istniejących przepisów technicznych dla konkretnego produktu stanowi „przepis techniczny”, jeżeli nakłada alternatywne „specyfikacje techniczne”, których musi przestrzegać każda osoba pragnąca skorzystać z odstępstwa. </w:t>
      </w:r>
    </w:p>
    <w:p w14:paraId="5E3E0A04"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0D132388" w14:textId="17D2E715">
      <w:pPr>
        <w:pStyle w:val="P68B1DB1-P68B1DB1-Normal147"/>
        <w:widowControl w:val="0"/>
        <w:tabs>
          <w:tab w:val="left" w:pos="405"/>
        </w:tabs>
        <w:autoSpaceDE w:val="0"/>
        <w:autoSpaceDN w:val="0"/>
        <w:spacing w:after="0" w:line="240" w:lineRule="auto"/>
        <w:ind w:left="567"/>
        <w:jc w:val="both"/>
        <w:rPr>
          <w:i/>
          <w:iCs/>
          <w:sz w:val="20"/>
          <w:szCs w:val="18"/>
        </w:rPr>
      </w:pPr>
      <w:r>
        <w:t xml:space="preserve">„13. Zastosowanie do konkretnego produktu, takiego jak margaryna, rozporządzenia wprowadzającego odstępstwo od innego istniejącego już przepisu technicznego dotyczącego tego samego produktu stanowi przepis techniczny w rozumieniu art. 1 ust. 5 dyrektywy, ponieważ ustanawia ono specyfikacje techniczne w rozumieniu art. 1 ust. 1, których przestrzeganie jest obowiązkowe, de iure lub de facto, gdy produkt ten jest wprowadzany do obrotu lub używany. Jeżeli margaryna nie jest wytwarzana zgodnie z przepisami dekretu w sprawie Margarine, może być ona wytwarzana wyłącznie przy użyciu produktów zastępczych dopuszczonych na mocy spornego zarządzenia. Stosowanie tych produktów zastępczych jest nie tylko ograniczone warunkami określonymi w spornym rozporządzeniu, lecz są one jedynymi alternatywami dla produktów, które mogą być stosowane na podstawie dekretu w sprawie Margarine. W związku z tym sporne zarządzenie powinno było zostać zgłoszone zgodnie z dyrektywą”.</w:t>
      </w:r>
    </w:p>
    <w:p w14:paraId="3246D759" w14:textId="77777777">
      <w:pPr>
        <w:spacing w:after="0" w:line="240" w:lineRule="auto"/>
      </w:pPr>
    </w:p>
    <w:bookmarkStart w:id="19" w:name="_Hlk193381440"/>
    <w:p w14:paraId="62C03AFC" w14:textId="2795F956">
      <w:pPr>
        <w:pStyle w:val="P68B1DB1-P68B1DB1-Normal168"/>
        <w:widowControl w:val="0"/>
        <w:autoSpaceDE w:val="0"/>
        <w:autoSpaceDN w:val="0"/>
        <w:spacing w:after="0" w:line="240" w:lineRule="auto"/>
        <w:jc w:val="both"/>
        <w:outlineLvl w:val="1"/>
        <w:rPr>
          <w:b/>
          <w:bCs/>
          <w:i/>
          <w:iCs/>
          <w:sz w:val="22"/>
          <w:szCs w:val="18"/>
          <w:u w:val="single"/>
        </w:rPr>
      </w:pPr>
      <w:r>
        <w:rPr>
          <w:u w:val="single"/>
        </w:rPr>
        <w:fldChar w:fldCharType="begin"/>
      </w:r>
      <w:r>
        <w:rPr>
          <w:b/>
          <w:bCs/>
          <w:i/>
          <w:iCs/>
          <w:sz w:val="22"/>
          <w:szCs w:val="18"/>
          <w:u w:val="single"/>
        </w:rPr>
        <w:instrText>HYPERLINK "https://eur-lex.europa.eu/legal-content/EN/TXT/PDF/?uri=CELEX:61994CJ0194"</w:instrText>
      </w:r>
      <w:r>
        <w:rPr>
          <w:b/>
          <w:bCs/>
          <w:i/>
          <w:iCs/>
          <w:sz w:val="22"/>
          <w:szCs w:val="18"/>
          <w:u w:val="single"/>
        </w:rPr>
      </w:r>
      <w:r>
        <w:rPr>
          <w:b/>
          <w:bCs/>
          <w:i/>
          <w:iCs/>
          <w:sz w:val="22"/>
          <w:szCs w:val="18"/>
          <w:u w:val="single"/>
        </w:rPr>
        <w:fldChar w:fldCharType="separate"/>
      </w:r>
      <w:bookmarkStart w:id="20" w:name="_Toc198043789"/>
      <w:r>
        <w:rPr>
          <w:b/>
          <w:bCs/>
          <w:i/>
          <w:iCs/>
          <w:color w:val="0000FF"/>
          <w:sz w:val="22"/>
          <w:szCs w:val="18"/>
          <w:u w:val="single"/>
        </w:rPr>
        <w:t xml:space="preserve">Wyrok z dnia 30 kwietnia</w:t>
      </w:r>
      <w:r>
        <w:rPr>
          <w:b/>
          <w:bCs/>
          <w:i/>
          <w:iCs/>
          <w:color w:val="0000FF"/>
          <w:sz w:val="22"/>
          <w:szCs w:val="18"/>
          <w:u w:val="single"/>
        </w:rPr>
        <w:fldChar w:fldCharType="end"/>
        <w:t>1996</w:t>
      </w:r>
      <w:r>
        <w:t xml:space="preserve"> r., CIA Security International SA, C-194/94, EU:C:1996:172, pkt 30</w:t>
      </w:r>
      <w:bookmarkEnd w:id="20"/>
    </w:p>
    <w:p w14:paraId="03A3C49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B9B60A" w14:textId="77777777">
      <w:pPr>
        <w:pStyle w:val="P68B1DB1-P68B1DB1-Normal135"/>
        <w:widowControl w:val="0"/>
        <w:tabs>
          <w:tab w:val="left" w:pos="393"/>
        </w:tabs>
        <w:autoSpaceDE w:val="0"/>
        <w:autoSpaceDN w:val="0"/>
        <w:spacing w:after="0" w:line="240" w:lineRule="auto"/>
        <w:jc w:val="both"/>
        <w:rPr>
          <w:b w:val="0"/>
          <w:bCs/>
          <w:i w:val="0"/>
          <w:iCs/>
        </w:rPr>
      </w:pPr>
      <w:r>
        <w:t xml:space="preserve">Przepis należy zakwalifikować jako „przepis techniczny”, jeżeli wymaga on od zainteresowanych przedsiębiorstw złożenia wniosku o uprzednie zatwierdzenie ich wyposażenia, nawet jeśli przewidywane przepisy administracyjne nie zostały przyjęte.</w:t>
      </w:r>
    </w:p>
    <w:p w14:paraId="3B8967AA"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215AA9EB" w14:textId="10F7CC33">
      <w:pPr>
        <w:pStyle w:val="P68B1DB1-P68B1DB1-Normal147"/>
        <w:widowControl w:val="0"/>
        <w:tabs>
          <w:tab w:val="left" w:pos="396"/>
        </w:tabs>
        <w:autoSpaceDE w:val="0"/>
        <w:autoSpaceDN w:val="0"/>
        <w:spacing w:after="0" w:line="240" w:lineRule="auto"/>
        <w:ind w:left="567"/>
        <w:jc w:val="both"/>
        <w:rPr>
          <w:i/>
          <w:iCs/>
          <w:sz w:val="20"/>
          <w:szCs w:val="18"/>
        </w:rPr>
      </w:pPr>
      <w:r>
        <w:t>„30</w:t>
      </w:r>
      <w:bookmarkEnd w:id="19"/>
      <w:r>
        <w:t xml:space="preserve">. [...] przepis należy zakwalifikować jako przepis techniczny w rozumieniu dyrektywy 83/189, jeżeli – jak podniósł rząd belgijski na rozprawie – wymaga od zainteresowanych przedsiębiorstw złożenia wniosku o uprzednie zatwierdzenie ich wyposażenia, nawet jeśli przewidziane przepisy administracyjne nie zostały przyjęte”.</w:t>
      </w:r>
    </w:p>
    <w:p w14:paraId="2E3568F3" w14:textId="77777777">
      <w:pPr>
        <w:spacing w:after="0" w:line="240" w:lineRule="auto"/>
      </w:pPr>
    </w:p>
    <w:bookmarkStart w:id="21" w:name="_Hlk193380849"/>
    <w:p w14:paraId="5207FE2E" w14:textId="5E0891EF">
      <w:pPr>
        <w:pStyle w:val="P68B1DB1-P68B1DB1-Normal169"/>
        <w:widowControl w:val="0"/>
        <w:autoSpaceDE w:val="0"/>
        <w:autoSpaceDN w:val="0"/>
        <w:spacing w:after="0" w:line="240" w:lineRule="auto"/>
        <w:jc w:val="both"/>
        <w:outlineLvl w:val="1"/>
        <w:rPr>
          <w:b/>
          <w:bCs/>
          <w:i/>
          <w:iCs/>
          <w:sz w:val="24"/>
          <w:szCs w:val="20"/>
        </w:rPr>
      </w:pPr>
      <w:r>
        <w:fldChar w:fldCharType="begin"/>
      </w:r>
      <w:r>
        <w:rPr>
          <w:b/>
          <w:bCs/>
          <w:i/>
          <w:iCs/>
          <w:sz w:val="24"/>
          <w:szCs w:val="20"/>
        </w:rPr>
        <w:instrText>HYPERLINK "https://curia.europa.eu/juris/showPdf.jsf?text=&amp;docid=43725&amp;pageIndex=0&amp;doclang=EN&amp;mode=lst&amp;dir=&amp;occ=first&amp;part=1&amp;cid=10811412"</w:instrText>
      </w:r>
      <w:r>
        <w:rPr>
          <w:b/>
          <w:bCs/>
          <w:i/>
          <w:iCs/>
          <w:sz w:val="24"/>
          <w:szCs w:val="20"/>
        </w:rPr>
      </w:r>
      <w:r>
        <w:rPr>
          <w:b/>
          <w:bCs/>
          <w:i/>
          <w:iCs/>
          <w:sz w:val="24"/>
          <w:szCs w:val="20"/>
        </w:rPr>
        <w:fldChar w:fldCharType="separate"/>
      </w:r>
      <w:bookmarkStart w:id="22" w:name="_Toc198043790"/>
      <w:r>
        <w:rPr>
          <w:b/>
          <w:bCs/>
          <w:i/>
          <w:iCs/>
          <w:color w:val="0000FF"/>
          <w:sz w:val="24"/>
          <w:szCs w:val="20"/>
          <w:u w:val="single"/>
        </w:rPr>
        <w:t xml:space="preserve">Wyrok z dnia 16 września 1996</w:t>
      </w:r>
      <w:r>
        <w:rPr>
          <w:b/>
          <w:bCs/>
          <w:i/>
          <w:iCs/>
          <w:color w:val="0000FF"/>
          <w:sz w:val="24"/>
          <w:szCs w:val="20"/>
          <w:u w:val="single"/>
        </w:rPr>
        <w:fldChar w:fldCharType="end"/>
        <w:t xml:space="preserve">r., Komisja/Włochy, C-279/94, EU:C:1997:396, pkt 34.</w:t>
      </w:r>
      <w:bookmarkEnd w:id="22"/>
    </w:p>
    <w:p w14:paraId="17AF04A1"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305146C4" w14:textId="48041DD6">
      <w:pPr>
        <w:pStyle w:val="P68B1DB1-P68B1DB1-Normal135"/>
        <w:widowControl w:val="0"/>
        <w:tabs>
          <w:tab w:val="left" w:pos="396"/>
          <w:tab w:val="left" w:pos="461"/>
        </w:tabs>
        <w:autoSpaceDE w:val="0"/>
        <w:autoSpaceDN w:val="0"/>
        <w:spacing w:after="0" w:line="240" w:lineRule="auto"/>
        <w:jc w:val="both"/>
        <w:rPr>
          <w:b w:val="0"/>
          <w:bCs/>
          <w:i w:val="0"/>
          <w:iCs/>
        </w:rPr>
      </w:pPr>
      <w:r>
        <w:t xml:space="preserve">Przepis określający dopuszczalne wartości stężenia respirabilnych włókien azbestu w miejscu pracy nie jest „specyfikacją techniczną”, ponieważ nie określa wymaganych cech produktu.</w:t>
      </w:r>
    </w:p>
    <w:bookmarkEnd w:id="21"/>
    <w:p w14:paraId="3914A279"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i/>
          <w:iCs/>
          <w:sz w:val="20"/>
          <w:szCs w:val="16"/>
        </w:rPr>
      </w:pPr>
    </w:p>
    <w:p w14:paraId="67A9CA8E" w14:textId="0D618384">
      <w:pPr>
        <w:pStyle w:val="P68B1DB1-P68B1DB1-Normal147"/>
        <w:widowControl w:val="0"/>
        <w:tabs>
          <w:tab w:val="left" w:pos="396"/>
          <w:tab w:val="left" w:pos="461"/>
        </w:tabs>
        <w:autoSpaceDE w:val="0"/>
        <w:autoSpaceDN w:val="0"/>
        <w:spacing w:after="0" w:line="240" w:lineRule="auto"/>
        <w:ind w:left="567"/>
        <w:jc w:val="both"/>
        <w:rPr>
          <w:i/>
          <w:iCs/>
          <w:sz w:val="20"/>
          <w:szCs w:val="18"/>
        </w:rPr>
      </w:pPr>
      <w:r>
        <w:t xml:space="preserve">„34. Jednakże zgodnie z art. 1 pkt 5 dyrektywy przez „przepisy techniczne” należy rozumieć „specyfikacje techniczne, włącznie z odpowiednimi przepisami administracyjnymi, których przestrzeganie jest obowiązkowe, de iure lub de facto, w przypadku wprowadzania do obrotu lub używania w państwie członkowskim”. Zgodnie z art. 1 pkt 1 dyrektywy „specyfikacja techniczna” oznacza specyfikację zawartą w dokumencie określającym wymagane cechy produktu, takie jak poziom jakości, właściwości użytkowych i bezpieczeństwa. Artykuł 3 ust. 1 ustawy nr 257/92 ustanawia limity stężenia wdychalnych włókien azbestu w miejscu pracy. Ponieważ przepis ten nie definiuje właściwości produktu, co do zasady nie wchodzi on w zakres definicji specyfikacji technicznej i w związku z tym nie może być uznany za przepis techniczny, który musi zostać zgłoszony Komisji zgodnie z art. 8 ust. 1 akapit pierwszy dyrektywy. Chociaż przestrzeganie dopuszczalnych wartości stężeń wdychalnych włókien azbestu przewidzianych w art. 3 ustawy nr 257/92 może mieć konsekwencje w odniesieniu do właściwości danego wyrobu, ponieważ jest to przewidziane w art. 1 pkt 1 dyrektywy, Komisja nie wykazała, w jaki sposób mogłoby to mieć miejsce”.</w:t>
      </w:r>
    </w:p>
    <w:p w14:paraId="77CC982D" w14:textId="77777777">
      <w:pPr>
        <w:spacing w:after="0" w:line="240" w:lineRule="auto"/>
      </w:pPr>
    </w:p>
    <w:p w14:paraId="7EF6FA71" w14:textId="696433A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7" w:history="1">
        <w:r>
          <w:rPr>
            <w:color w:val="0000FF"/>
            <w:u w:val="single"/>
          </w:rPr>
          <w:t xml:space="preserve">Wyrok z dnia 17 września 1996</w:t>
        </w:r>
      </w:hyperlink>
      <w:r>
        <w:t xml:space="preserve"> r., Komisja/Włochy, C-289/94, EU:C:1996:330, pkt 32.</w:t>
      </w:r>
      <w:bookmarkEnd w:id="23"/>
    </w:p>
    <w:p w14:paraId="63F2CA3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4459CD7" w14:textId="60F96DFC">
      <w:pPr>
        <w:pStyle w:val="P68B1DB1-P68B1DB1-Normal135"/>
        <w:widowControl w:val="0"/>
        <w:tabs>
          <w:tab w:val="left" w:pos="393"/>
          <w:tab w:val="left" w:pos="396"/>
        </w:tabs>
        <w:autoSpaceDE w:val="0"/>
        <w:autoSpaceDN w:val="0"/>
        <w:spacing w:after="0" w:line="240" w:lineRule="auto"/>
        <w:jc w:val="both"/>
        <w:rPr>
          <w:b w:val="0"/>
          <w:bCs/>
          <w:i w:val="0"/>
          <w:iCs/>
        </w:rPr>
      </w:pPr>
      <w:r>
        <w:t xml:space="preserve">Dekret regulujący jakość wody przeznaczonej do uprawy mięczaków stanowi „przepis techniczny” podlegający obowiązkowi zgłoszenia ze względu na jego bezpośredni wpływ na obrót danymi produktami. </w:t>
      </w:r>
    </w:p>
    <w:p w14:paraId="2D9EC8A9"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3F84CC3E" w14:textId="06ABFE08">
      <w:pPr>
        <w:pStyle w:val="P68B1DB1-P68B1DB1-Normal147"/>
        <w:widowControl w:val="0"/>
        <w:tabs>
          <w:tab w:val="left" w:pos="393"/>
          <w:tab w:val="left" w:pos="396"/>
        </w:tabs>
        <w:autoSpaceDE w:val="0"/>
        <w:autoSpaceDN w:val="0"/>
        <w:spacing w:after="0" w:line="240" w:lineRule="auto"/>
        <w:ind w:left="567"/>
        <w:jc w:val="both"/>
        <w:rPr>
          <w:i/>
          <w:iCs/>
          <w:sz w:val="20"/>
          <w:szCs w:val="18"/>
        </w:rPr>
      </w:pPr>
      <w:r>
        <w:t xml:space="preserve">„32.  Chociaż dekret nr 256 dotyczy niektórych aspektów jakości wód przeznaczonych do produkcji jadalnych mięczaków lamelliabi, to jednak, jak słusznie zauważyła Komisja, ustanawia on bardzo ścisłą korelację między jakością wód wykorzystywanych do takiej uprawy a wprowadzaniem do obrotu mięczaków lamellibranch przeznaczonych do spożycia przez ludzi. W związku z tym jedynie mięczaki uprawiane na wodach zgodnych ze specyfikacjami technicznymi określonymi w dekrecie nr 256 mogą być wprowadzane do obrotu. Przestrzeganie tych wiążących specyfikacji ma zatem bezpośredni wpływ na sprzedaż mięczaków, w związku z czym dekret nr 256 należy uznać za przepis techniczny podlegający obowiązkowi zgłoszenia zgodnie z art. 8 dyrektywy 83/189”.</w:t>
      </w:r>
    </w:p>
    <w:p w14:paraId="649C3FFC" w14:textId="77777777">
      <w:pPr>
        <w:spacing w:after="0" w:line="240" w:lineRule="auto"/>
      </w:pPr>
    </w:p>
    <w:p w14:paraId="594FA21A" w14:textId="5BFD552E">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8" w:history="1">
        <w:r>
          <w:rPr>
            <w:color w:val="0000FF"/>
            <w:u w:val="single"/>
          </w:rPr>
          <w:t xml:space="preserve">Wyrok z dnia 11 maja 1999</w:t>
        </w:r>
      </w:hyperlink>
      <w:r>
        <w:t xml:space="preserve"> r., Albers i in., C-425/97 do 427/97, EU:C:1999:243, pkt 16 i 17.</w:t>
      </w:r>
      <w:bookmarkEnd w:id="24"/>
    </w:p>
    <w:p w14:paraId="5F0AAD7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7AC9467" w14:textId="6F183D52">
      <w:pPr>
        <w:pStyle w:val="P68B1DB1-P68B1DB1-Normal135"/>
        <w:widowControl w:val="0"/>
        <w:tabs>
          <w:tab w:val="left" w:pos="403"/>
        </w:tabs>
        <w:autoSpaceDE w:val="0"/>
        <w:autoSpaceDN w:val="0"/>
        <w:spacing w:after="0" w:line="240" w:lineRule="auto"/>
        <w:jc w:val="both"/>
        <w:rPr>
          <w:b w:val="0"/>
          <w:bCs/>
          <w:i w:val="0"/>
          <w:iCs/>
        </w:rPr>
      </w:pPr>
      <w:r>
        <w:t xml:space="preserve">Przepisy zakazujące podawania bydła niektórych produktów leczniczych stanowią „specyfikacje techniczne”, ponieważ określają metody produkcji produktów rolnych.</w:t>
      </w:r>
    </w:p>
    <w:p w14:paraId="72C610C7"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337E8892" w14:textId="77777777">
      <w:pPr>
        <w:pStyle w:val="P68B1DB1-P68B1DB1-Normal147"/>
        <w:widowControl w:val="0"/>
        <w:tabs>
          <w:tab w:val="left" w:pos="403"/>
        </w:tabs>
        <w:autoSpaceDE w:val="0"/>
        <w:autoSpaceDN w:val="0"/>
        <w:spacing w:after="0"/>
        <w:ind w:left="567"/>
        <w:jc w:val="both"/>
        <w:rPr>
          <w:i/>
          <w:iCs/>
          <w:sz w:val="20"/>
          <w:szCs w:val="18"/>
        </w:rPr>
      </w:pPr>
      <w:r>
        <w:t xml:space="preserve">„16. [...] przepisy, które – podobnie jak w niniejszej sprawie – mają na celu zapobieganie podawaniu substancji sympatykomimetycznych tuczeniu bydła w wieku powyżej 14 tygodni, stanowią specyfikacje techniczne w rozumieniu art. 1 ust. 1 dyrektywy 83/189.</w:t>
      </w:r>
    </w:p>
    <w:p w14:paraId="184A20A2" w14:textId="77777777">
      <w:pPr>
        <w:pStyle w:val="P68B1DB1-Normal14"/>
        <w:widowControl w:val="0"/>
        <w:tabs>
          <w:tab w:val="left" w:pos="403"/>
        </w:tabs>
        <w:autoSpaceDE w:val="0"/>
        <w:autoSpaceDN w:val="0"/>
        <w:spacing w:after="0"/>
        <w:ind w:left="567"/>
        <w:jc w:val="both"/>
        <w:rPr>
          <w:i/>
          <w:iCs/>
          <w:sz w:val="20"/>
          <w:szCs w:val="18"/>
        </w:rPr>
      </w:pPr>
    </w:p>
    <w:p w14:paraId="6ED2A74A" w14:textId="77777777">
      <w:pPr>
        <w:pStyle w:val="P68B1DB1-P68B1DB1-Normal147"/>
        <w:widowControl w:val="0"/>
        <w:tabs>
          <w:tab w:val="left" w:pos="403"/>
        </w:tabs>
        <w:autoSpaceDE w:val="0"/>
        <w:autoSpaceDN w:val="0"/>
        <w:spacing w:after="0"/>
        <w:ind w:left="567"/>
        <w:jc w:val="both"/>
        <w:rPr>
          <w:i/>
          <w:iCs/>
          <w:sz w:val="20"/>
          <w:szCs w:val="18"/>
        </w:rPr>
      </w:pPr>
      <w:r>
        <w:t xml:space="preserve">17. Zasady te określają metody i procedury produkcji produktów rolnych określonych w art. 38 ust. 1 Traktatu WE (obecnie, po zmianie, art. 32 ust. 1 WE) przeznaczonych do spożycia przez ludzi.”</w:t>
      </w:r>
    </w:p>
    <w:p w14:paraId="2268A3D1" w14:textId="77777777">
      <w:pPr>
        <w:pStyle w:val="P68B1DB1-Normal14"/>
        <w:widowControl w:val="0"/>
        <w:tabs>
          <w:tab w:val="left" w:pos="403"/>
        </w:tabs>
        <w:autoSpaceDE w:val="0"/>
        <w:autoSpaceDN w:val="0"/>
        <w:spacing w:after="0" w:line="240" w:lineRule="auto"/>
        <w:ind w:left="567"/>
        <w:jc w:val="both"/>
      </w:pPr>
    </w:p>
    <w:p w14:paraId="23614BFD" w14:textId="3A1567C1">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9" w:history="1">
        <w:r>
          <w:rPr>
            <w:color w:val="0000FF"/>
            <w:u w:val="single"/>
          </w:rPr>
          <w:t xml:space="preserve">Wyrok z dnia 22 stycznia 2000</w:t>
        </w:r>
      </w:hyperlink>
      <w:r>
        <w:t xml:space="preserve"> r., Canal Satélite Digital, C-390/99, EU:C:2002:34, pkt 45–47.</w:t>
      </w:r>
      <w:bookmarkEnd w:id="25"/>
    </w:p>
    <w:p w14:paraId="66ACF23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3D40E02" w14:textId="3EBC10F3">
      <w:pPr>
        <w:pStyle w:val="P68B1DB1-P68B1DB1-Normal135"/>
        <w:widowControl w:val="0"/>
        <w:tabs>
          <w:tab w:val="left" w:pos="396"/>
          <w:tab w:val="left" w:pos="405"/>
        </w:tabs>
        <w:autoSpaceDE w:val="0"/>
        <w:autoSpaceDN w:val="0"/>
        <w:spacing w:after="0" w:line="240" w:lineRule="auto"/>
        <w:jc w:val="both"/>
        <w:rPr>
          <w:b w:val="0"/>
          <w:bCs/>
          <w:i w:val="0"/>
          <w:iCs/>
        </w:rPr>
      </w:pPr>
      <w:r>
        <w:t xml:space="preserve">Przepis krajowy wymagający uprzedniej rejestracji i certyfikacji urządzeń do cyfrowego nadawania i odbioru sygnałów telewizji satelitarnej przed ich wprowadzeniem do obrotu stanowi „przepis techniczny”, ponieważ określa cechy danych produktów. </w:t>
      </w:r>
    </w:p>
    <w:p w14:paraId="492A0BC9"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6D130C89" w14:textId="373E8FE6">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„45. [...] Trybunał orzekł już, że przepisy krajowe, które ograniczają się do ustanowienia warunków zakładania przedsiębiorstw, takie jak przepisy uzależniające wykonywanie działalności od uzyskania uprzedniego zezwolenia, nie stanowią przepisów technicznych w rozumieniu art. 1 pkt 9 dyrektywy 83/189. Przepisy techniczne w rozumieniu tego przepisu to specyfikacje określające cechy charakterystyczne produktów, a nie specyfikacje dotyczące podmiotów gospodarczych (wyrok z dnia 12 grudnia 1996 r. w sprawie C-194/94 CIA Security, Rec. s. I-2201, pkt 25; Wyrok z 2001 r. w sprawie C-278/99 Van der Burg, Rec. s. I-2015, pkt 20).</w:t>
      </w:r>
    </w:p>
    <w:p w14:paraId="0ED4E0E7"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17C4BE95"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46. Jednakże przepis krajowy należy zakwalifikować jako przepis techniczny w rozumieniu art. 1 pkt 9 dyrektywy 83/189, jeżeli wymaga on od zainteresowanych przedsiębiorstw złożenia wniosku o uprzednie zatwierdzenie ich wyposażenia (ww. wyrok w sprawie CIA Security, pkt 30).</w:t>
      </w:r>
    </w:p>
    <w:p w14:paraId="71D02A99"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59FF32EE"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47. Wynika z tego, że przepis krajowy, który zobowiązuje operatorów świadczących usługi warunkowego dostępu do urządzeń, dekoderów lub systemów cyfrowej transmisji i odbioru sygnałów telewizyjnych drogą satelitarną, które zamierzają wprowadzić do obrotu w rejestrze, oraz uzyskania uprzedniej certyfikacji tych produktów przed ich wprowadzeniem do obrotu stanowi »przepis techniczny« w rozumieniu art. 1 pkt 9 dyrektywy 83/189”.</w:t>
      </w:r>
    </w:p>
    <w:p w14:paraId="2E51BE56" w14:textId="77777777">
      <w:pPr>
        <w:spacing w:after="0" w:line="240" w:lineRule="auto"/>
      </w:pPr>
    </w:p>
    <w:p w14:paraId="10FFB5F9" w14:textId="668B4B2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0" w:history="1">
        <w:r>
          <w:rPr>
            <w:color w:val="0000FF"/>
            <w:u w:val="single"/>
          </w:rPr>
          <w:t xml:space="preserve">Wyrok z dnia 26 września 2000</w:t>
        </w:r>
      </w:hyperlink>
      <w:r>
        <w:t xml:space="preserve"> r., Unilever Italia, C-443/98, EU:C:2000:496, pkt 25, 26</w:t>
      </w:r>
      <w:bookmarkEnd w:id="26"/>
    </w:p>
    <w:p w14:paraId="3CF4C4E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33D680" w14:textId="360C593C">
      <w:pPr>
        <w:pStyle w:val="P68B1DB1-P68B1DB1-Normal135"/>
        <w:widowControl w:val="0"/>
        <w:autoSpaceDE w:val="0"/>
        <w:autoSpaceDN w:val="0"/>
        <w:spacing w:after="0" w:line="240" w:lineRule="auto"/>
        <w:jc w:val="both"/>
        <w:rPr>
          <w:b w:val="0"/>
          <w:bCs/>
          <w:i w:val="0"/>
          <w:iCs/>
        </w:rPr>
      </w:pPr>
      <w:r>
        <w:t xml:space="preserve">Przepis dotyczący etykietowania pochodzenia oliwy z oliwek jest „specyfikacją techniczną”, ponieważ stanowi wymóg regulujący etykietowanie produktu.</w:t>
      </w:r>
    </w:p>
    <w:p w14:paraId="00B89F88" w14:textId="77777777">
      <w:pPr>
        <w:widowControl w:val="0"/>
        <w:autoSpaceDE w:val="0"/>
        <w:autoSpaceDN w:val="0"/>
        <w:spacing w:after="0" w:line="240" w:lineRule="auto"/>
        <w:jc w:val="both"/>
        <w:rPr>
          <w:rFonts w:ascii="Times New Roman" w:hAnsi="Times New Roman" w:cs="Times New Roman" w:eastAsia="Times New Roman"/>
          <w:szCs w:val="20"/>
        </w:rPr>
      </w:pPr>
    </w:p>
    <w:p w14:paraId="45CCCC45" w14:textId="77777777">
      <w:pPr>
        <w:pStyle w:val="P68B1DB1-P68B1DB1-Normal147"/>
        <w:widowControl w:val="0"/>
        <w:autoSpaceDE w:val="0"/>
        <w:autoSpaceDN w:val="0"/>
        <w:spacing w:after="0"/>
        <w:ind w:left="567"/>
        <w:jc w:val="both"/>
        <w:rPr>
          <w:i/>
          <w:iCs/>
          <w:sz w:val="20"/>
          <w:szCs w:val="18"/>
        </w:rPr>
      </w:pPr>
      <w:r>
        <w:t xml:space="preserve">„25. W tym względzie wystarczy zauważyć, że zgodnie z jej art. 1 ust. 1 dyrektywa 83/189 traktuje jako „produkty” zarówno produkty przemysłowe, jak i rolne, oraz że zgodnie z ust. 2 tego samego artykułu dyrektywa 83/189 traktuje jako „specyfikacje techniczne” każdą specyfikację zawartą w dokumencie określającym wymagane cechy produktu, w tym wymogi mające zastosowanie do produktu w zakresie etykietowania. Przepisy krajowe zawierające takie specyfikacje stanowią specyfikacje techniczne w rozumieniu dyrektywy 83/189 niezależnie od powodów, dla których zostały przyjęte (zob. podobnie wyrok Trybunału z dnia 17 lipca 1997 r. w sprawie C-13/96 Bic Benelux przeciwko państwu belgijskiemu, Rec. s. I-1753, pkt 19).</w:t>
      </w:r>
    </w:p>
    <w:p w14:paraId="5CC53ED2" w14:textId="77777777">
      <w:pPr>
        <w:pStyle w:val="P68B1DB1-Normal14"/>
        <w:widowControl w:val="0"/>
        <w:autoSpaceDE w:val="0"/>
        <w:autoSpaceDN w:val="0"/>
        <w:spacing w:after="0"/>
        <w:ind w:left="567"/>
        <w:jc w:val="both"/>
        <w:rPr>
          <w:i/>
          <w:iCs/>
          <w:sz w:val="20"/>
          <w:szCs w:val="18"/>
        </w:rPr>
      </w:pPr>
    </w:p>
    <w:p w14:paraId="1607D5BC" w14:textId="596CB8C6">
      <w:pPr>
        <w:pStyle w:val="P68B1DB1-P68B1DB1-Normal147"/>
        <w:widowControl w:val="0"/>
        <w:autoSpaceDE w:val="0"/>
        <w:autoSpaceDN w:val="0"/>
        <w:spacing w:after="0"/>
        <w:ind w:left="567"/>
        <w:jc w:val="both"/>
        <w:rPr>
          <w:i/>
          <w:iCs/>
          <w:sz w:val="20"/>
          <w:szCs w:val="18"/>
        </w:rPr>
      </w:pPr>
      <w:r>
        <w:t xml:space="preserve">26. Tak więc zaskarżona ustawa, która reguluje etykietowanie wskazujące pochodzenie oliwy z oliwek, zawiera przepisy, które należy zakwalifikować jako „specyfikacje techniczne” w rozumieniu dyrektywy 83/189”.</w:t>
      </w:r>
    </w:p>
    <w:p w14:paraId="459F3FCC" w14:textId="77777777">
      <w:pPr>
        <w:spacing w:after="0" w:line="240" w:lineRule="auto"/>
      </w:pPr>
    </w:p>
    <w:p w14:paraId="095F5F49" w14:textId="2E38BF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1" w:history="1">
        <w:r>
          <w:rPr>
            <w:color w:val="0000FF"/>
            <w:u w:val="single"/>
          </w:rPr>
          <w:t xml:space="preserve">Wyrok z dnia 12 października 2000</w:t>
        </w:r>
      </w:hyperlink>
      <w:r>
        <w:t xml:space="preserve"> r., Snellers, C-314/98, EU:C:2000:557, pkt 37–39</w:t>
      </w:r>
      <w:bookmarkEnd w:id="27"/>
    </w:p>
    <w:p w14:paraId="2AD735C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FFCEA8D" w14:textId="2B0D93B0">
      <w:pPr>
        <w:widowControl w:val="0"/>
        <w:tabs>
          <w:tab w:val="left" w:pos="403"/>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„Specyfikacja techniczna” musi odnosić się do produktu jako takiego. Rozporządzenie ustanawiające kryteria określania daty, w której pojazd został uznany za po raz pierwszy dopuszczony do ruchu na drogach publicznych w celu wydania dowodu rejestracyjnego, nie określa żadnej cechy wymaganej od samego produktu i w związku z tym nie może zostać zakwalifikowane jako „przepis techniczny”.</w:t>
      </w:r>
    </w:p>
    <w:p w14:paraId="4B51E0FD"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64BEEE86" w14:textId="77777777">
      <w:pPr>
        <w:pStyle w:val="P68B1DB1-P68B1DB1-Normal147"/>
        <w:widowControl w:val="0"/>
        <w:tabs>
          <w:tab w:val="left" w:pos="403"/>
        </w:tabs>
        <w:autoSpaceDE w:val="0"/>
        <w:autoSpaceDN w:val="0"/>
        <w:spacing w:after="0"/>
        <w:ind w:left="567"/>
        <w:jc w:val="both"/>
        <w:rPr>
          <w:i/>
          <w:iCs/>
          <w:sz w:val="20"/>
          <w:szCs w:val="18"/>
        </w:rPr>
      </w:pPr>
      <w:r>
        <w:t xml:space="preserve">„37. [...] przepisy, które – podobnie jak te rozpatrywane w postępowaniu głównym – mają na celu określenie daty pierwszego dopuszczenia pojazdu do ruchu na drogach publicznych, nie są specyfikacjami technicznymi w rozumieniu dyrektywy 83/189 i nie mogą zatem zostać zakwalifikowane jako przepisy techniczne objęte zakresem stosowania tej dyrektywy.</w:t>
      </w:r>
    </w:p>
    <w:p w14:paraId="0BD17994" w14:textId="77777777">
      <w:pPr>
        <w:pStyle w:val="P68B1DB1-Normal14"/>
        <w:widowControl w:val="0"/>
        <w:tabs>
          <w:tab w:val="left" w:pos="403"/>
        </w:tabs>
        <w:autoSpaceDE w:val="0"/>
        <w:autoSpaceDN w:val="0"/>
        <w:spacing w:after="0"/>
        <w:ind w:left="567"/>
        <w:jc w:val="both"/>
        <w:rPr>
          <w:i/>
          <w:iCs/>
          <w:sz w:val="20"/>
          <w:szCs w:val="18"/>
        </w:rPr>
      </w:pPr>
    </w:p>
    <w:p w14:paraId="7E31CFA5" w14:textId="094AFB8A">
      <w:pPr>
        <w:pStyle w:val="P68B1DB1-P68B1DB1-Normal147"/>
        <w:widowControl w:val="0"/>
        <w:tabs>
          <w:tab w:val="left" w:pos="403"/>
        </w:tabs>
        <w:autoSpaceDE w:val="0"/>
        <w:autoSpaceDN w:val="0"/>
        <w:spacing w:after="0"/>
        <w:ind w:left="567"/>
        <w:jc w:val="both"/>
        <w:rPr>
          <w:i/>
          <w:iCs/>
          <w:sz w:val="20"/>
          <w:szCs w:val="18"/>
        </w:rPr>
      </w:pPr>
      <w:r>
        <w:t xml:space="preserve">38. Artykuł 1 ust. 1 dyrektywy 83/189 stanowi, że w odniesieniu do produktów takich jak te będące przedmiotem postępowania głównego specyfikacja techniczna w rozumieniu tej dyrektywy jest „specyfikacją zawartą w dokumencie określającym wymagane cechy produktu. Specyfikacje techniczne do celów dyrektywy 83/189 muszą zatem odnosić się do produktu jako takiego; potwierdza to zresztą niewyczerpujący wykaz odnośnych specyfikacji przedstawiony tytułem przykładu w art. 1 ust. 1 tej dyrektywy.</w:t>
      </w:r>
    </w:p>
    <w:p w14:paraId="231677E0" w14:textId="77777777">
      <w:pPr>
        <w:pStyle w:val="P68B1DB1-Normal14"/>
        <w:widowControl w:val="0"/>
        <w:tabs>
          <w:tab w:val="left" w:pos="403"/>
        </w:tabs>
        <w:autoSpaceDE w:val="0"/>
        <w:autoSpaceDN w:val="0"/>
        <w:spacing w:after="0"/>
        <w:ind w:left="567"/>
        <w:jc w:val="both"/>
        <w:rPr>
          <w:i/>
          <w:iCs/>
          <w:sz w:val="20"/>
          <w:szCs w:val="18"/>
        </w:rPr>
      </w:pPr>
    </w:p>
    <w:p w14:paraId="57F7E593" w14:textId="77777777">
      <w:pPr>
        <w:pStyle w:val="P68B1DB1-P68B1DB1-Normal147"/>
        <w:widowControl w:val="0"/>
        <w:tabs>
          <w:tab w:val="left" w:pos="403"/>
        </w:tabs>
        <w:autoSpaceDE w:val="0"/>
        <w:autoSpaceDN w:val="0"/>
        <w:spacing w:after="0"/>
        <w:ind w:left="567"/>
        <w:jc w:val="both"/>
        <w:rPr>
          <w:i/>
          <w:iCs/>
          <w:sz w:val="20"/>
          <w:szCs w:val="18"/>
        </w:rPr>
      </w:pPr>
      <w:r>
        <w:t xml:space="preserve">39. Rozporządzenie określa szereg kryteriów ustalania daty, w której pojazd w rozumieniu Wegenverkeerswet został uznany za po raz pierwszy dopuszczony do ruchu drogowego w celu sporządzenia dowodu rejestracyjnego. Rozporządzenie nie definiuje zatem żadnej cechy produktu jako takiej”.</w:t>
      </w:r>
    </w:p>
    <w:p w14:paraId="5C2F2353" w14:textId="77777777">
      <w:pPr>
        <w:spacing w:after="0" w:line="240" w:lineRule="auto"/>
      </w:pPr>
    </w:p>
    <w:p w14:paraId="176B08B6" w14:textId="7FC0C14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22" w:history="1">
        <w:r>
          <w:rPr>
            <w:rStyle w:val="Hyperlink"/>
            <w:rFonts w:ascii="Times New Roman" w:hAnsi="Times New Roman" w:cs="Times New Roman" w:eastAsia="Times New Roman"/>
            <w:b/>
            <w:i/>
            <w:color w:val="0000FF"/>
            <w:szCs w:val="20"/>
          </w:rPr>
          <w:t xml:space="preserve">Wyrok z dnia 16 listopada 2000</w:t>
        </w:r>
      </w:hyperlink>
      <w:r>
        <w:rPr>
          <w:rFonts w:ascii="Times New Roman" w:hAnsi="Times New Roman" w:cs="Times New Roman" w:eastAsia="Times New Roman"/>
          <w:b/>
          <w:i/>
          <w:szCs w:val="20"/>
        </w:rPr>
        <w:t xml:space="preserve"> r., Donkersteeg, C-37/99, EU:C:2000:636, pkt 30 i 31.</w:t>
      </w:r>
      <w:bookmarkEnd w:id="28"/>
    </w:p>
    <w:p w14:paraId="0039F4A1" w14:textId="77777777">
      <w:pPr>
        <w:widowControl w:val="0"/>
        <w:autoSpaceDE w:val="0"/>
        <w:autoSpaceDN w:val="0"/>
        <w:spacing w:after="0" w:line="240" w:lineRule="auto"/>
        <w:jc w:val="both"/>
        <w:rPr>
          <w:rFonts w:ascii="Times New Roman" w:hAnsi="Times New Roman" w:cs="Times New Roman" w:eastAsia="Times New Roman"/>
          <w:szCs w:val="20"/>
        </w:rPr>
      </w:pPr>
    </w:p>
    <w:p w14:paraId="4A6A750B" w14:textId="411010F6">
      <w:pPr>
        <w:pStyle w:val="P68B1DB1-P68B1DB1-Normal135"/>
        <w:widowControl w:val="0"/>
        <w:autoSpaceDE w:val="0"/>
        <w:autoSpaceDN w:val="0"/>
        <w:spacing w:after="0" w:line="240" w:lineRule="auto"/>
        <w:jc w:val="both"/>
        <w:rPr>
          <w:b w:val="0"/>
          <w:bCs/>
          <w:i w:val="0"/>
          <w:iCs/>
        </w:rPr>
      </w:pPr>
      <w:r>
        <w:t xml:space="preserve">W przypadku produktów rolnych „specyfikacja techniczna” jest tekstem określającym ich wymagane cechy charakterystyczne lub metody produkcji. Zasada określająca warunki szczepienia zwierząt gospodarskich jest regułą produkcji, a tym samym „specyfikacją techniczną”. </w:t>
      </w:r>
    </w:p>
    <w:p w14:paraId="7118F572" w14:textId="77777777">
      <w:pPr>
        <w:widowControl w:val="0"/>
        <w:autoSpaceDE w:val="0"/>
        <w:autoSpaceDN w:val="0"/>
        <w:spacing w:after="0" w:line="240" w:lineRule="auto"/>
        <w:jc w:val="both"/>
        <w:rPr>
          <w:rFonts w:ascii="Times New Roman" w:hAnsi="Times New Roman" w:cs="Times New Roman" w:eastAsia="Times New Roman"/>
          <w:szCs w:val="20"/>
        </w:rPr>
      </w:pPr>
    </w:p>
    <w:p w14:paraId="658D0575" w14:textId="77777777">
      <w:pPr>
        <w:pStyle w:val="P68B1DB1-P68B1DB1-Normal147"/>
        <w:widowControl w:val="0"/>
        <w:autoSpaceDE w:val="0"/>
        <w:autoSpaceDN w:val="0"/>
        <w:spacing w:after="0" w:line="240" w:lineRule="auto"/>
        <w:ind w:left="567"/>
        <w:jc w:val="both"/>
        <w:rPr>
          <w:i/>
          <w:iCs/>
          <w:sz w:val="20"/>
          <w:szCs w:val="18"/>
        </w:rPr>
      </w:pPr>
      <w:r>
        <w:t xml:space="preserve">„30. Jak przypomniano w pkt 20 niniejszego wyroku, zgodnie z art. 1 ust. 1 tej dyrektywy w odniesieniu do produktów rolnych „specyfikacja techniczna” jest zawarta w dokumencie określającym wymagane cechy produktu lub jego metody i procedury produkcji.</w:t>
      </w:r>
    </w:p>
    <w:p w14:paraId="6E173AD5" w14:textId="77777777">
      <w:pPr>
        <w:pStyle w:val="P68B1DB1-Normal14"/>
        <w:widowControl w:val="0"/>
        <w:autoSpaceDE w:val="0"/>
        <w:autoSpaceDN w:val="0"/>
        <w:spacing w:after="0" w:line="240" w:lineRule="auto"/>
        <w:ind w:left="567"/>
        <w:jc w:val="both"/>
        <w:rPr>
          <w:i/>
          <w:iCs/>
          <w:sz w:val="20"/>
          <w:szCs w:val="18"/>
        </w:rPr>
      </w:pPr>
    </w:p>
    <w:p w14:paraId="0C38FBB6" w14:textId="77777777">
      <w:pPr>
        <w:pStyle w:val="P68B1DB1-P68B1DB1-Normal147"/>
        <w:widowControl w:val="0"/>
        <w:autoSpaceDE w:val="0"/>
        <w:autoSpaceDN w:val="0"/>
        <w:spacing w:after="0" w:line="240" w:lineRule="auto"/>
        <w:ind w:left="567"/>
        <w:jc w:val="both"/>
        <w:rPr>
          <w:i/>
          <w:iCs/>
          <w:sz w:val="20"/>
          <w:szCs w:val="18"/>
        </w:rPr>
      </w:pPr>
      <w:r>
        <w:t xml:space="preserve">31. Przepis taki jak zawarty w art. 2 ust. 1 VBZA stanowi specyfikację techniczną w rozumieniu art. 1 ust. 1 dyrektywy. Jak słusznie podnosi Komisja, ponieważ dokładne i szczegółowe przepisy dotyczące szczepień przeciwko chorobie Aujeszkyego są związane z produkcją danego produktu rolnego sensu stricto i muszą być przestrzegane w całym cyklu produkcyjnym, zasada ta definiuje zatem „procedurę” wytwarzania tego produktu”.</w:t>
      </w:r>
    </w:p>
    <w:p w14:paraId="011D3230" w14:textId="77777777">
      <w:pPr>
        <w:spacing w:after="0" w:line="240" w:lineRule="auto"/>
      </w:pPr>
    </w:p>
    <w:p w14:paraId="581B1056" w14:textId="6342E1F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3" w:history="1">
        <w:r>
          <w:rPr>
            <w:color w:val="0000FF"/>
            <w:u w:val="single"/>
          </w:rPr>
          <w:t xml:space="preserve">Wyrok z dnia 8 marca 2001</w:t>
        </w:r>
      </w:hyperlink>
      <w:r>
        <w:t xml:space="preserve"> r., Van der Burg, C-278/99, EU:C:2001:143, pkt 20</w:t>
      </w:r>
      <w:bookmarkEnd w:id="29"/>
    </w:p>
    <w:p w14:paraId="214E963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EE5EBFC" w14:textId="4A41B3F9">
      <w:pPr>
        <w:pStyle w:val="P68B1DB1-P68B1DB1-Normal135"/>
        <w:widowControl w:val="0"/>
        <w:tabs>
          <w:tab w:val="left" w:pos="461"/>
        </w:tabs>
        <w:autoSpaceDE w:val="0"/>
        <w:autoSpaceDN w:val="0"/>
        <w:spacing w:after="0" w:line="240" w:lineRule="auto"/>
        <w:jc w:val="both"/>
        <w:rPr>
          <w:b w:val="0"/>
          <w:bCs/>
          <w:i w:val="0"/>
          <w:iCs/>
        </w:rPr>
      </w:pPr>
      <w:r>
        <w:t xml:space="preserve">Rozporządzenie, które ogranicza się do zakazu reklamy handlowej, ale nie określa wymaganych cech produktu, nie stanowi „specyfikacji technicznej”, a zatem nie może być uznane za „przepis techniczny”.</w:t>
      </w:r>
    </w:p>
    <w:p w14:paraId="359B163D" w14:textId="77777777">
      <w:pPr>
        <w:widowControl w:val="0"/>
        <w:tabs>
          <w:tab w:val="left" w:pos="461"/>
        </w:tabs>
        <w:autoSpaceDE w:val="0"/>
        <w:autoSpaceDN w:val="0"/>
        <w:spacing w:after="0" w:line="240" w:lineRule="auto"/>
        <w:jc w:val="both"/>
        <w:rPr>
          <w:rFonts w:ascii="Times New Roman" w:hAnsi="Times New Roman" w:cs="Times New Roman" w:eastAsia="Times New Roman"/>
          <w:szCs w:val="20"/>
        </w:rPr>
      </w:pPr>
    </w:p>
    <w:p w14:paraId="19B0E706" w14:textId="76232F90">
      <w:pPr>
        <w:pStyle w:val="P68B1DB1-P68B1DB1-Normal1710"/>
        <w:widowControl w:val="0"/>
        <w:tabs>
          <w:tab w:val="left" w:pos="461"/>
        </w:tabs>
        <w:autoSpaceDE w:val="0"/>
        <w:autoSpaceDN w:val="0"/>
        <w:spacing w:after="0" w:line="240" w:lineRule="auto"/>
        <w:ind w:left="567"/>
        <w:jc w:val="both"/>
        <w:rPr>
          <w:i/>
          <w:iCs/>
          <w:sz w:val="20"/>
          <w:szCs w:val="18"/>
        </w:rPr>
      </w:pPr>
      <w:r>
        <w:t xml:space="preserve">„20. [...] Zgodnie z art. 1 ust. 1 dyrektywy 83/189 „specyfikacja techniczna” oznacza „specyfikację zawartą w dokumencie określającym wymagane cechy produktu”. Specyfikacje techniczne w rozumieniu dyrektywy 83/189 muszą zatem odnosić się do produktu jako takiego (zob. wyrok z dnia 16 grudnia 2000 r. w sprawie C-314/98 Snellers Auto’s przeciwko Algemeen Directeur van de Dienst Wegverkeer, dotychczas nieopublikowany w Zbiorze, pkt 38). Jednakże przepisy takie jak art. C.11.1 ust. 1 dekretu, które ograniczają się do zakazu stosowania metody wprowadzania do obrotu, nie określają wymaganych cech produktu”.</w:t>
      </w:r>
    </w:p>
    <w:p w14:paraId="329B81E2" w14:textId="77777777">
      <w:pPr>
        <w:spacing w:after="0" w:line="240" w:lineRule="auto"/>
      </w:pPr>
    </w:p>
    <w:p w14:paraId="12D2977E" w14:textId="6E30277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4" w:history="1">
        <w:r>
          <w:rPr>
            <w:color w:val="0000FF"/>
            <w:u w:val="single"/>
          </w:rPr>
          <w:t xml:space="preserve">Wyrok z dnia 6 czerwca 2002</w:t>
        </w:r>
      </w:hyperlink>
      <w:r>
        <w:t xml:space="preserve"> r., Sapod Audic, C-159/00, EU:C:2002:343, pkt 30–33</w:t>
      </w:r>
      <w:bookmarkEnd w:id="30"/>
    </w:p>
    <w:p w14:paraId="340A6E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4A7B62" w14:textId="77777777">
      <w:pPr>
        <w:pStyle w:val="P68B1DB1-P68B1DB1-Normal135"/>
        <w:widowControl w:val="0"/>
        <w:tabs>
          <w:tab w:val="left" w:pos="443"/>
        </w:tabs>
        <w:autoSpaceDE w:val="0"/>
        <w:autoSpaceDN w:val="0"/>
        <w:spacing w:after="0" w:line="240" w:lineRule="auto"/>
        <w:jc w:val="both"/>
        <w:rPr>
          <w:b w:val="0"/>
          <w:bCs/>
          <w:i w:val="0"/>
          <w:iCs/>
        </w:rPr>
      </w:pPr>
      <w:r>
        <w:t xml:space="preserve">Przepis prawa krajowego ustanawiający obowiązek identyfikacji opakowania stanowi „przepis techniczny” podlegający zgłoszeniu w zakresie, w jakim pociąga za sobą obowiązek oznakowania lub etykietowania tego opakowania.</w:t>
      </w:r>
    </w:p>
    <w:p w14:paraId="376C1334" w14:textId="77777777">
      <w:pPr>
        <w:widowControl w:val="0"/>
        <w:tabs>
          <w:tab w:val="left" w:pos="443"/>
        </w:tabs>
        <w:autoSpaceDE w:val="0"/>
        <w:autoSpaceDN w:val="0"/>
        <w:spacing w:after="0" w:line="240" w:lineRule="auto"/>
        <w:jc w:val="both"/>
        <w:rPr>
          <w:rFonts w:ascii="Times New Roman" w:hAnsi="Times New Roman" w:cs="Times New Roman" w:eastAsia="Times New Roman"/>
          <w:szCs w:val="20"/>
        </w:rPr>
      </w:pPr>
    </w:p>
    <w:p w14:paraId="482978FF" w14:textId="77777777">
      <w:pPr>
        <w:pStyle w:val="P68B1DB1-P68B1DB1-Normal147"/>
        <w:widowControl w:val="0"/>
        <w:tabs>
          <w:tab w:val="left" w:pos="443"/>
        </w:tabs>
        <w:autoSpaceDE w:val="0"/>
        <w:autoSpaceDN w:val="0"/>
        <w:spacing w:after="0"/>
        <w:ind w:left="567"/>
        <w:jc w:val="both"/>
        <w:rPr>
          <w:i/>
          <w:iCs/>
          <w:sz w:val="20"/>
          <w:szCs w:val="18"/>
        </w:rPr>
      </w:pPr>
      <w:r>
        <w:t xml:space="preserve">„30. W związku z tym, ponieważ obowiązek identyfikacji opakowań przewidziany w art. 4 akapit drugi dekretu nr 92-377 nie wydaje się pociągać za sobą obowiązku oznakowania lub etykietowania tego opakowania, obowiązek ten nie wydaje się koniecznie odnosić się do produktu lub jego opakowania jako takiego. W ten sposób nie można uznać, że przepis ten określa wymagane cechy produktu w rozumieniu art. 1 ust. 1 dyrektywy 83/189 i w związku z tym nie może być uznany za specyfikację techniczną (zob. w szczególności wyrok z dnia 12 grudnia 2001 r. w sprawie C-278/99 Van der Burg, Rec. s. I-2015, pkt 20).</w:t>
      </w:r>
    </w:p>
    <w:p w14:paraId="7A13B6EF" w14:textId="77777777">
      <w:pPr>
        <w:pStyle w:val="P68B1DB1-Normal14"/>
        <w:widowControl w:val="0"/>
        <w:tabs>
          <w:tab w:val="left" w:pos="443"/>
        </w:tabs>
        <w:autoSpaceDE w:val="0"/>
        <w:autoSpaceDN w:val="0"/>
        <w:spacing w:after="0"/>
        <w:ind w:left="567"/>
        <w:jc w:val="both"/>
        <w:rPr>
          <w:i/>
          <w:iCs/>
          <w:sz w:val="20"/>
          <w:szCs w:val="18"/>
        </w:rPr>
      </w:pPr>
    </w:p>
    <w:p w14:paraId="615DE908" w14:textId="77777777">
      <w:pPr>
        <w:pStyle w:val="P68B1DB1-P68B1DB1-Normal147"/>
        <w:widowControl w:val="0"/>
        <w:tabs>
          <w:tab w:val="left" w:pos="443"/>
        </w:tabs>
        <w:autoSpaceDE w:val="0"/>
        <w:autoSpaceDN w:val="0"/>
        <w:spacing w:after="0"/>
        <w:ind w:left="567"/>
        <w:jc w:val="both"/>
        <w:rPr>
          <w:i/>
          <w:iCs/>
          <w:sz w:val="20"/>
          <w:szCs w:val="18"/>
        </w:rPr>
      </w:pPr>
      <w:r>
        <w:t xml:space="preserve">31.Należy jednak zauważyć, że zgodnie z podziałem kompetencji przewidzianym w art. 234 WE do sądu krajowego należy dokonanie wykładni prawa krajowego, w tym przypadku art. 4 akapit drugi dekretu nr 92-377.</w:t>
      </w:r>
    </w:p>
    <w:p w14:paraId="6AC1BBA2" w14:textId="77777777">
      <w:pPr>
        <w:pStyle w:val="P68B1DB1-Normal14"/>
        <w:widowControl w:val="0"/>
        <w:tabs>
          <w:tab w:val="left" w:pos="443"/>
        </w:tabs>
        <w:autoSpaceDE w:val="0"/>
        <w:autoSpaceDN w:val="0"/>
        <w:spacing w:after="0"/>
        <w:ind w:left="567"/>
        <w:jc w:val="both"/>
        <w:rPr>
          <w:i/>
          <w:iCs/>
          <w:sz w:val="20"/>
          <w:szCs w:val="18"/>
        </w:rPr>
      </w:pPr>
    </w:p>
    <w:p w14:paraId="25482CFD" w14:textId="77777777">
      <w:pPr>
        <w:pStyle w:val="P68B1DB1-P68B1DB1-Normal147"/>
        <w:widowControl w:val="0"/>
        <w:tabs>
          <w:tab w:val="left" w:pos="443"/>
        </w:tabs>
        <w:autoSpaceDE w:val="0"/>
        <w:autoSpaceDN w:val="0"/>
        <w:spacing w:after="0"/>
        <w:ind w:left="567"/>
        <w:jc w:val="both"/>
        <w:rPr>
          <w:i/>
          <w:iCs/>
          <w:sz w:val="20"/>
          <w:szCs w:val="18"/>
        </w:rPr>
      </w:pPr>
      <w:r>
        <w:t xml:space="preserve">32. W konsekwencji Trybunał powinien również rozważyć możliwość, że w świetle wszystkich okoliczności faktycznych i prawnych, którymi dysponuje sąd krajowy, sąd ten dojdzie do wniosku, że art. 4 akapit drugi dekretu nr 92-377 należy interpretować w ten sposób, że nakłada on na producentów obowiązek znakowania lub etykietowania opakowania, nie precyzując jednak, jakie oznaczenie należy umieścić.</w:t>
      </w:r>
    </w:p>
    <w:p w14:paraId="5CF2B868" w14:textId="77777777">
      <w:pPr>
        <w:pStyle w:val="P68B1DB1-Normal14"/>
        <w:widowControl w:val="0"/>
        <w:tabs>
          <w:tab w:val="left" w:pos="443"/>
        </w:tabs>
        <w:autoSpaceDE w:val="0"/>
        <w:autoSpaceDN w:val="0"/>
        <w:spacing w:after="0"/>
        <w:ind w:left="567"/>
        <w:jc w:val="both"/>
        <w:rPr>
          <w:i/>
          <w:iCs/>
          <w:sz w:val="20"/>
          <w:szCs w:val="18"/>
        </w:rPr>
      </w:pPr>
    </w:p>
    <w:p w14:paraId="66994718" w14:textId="77777777">
      <w:pPr>
        <w:pStyle w:val="P68B1DB1-P68B1DB1-Normal147"/>
        <w:widowControl w:val="0"/>
        <w:tabs>
          <w:tab w:val="left" w:pos="443"/>
        </w:tabs>
        <w:autoSpaceDE w:val="0"/>
        <w:autoSpaceDN w:val="0"/>
        <w:spacing w:after="0"/>
        <w:ind w:left="567"/>
        <w:jc w:val="both"/>
        <w:rPr>
          <w:i/>
          <w:iCs/>
          <w:sz w:val="20"/>
          <w:szCs w:val="18"/>
        </w:rPr>
      </w:pPr>
      <w:r>
        <w:t xml:space="preserve">33. W takim przypadku należałoby uznać, że przepis ten stanowi w rzeczywistości specyfikację techniczną w rozumieniu dyrektywy 83/189 i że w konsekwencji, skoro obowiązek ten został nałożony dekretem w przypadku wprowadzania do obrotu produktów w opakowaniach na całym terytorium kraju, przepis ten stanowi przepis techniczny”.</w:t>
      </w:r>
    </w:p>
    <w:p w14:paraId="21495157" w14:textId="77777777">
      <w:pPr>
        <w:spacing w:after="0" w:line="240" w:lineRule="auto"/>
      </w:pPr>
    </w:p>
    <w:p w14:paraId="14C2467B" w14:textId="611D935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5" w:history="1">
        <w:r>
          <w:rPr>
            <w:color w:val="0000FF"/>
            <w:u w:val="single"/>
          </w:rPr>
          <w:t xml:space="preserve">Wyrok z dnia 8 września 2005</w:t>
        </w:r>
      </w:hyperlink>
      <w:r>
        <w:t xml:space="preserve"> r., Komisja/Portugalia, C-500/03, EU:C:2005:515, pkt 30.</w:t>
      </w:r>
      <w:bookmarkEnd w:id="31"/>
    </w:p>
    <w:p w14:paraId="7C16A84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90F33F6" w14:textId="06F84E73">
      <w:pPr>
        <w:spacing w:after="0" w:line="240" w:lineRule="auto"/>
        <w:jc w:val="both"/>
        <w:rPr>
          <w:rFonts w:ascii="Times New Roman" w:hAnsi="Times New Roman" w:cs="Times New Roman" w:eastAsia="Times New Roman"/>
          <w:szCs w:val="20"/>
        </w:rPr>
        <w:pStyle w:val="P68B1DB1-Normal14"/>
      </w:pPr>
      <w:r>
        <w:t xml:space="preserve">Regułą określającą maksymalną długość i wysokość rekreacyjnych jednostek pływających oraz ograniczającą ich moc napędową jest „specyfikacja techniczna”.</w:t>
      </w:r>
    </w:p>
    <w:p w14:paraId="37494660" w14:textId="77777777">
      <w:pPr>
        <w:spacing w:after="0" w:line="240" w:lineRule="auto"/>
        <w:jc w:val="both"/>
        <w:rPr>
          <w:rFonts w:ascii="Times New Roman" w:hAnsi="Times New Roman" w:cs="Times New Roman" w:eastAsia="Times New Roman"/>
          <w:szCs w:val="20"/>
        </w:rPr>
      </w:pPr>
    </w:p>
    <w:p w14:paraId="75D4A043" w14:textId="5A44D1CA">
      <w:pPr>
        <w:widowControl w:val="0"/>
        <w:tabs>
          <w:tab w:val="left" w:pos="467"/>
        </w:tabs>
        <w:autoSpaceDE w:val="0"/>
        <w:autoSpaceDN w:val="0"/>
        <w:spacing w:after="0" w:line="240" w:lineRule="auto"/>
        <w:ind w:left="567"/>
        <w:jc w:val="both"/>
        <w:rPr>
          <w:rFonts w:ascii="Times New Roman" w:hAnsi="Times New Roman" w:cs="Times New Roman" w:eastAsia="Times New Roman"/>
          <w:sz w:val="20"/>
          <w:szCs w:val="18"/>
        </w:rPr>
        <w:pStyle w:val="P68B1DB1-Normal11"/>
      </w:pPr>
      <w:r>
        <w:t xml:space="preserve">(Ponieważ wyrok jest dostępny tylko w języku francuskim i portugalskim, poniższy tekst stanowi tłumaczenie.)</w:t>
      </w:r>
    </w:p>
    <w:p w14:paraId="3C41A5EA" w14:textId="77777777">
      <w:pPr>
        <w:spacing w:after="0" w:line="240" w:lineRule="auto"/>
        <w:jc w:val="both"/>
        <w:rPr>
          <w:rFonts w:ascii="Times New Roman" w:hAnsi="Times New Roman" w:cs="Times New Roman" w:eastAsia="Times New Roman"/>
          <w:sz w:val="20"/>
          <w:szCs w:val="18"/>
        </w:rPr>
      </w:pPr>
    </w:p>
    <w:p w14:paraId="4AAF6423" w14:textId="3EE48C51">
      <w:pPr>
        <w:spacing w:after="0" w:line="240" w:lineRule="auto"/>
        <w:ind w:left="567"/>
        <w:jc w:val="both"/>
        <w:rPr>
          <w:i/>
          <w:iCs/>
          <w:sz w:val="20"/>
          <w:szCs w:val="20"/>
        </w:rPr>
        <w:pStyle w:val="P68B1DB1-Normal19"/>
      </w:pPr>
      <w:r>
        <w:t xml:space="preserve">„30. Z brzmienia art. 2 ust. 1 tego rozporządzenia wynika, że zawiera ono specyfikacje techniczne w rozumieniu art. 1 pkt 3 dyrektywy 98/34, które stanowią przepisy techniczne w rozumieniu tej dyrektywy. Wymogi zawarte w tym rozporządzeniu dotyczą maksymalnej długości i wysokości oraz ograniczenia mocy napędowej dla rekreacyjnych jednostek pływających wykorzystywanych do celów żeglugowych. Te ograniczenia techniczne mają zastosowanie do wszystkich publicznych lagun wodnych w służbie publicznej w Portugalii, z wyjątkiem lagun Douro.”</w:t>
      </w:r>
    </w:p>
    <w:p w14:paraId="45A16E94" w14:textId="77777777">
      <w:pPr>
        <w:spacing w:after="0" w:line="240" w:lineRule="auto"/>
      </w:pPr>
    </w:p>
    <w:p w14:paraId="5D1BF1C4" w14:textId="698AC04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6" w:history="1">
        <w:r>
          <w:rPr>
            <w:color w:val="0000FF"/>
            <w:u w:val="single"/>
          </w:rPr>
          <w:t xml:space="preserve">Wyrok z dnia 8 listopada 2007</w:t>
        </w:r>
      </w:hyperlink>
      <w:r>
        <w:t xml:space="preserve"> r., Schwibbert, C-20/05, EU:C:2007:652, pkt 35–37.</w:t>
      </w:r>
      <w:bookmarkEnd w:id="32"/>
    </w:p>
    <w:p w14:paraId="1416C9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939BFD9" w14:textId="4D52F64B">
      <w:pPr>
        <w:pStyle w:val="P68B1DB1-P68B1DB1-Normal135"/>
        <w:widowControl w:val="0"/>
        <w:tabs>
          <w:tab w:val="left" w:pos="429"/>
        </w:tabs>
        <w:autoSpaceDE w:val="0"/>
        <w:autoSpaceDN w:val="0"/>
        <w:spacing w:after="0" w:line="240" w:lineRule="auto"/>
        <w:jc w:val="both"/>
        <w:rPr>
          <w:b w:val="0"/>
          <w:bCs/>
          <w:i w:val="0"/>
          <w:iCs/>
        </w:rPr>
      </w:pPr>
      <w:r>
        <w:t xml:space="preserve">Przepisy krajowe wprowadzające obowiązek umieszczania oznaczenia odróżniającego na produktach w celu ich wprowadzenia do obrotu w państwie członkowskim stanowią „specyfikacje techniczne”, ponieważ stanowią wymogi dotyczące oznakowania i etykietowania produktów.</w:t>
      </w:r>
    </w:p>
    <w:p w14:paraId="4781C797" w14:textId="77777777">
      <w:pPr>
        <w:widowControl w:val="0"/>
        <w:tabs>
          <w:tab w:val="left" w:pos="429"/>
        </w:tabs>
        <w:autoSpaceDE w:val="0"/>
        <w:autoSpaceDN w:val="0"/>
        <w:spacing w:after="0" w:line="240" w:lineRule="auto"/>
        <w:jc w:val="both"/>
        <w:rPr>
          <w:rFonts w:ascii="Times New Roman" w:hAnsi="Times New Roman" w:cs="Times New Roman" w:eastAsia="Times New Roman"/>
          <w:szCs w:val="20"/>
        </w:rPr>
      </w:pPr>
    </w:p>
    <w:p w14:paraId="58D2CAF0" w14:textId="38AC6134">
      <w:pPr>
        <w:pStyle w:val="P68B1DB1-Normal15"/>
        <w:widowControl w:val="0"/>
        <w:tabs>
          <w:tab w:val="left" w:pos="429"/>
        </w:tabs>
        <w:autoSpaceDE w:val="0"/>
        <w:autoSpaceDN w:val="0"/>
        <w:spacing w:after="0" w:line="240" w:lineRule="auto"/>
        <w:ind w:left="567"/>
        <w:jc w:val="both"/>
        <w:rPr>
          <w:i w:val="0"/>
          <w:iCs/>
        </w:rPr>
      </w:pPr>
      <w:r>
        <w:t xml:space="preserve">„35. Jak orzekł Trybunał, pojęcie specyfikacji technicznej zakłada, że przepis krajowy odnosi się do produktu lub jego opakowania jako takich i określa w ten sposób jedną z wymaganych cech produktu (zob. podobnie wyrok z dnia 12 grudnia 2001 r. w sprawie C-278/99 van der Burg, Rec. s. I-2015, pkt 20; Sprawa C-390/99 Canal Satélite Digital, Rec. 2002, s. I-607, pkt 45; oraz ww. wyroki: w sprawie Sapod Audic, pkt 30; w sprawie Lindberg, pkt 57).</w:t>
      </w:r>
    </w:p>
    <w:p w14:paraId="29C04649" w14:textId="77777777">
      <w:pPr>
        <w:pStyle w:val="P68B1DB1-Normal15"/>
        <w:widowControl w:val="0"/>
        <w:tabs>
          <w:tab w:val="left" w:pos="429"/>
        </w:tabs>
        <w:autoSpaceDE w:val="0"/>
        <w:autoSpaceDN w:val="0"/>
        <w:spacing w:after="0" w:line="240" w:lineRule="auto"/>
        <w:ind w:left="567"/>
        <w:jc w:val="both"/>
        <w:rPr>
          <w:i w:val="0"/>
          <w:iCs/>
        </w:rPr>
      </w:pPr>
    </w:p>
    <w:p w14:paraId="505523FA" w14:textId="38C71B2C">
      <w:pPr>
        <w:pStyle w:val="P68B1DB1-Normal15"/>
        <w:widowControl w:val="0"/>
        <w:tabs>
          <w:tab w:val="left" w:pos="429"/>
        </w:tabs>
        <w:autoSpaceDE w:val="0"/>
        <w:autoSpaceDN w:val="0"/>
        <w:spacing w:after="0" w:line="240" w:lineRule="auto"/>
        <w:ind w:left="567"/>
        <w:jc w:val="both"/>
        <w:rPr>
          <w:i w:val="0"/>
          <w:iCs/>
        </w:rPr>
      </w:pPr>
      <w:r>
        <w:t xml:space="preserve">36. W niniejszym przypadku należy stwierdzić, jak podniosła rzecznik generalny w pkt 46 i 48 opinii, że znak wyróżniający „SIAE”, mający na celu informowanie konsumentów i władz krajowych o tym, że powielone utwory są legalne, umieszcza się na samym nośniku zawierającym utwór, a więc na samym produkcie. Nie jest więc prawdziwe twierdzenie Società Italiana degli Autori ed Editori i rządu włoskiego, że znak ten dotyczy wyłącznie utworu.</w:t>
      </w:r>
    </w:p>
    <w:p w14:paraId="6D521645" w14:textId="77777777">
      <w:pPr>
        <w:pStyle w:val="P68B1DB1-Normal15"/>
        <w:widowControl w:val="0"/>
        <w:tabs>
          <w:tab w:val="left" w:pos="429"/>
        </w:tabs>
        <w:autoSpaceDE w:val="0"/>
        <w:autoSpaceDN w:val="0"/>
        <w:spacing w:after="0" w:line="240" w:lineRule="auto"/>
        <w:ind w:left="567"/>
        <w:jc w:val="both"/>
        <w:rPr>
          <w:i w:val="0"/>
          <w:iCs/>
        </w:rPr>
      </w:pPr>
    </w:p>
    <w:p w14:paraId="012D36DA" w14:textId="1659A5D5">
      <w:pPr>
        <w:pStyle w:val="P68B1DB1-Normal15"/>
        <w:widowControl w:val="0"/>
        <w:tabs>
          <w:tab w:val="left" w:pos="429"/>
        </w:tabs>
        <w:autoSpaceDE w:val="0"/>
        <w:autoSpaceDN w:val="0"/>
        <w:spacing w:after="0" w:line="240" w:lineRule="auto"/>
        <w:ind w:left="567"/>
        <w:jc w:val="both"/>
      </w:pPr>
      <w:r>
        <w:t xml:space="preserve">37. Tymczasem tego rodzaju znak wyróżniający stanowi „specyfikację techniczną” w rozumieniu art. 1 pkt 3 dyrektywy 98/34, gdyż związany jest z przepisami obowiązującymi w stosunku do danych produktów w zakresie oznakowania i etykietowania. W związku z tym, ponieważ przestrzeganie tej specyfikacji jest prawnie obowiązkowe przy wprowadzaniu tych produktów do obrotu, stanowi ona „przepis techniczny” w rozumieniu art. 1 ust. 11 tej dyrektywy (zob. podobnie wyrok z dnia 17 lipca 1997 r. w sprawie C-13/96 Bic Benelux, Rec. s. I-1753, pkt 23).”</w:t>
      </w:r>
    </w:p>
    <w:p w14:paraId="3E9DFE52" w14:textId="77777777">
      <w:pPr>
        <w:pStyle w:val="P68B1DB1-Normal15"/>
        <w:widowControl w:val="0"/>
        <w:tabs>
          <w:tab w:val="left" w:pos="429"/>
        </w:tabs>
        <w:autoSpaceDE w:val="0"/>
        <w:autoSpaceDN w:val="0"/>
        <w:spacing w:after="0" w:line="240" w:lineRule="auto"/>
        <w:ind w:left="567"/>
        <w:jc w:val="both"/>
      </w:pPr>
    </w:p>
    <w:p w14:paraId="4E326150" w14:textId="1B9A65A2">
      <w:pPr>
        <w:widowControl w:val="0"/>
        <w:autoSpaceDE w:val="0"/>
        <w:autoSpaceDN w:val="0"/>
        <w:spacing w:after="0" w:line="240" w:lineRule="auto"/>
        <w:jc w:val="both"/>
        <w:rPr>
          <w:rFonts w:ascii="Times New Roman" w:hAnsi="Times New Roman" w:cs="Times New Roman" w:eastAsia="Times New Roman"/>
          <w:b/>
          <w:i/>
          <w:szCs w:val="20"/>
        </w:rPr>
        <w:pStyle w:val="P68B1DB1-Normal13"/>
      </w:pPr>
      <w:hyperlink r:id="rId27" w:history="1">
        <w:r>
          <w:rPr>
            <w:color w:val="0000FF"/>
            <w:u w:val="single"/>
          </w:rPr>
          <w:t xml:space="preserve">Wyrok z dnia 14 kwietnia 2011</w:t>
        </w:r>
      </w:hyperlink>
      <w:r>
        <w:t xml:space="preserve"> r., Vlaamse Dierenartsenvereniging i Janssens, C-42/10, C-45/10 i C-57/10, EU:C:2011:253, pkt 68–70.</w:t>
      </w:r>
    </w:p>
    <w:p w14:paraId="7DCC10FA"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18B43BA3" w14:textId="6DE800EE">
      <w:pPr>
        <w:pStyle w:val="P68B1DB1-P68B1DB1-Normal135"/>
        <w:widowControl w:val="0"/>
        <w:tabs>
          <w:tab w:val="left" w:pos="431"/>
        </w:tabs>
        <w:autoSpaceDE w:val="0"/>
        <w:autoSpaceDN w:val="0"/>
        <w:spacing w:after="0" w:line="240" w:lineRule="auto"/>
        <w:jc w:val="both"/>
        <w:rPr>
          <w:b w:val="0"/>
          <w:bCs/>
          <w:i w:val="0"/>
          <w:iCs/>
        </w:rPr>
      </w:pPr>
      <w:r>
        <w:t xml:space="preserve">Dyrektywa nie ma zastosowania do paszportów dla zwierząt domowych, które nie mogą być zakwalifikowane jako „produkty”, ponieważ nie mogą być przedmiotem transakcji handlowych. Przepisy krajowe dotyczące paszportów zwierząt domowych nie są zatem „specyfikacją techniczną”, którą należy przekazać Komisji.</w:t>
      </w:r>
    </w:p>
    <w:p w14:paraId="55609695"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757DBF12" w14:textId="28188743">
      <w:pPr>
        <w:pStyle w:val="P68B1DB1-P68B1DB1-Normal147"/>
        <w:widowControl w:val="0"/>
        <w:tabs>
          <w:tab w:val="left" w:pos="403"/>
        </w:tabs>
        <w:autoSpaceDE w:val="0"/>
        <w:autoSpaceDN w:val="0"/>
        <w:spacing w:after="0" w:line="240" w:lineRule="auto"/>
        <w:ind w:left="567"/>
        <w:jc w:val="both"/>
        <w:rPr>
          <w:i/>
          <w:sz w:val="20"/>
          <w:szCs w:val="18"/>
        </w:rPr>
      </w:pPr>
      <w:r>
        <w:t xml:space="preserve">„68. [...] Trybunał miał sposobność przypomnieć, że zakresem swobodnego przepływu towarów objęte są jedynie produkty, które mogą być wycenione w pieniądzu i które jako takie mogą stanowić przedmiot transakcji handlowych (zob. podobnie w szczególności wyroki: z dnia 11 lipca 1968 r. w sprawie 7/68 Komisja przeciwko Włochom, Rec. s. 617, 626; z dnia 12 grudnia 2006 r. w sprawie C-65/05 Komisja przeciwko Grecji, Zb.Orz. s. I-10341, pkt 23–25).</w:t>
      </w:r>
    </w:p>
    <w:p w14:paraId="741819C9" w14:textId="77777777">
      <w:pPr>
        <w:pStyle w:val="P68B1DB1-Normal14"/>
        <w:widowControl w:val="0"/>
        <w:tabs>
          <w:tab w:val="left" w:pos="403"/>
        </w:tabs>
        <w:autoSpaceDE w:val="0"/>
        <w:autoSpaceDN w:val="0"/>
        <w:spacing w:after="0" w:line="240" w:lineRule="auto"/>
        <w:ind w:left="567"/>
        <w:jc w:val="both"/>
        <w:rPr>
          <w:i/>
          <w:sz w:val="20"/>
          <w:szCs w:val="18"/>
        </w:rPr>
      </w:pPr>
    </w:p>
    <w:p w14:paraId="5BA224C9" w14:textId="68AC5503">
      <w:pPr>
        <w:pStyle w:val="P68B1DB1-P68B1DB1-Normal147"/>
        <w:widowControl w:val="0"/>
        <w:tabs>
          <w:tab w:val="left" w:pos="403"/>
        </w:tabs>
        <w:autoSpaceDE w:val="0"/>
        <w:autoSpaceDN w:val="0"/>
        <w:spacing w:after="0" w:line="240" w:lineRule="auto"/>
        <w:ind w:left="567"/>
        <w:jc w:val="both"/>
        <w:rPr>
          <w:i/>
          <w:sz w:val="20"/>
          <w:szCs w:val="18"/>
        </w:rPr>
      </w:pPr>
      <w:r>
        <w:t xml:space="preserve">69. Tymczasem bezsporne jest, że ze względu na to, iż paszporty dla zwierząt domowych są oznaczone niepowtarzalnym numerem i określają tożsamość konkretnego zwierzęcia, nie mogą one jako takie stanowić przedmiotu transakcji handlowych.</w:t>
      </w:r>
    </w:p>
    <w:p w14:paraId="766A1B18" w14:textId="77777777">
      <w:pPr>
        <w:pStyle w:val="P68B1DB1-Normal14"/>
        <w:widowControl w:val="0"/>
        <w:tabs>
          <w:tab w:val="left" w:pos="403"/>
        </w:tabs>
        <w:autoSpaceDE w:val="0"/>
        <w:autoSpaceDN w:val="0"/>
        <w:spacing w:after="0" w:line="240" w:lineRule="auto"/>
        <w:ind w:left="567"/>
        <w:jc w:val="both"/>
        <w:rPr>
          <w:i/>
          <w:sz w:val="20"/>
          <w:szCs w:val="18"/>
        </w:rPr>
      </w:pPr>
    </w:p>
    <w:p w14:paraId="5F9E4D05" w14:textId="4BF6B0DF">
      <w:pPr>
        <w:pStyle w:val="P68B1DB1-P68B1DB1-Normal147"/>
        <w:widowControl w:val="0"/>
        <w:tabs>
          <w:tab w:val="left" w:pos="403"/>
        </w:tabs>
        <w:autoSpaceDE w:val="0"/>
        <w:autoSpaceDN w:val="0"/>
        <w:spacing w:after="0" w:line="240" w:lineRule="auto"/>
        <w:ind w:left="567"/>
        <w:jc w:val="both"/>
        <w:rPr>
          <w:i/>
          <w:sz w:val="20"/>
          <w:szCs w:val="18"/>
        </w:rPr>
      </w:pPr>
      <w:r>
        <w:t xml:space="preserve">70. Paszporty te nie mogą zatem zostać zakwalifikowane jako „produkty” w rozumieniu orzecznictwa Trybunału; dyrektywa 98/34 nie może również mieć do nich zastosowania. W konsekwencji specyfikacje takie jak te zawarte w przepisach belgijskich rozpatrywanych w postępowaniu przed sądem krajowym nie mogą zostać zakwalifikowane jako specyfikacje techniczne, które zgodnie z art. 8 tej dyrektywy powinny zostać wcześniej podane do wiadomości Komisji, a w przeciwnym razie nie powinny być stosowane przez sąd krajowy (zob. podobnie wyrok z dnia 12 grudnia 2007 r. w sprawie C-20/05 Schwibbert, Zb.Orz. s. I-9447, pkt 33, 44 i przytoczone tam orzecznictwo).</w:t>
      </w:r>
    </w:p>
    <w:p w14:paraId="56FDA8D5" w14:textId="77777777">
      <w:pPr>
        <w:spacing w:after="0" w:line="240" w:lineRule="auto"/>
      </w:pPr>
    </w:p>
    <w:p w14:paraId="5C42E26C" w14:textId="7797D2A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8" w:history="1">
        <w:r>
          <w:rPr>
            <w:color w:val="0000FF"/>
            <w:u w:val="single"/>
          </w:rPr>
          <w:t xml:space="preserve">Wyrok z dnia 9 czerwca 2011</w:t>
        </w:r>
      </w:hyperlink>
      <w:r>
        <w:t xml:space="preserve"> r., Intercommunale Intermosane i Fédération de l’industrie et du gaz, C-361/10, EU:C:2011:382, pkt 14–18</w:t>
      </w:r>
      <w:bookmarkEnd w:id="33"/>
    </w:p>
    <w:p w14:paraId="0CF52A6B"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346914E7" w14:textId="1F11C7F6">
      <w:pPr>
        <w:pStyle w:val="P68B1DB1-P68B1DB1-Normal135"/>
        <w:widowControl w:val="0"/>
        <w:autoSpaceDE w:val="0"/>
        <w:autoSpaceDN w:val="0"/>
        <w:spacing w:after="0" w:line="240" w:lineRule="auto"/>
        <w:jc w:val="both"/>
        <w:rPr>
          <w:b w:val="0"/>
          <w:bCs/>
          <w:i w:val="0"/>
          <w:iCs/>
        </w:rPr>
      </w:pPr>
      <w:r>
        <w:t xml:space="preserve">Przepisy krajowe określające minimalne wymagania dotyczące budowy instalacji elektrycznych i bezpieczeństwa pracowników nie stanowią „specyfikacji technicznych”, ponieważ określają ogólne cele w zakresie bezpieczeństwa i ochrony, nie odnosząc się bezpośrednio do produktu lub jego opakowania i nie określając jego cech charakterystycznych. </w:t>
      </w:r>
    </w:p>
    <w:p w14:paraId="3E53A714"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3D76D8" w14:textId="3110737E">
      <w:pPr>
        <w:pStyle w:val="P68B1DB1-P68B1DB1-Normal147"/>
        <w:widowControl w:val="0"/>
        <w:autoSpaceDE w:val="0"/>
        <w:autoSpaceDN w:val="0"/>
        <w:spacing w:after="0" w:line="240" w:lineRule="auto"/>
        <w:ind w:left="567"/>
        <w:jc w:val="both"/>
        <w:rPr>
          <w:i/>
          <w:iCs/>
          <w:sz w:val="20"/>
          <w:szCs w:val="18"/>
        </w:rPr>
      </w:pPr>
      <w:r>
        <w:t xml:space="preserve">„14. [...] należy ustalić, czy przepisy krajowe rozpatrywane w postępowaniu głównym należą do pierwszej kategorii przepisów technicznych przewidzianej w art. 1 pkt 11 dyrektywy 98/34, czyli do pojęcia „specyfikacji technicznej”.</w:t>
      </w:r>
    </w:p>
    <w:p w14:paraId="13050860" w14:textId="77777777">
      <w:pPr>
        <w:pStyle w:val="P68B1DB1-Normal14"/>
        <w:widowControl w:val="0"/>
        <w:autoSpaceDE w:val="0"/>
        <w:autoSpaceDN w:val="0"/>
        <w:spacing w:after="0" w:line="240" w:lineRule="auto"/>
        <w:ind w:left="567"/>
        <w:jc w:val="both"/>
        <w:rPr>
          <w:i/>
          <w:iCs/>
          <w:sz w:val="20"/>
          <w:szCs w:val="18"/>
        </w:rPr>
      </w:pPr>
    </w:p>
    <w:p w14:paraId="431EFE6D" w14:textId="5A6B8906">
      <w:pPr>
        <w:pStyle w:val="P68B1DB1-P68B1DB1-Normal147"/>
        <w:widowControl w:val="0"/>
        <w:autoSpaceDE w:val="0"/>
        <w:autoSpaceDN w:val="0"/>
        <w:spacing w:after="0" w:line="240" w:lineRule="auto"/>
        <w:ind w:left="567"/>
        <w:jc w:val="both"/>
        <w:rPr>
          <w:i/>
          <w:iCs/>
          <w:sz w:val="20"/>
          <w:szCs w:val="18"/>
        </w:rPr>
      </w:pPr>
      <w:r>
        <w:t xml:space="preserve">15. Z orzecznictwa wynika, że pojęcie to, zdefiniowane w art. 1 pkt 3, zakłada, że krajowy przepis odnosi się zawsze do produktu lub jego opakowania jako takich, a zatem ustala jedną z wymaganych cech produktu (zob. ww. wyrok w sprawie Schwibbert, pkt 35 i przytoczone tam orzecznictwo).</w:t>
      </w:r>
    </w:p>
    <w:p w14:paraId="1713743E" w14:textId="77777777">
      <w:pPr>
        <w:pStyle w:val="P68B1DB1-Normal14"/>
        <w:widowControl w:val="0"/>
        <w:autoSpaceDE w:val="0"/>
        <w:autoSpaceDN w:val="0"/>
        <w:spacing w:after="0" w:line="240" w:lineRule="auto"/>
        <w:ind w:left="567"/>
        <w:jc w:val="both"/>
        <w:rPr>
          <w:i/>
          <w:iCs/>
          <w:sz w:val="20"/>
          <w:szCs w:val="18"/>
        </w:rPr>
      </w:pPr>
    </w:p>
    <w:p w14:paraId="605F1D6D" w14:textId="72688735">
      <w:pPr>
        <w:pStyle w:val="P68B1DB1-P68B1DB1-Normal147"/>
        <w:widowControl w:val="0"/>
        <w:autoSpaceDE w:val="0"/>
        <w:autoSpaceDN w:val="0"/>
        <w:spacing w:after="0" w:line="240" w:lineRule="auto"/>
        <w:ind w:left="567"/>
        <w:jc w:val="both"/>
        <w:rPr>
          <w:i/>
          <w:iCs/>
          <w:sz w:val="20"/>
          <w:szCs w:val="18"/>
        </w:rPr>
      </w:pPr>
      <w:r>
        <w:t xml:space="preserve">16. Gdy chodzi o przepisy krajowe będące przedmiotem sporu przed sądem krajowym należy podnieść, że minimalne wymagania dotyczące wykonania określonych instalacji elektrycznych przewidziane w tych przepisach mają na celu zapewnienie bezpieczeństwa tych instalacji w celu zapewnienia ochrony pracownikom z nich korzystającym.</w:t>
      </w:r>
    </w:p>
    <w:p w14:paraId="3BF8D390" w14:textId="77777777">
      <w:pPr>
        <w:pStyle w:val="P68B1DB1-Normal14"/>
        <w:widowControl w:val="0"/>
        <w:autoSpaceDE w:val="0"/>
        <w:autoSpaceDN w:val="0"/>
        <w:spacing w:after="0" w:line="240" w:lineRule="auto"/>
        <w:ind w:left="567"/>
        <w:jc w:val="both"/>
        <w:rPr>
          <w:i/>
          <w:iCs/>
          <w:sz w:val="20"/>
          <w:szCs w:val="18"/>
        </w:rPr>
      </w:pPr>
    </w:p>
    <w:p w14:paraId="53D9038B" w14:textId="44B3180B">
      <w:pPr>
        <w:pStyle w:val="P68B1DB1-P68B1DB1-Normal147"/>
        <w:widowControl w:val="0"/>
        <w:autoSpaceDE w:val="0"/>
        <w:autoSpaceDN w:val="0"/>
        <w:spacing w:after="0" w:line="240" w:lineRule="auto"/>
        <w:ind w:left="567"/>
        <w:jc w:val="both"/>
        <w:rPr>
          <w:i/>
          <w:iCs/>
          <w:sz w:val="20"/>
          <w:szCs w:val="18"/>
        </w:rPr>
      </w:pPr>
      <w:r>
        <w:t xml:space="preserve">17. Tymczasem należy stwierdzić, że te wymagania minimalne obejmują wymogi i cele ogólne w zakresie bezpieczeństwa i ochrony bez odnoszenia się w sposób konieczny do danego produktu albo jego opakowania jako takiego, a zatem bez określania właściwości tego produktu.</w:t>
      </w:r>
    </w:p>
    <w:p w14:paraId="4769C93B" w14:textId="77777777">
      <w:pPr>
        <w:pStyle w:val="P68B1DB1-Normal14"/>
        <w:widowControl w:val="0"/>
        <w:autoSpaceDE w:val="0"/>
        <w:autoSpaceDN w:val="0"/>
        <w:spacing w:after="0" w:line="240" w:lineRule="auto"/>
        <w:ind w:left="567"/>
        <w:jc w:val="both"/>
        <w:rPr>
          <w:i/>
          <w:iCs/>
          <w:sz w:val="20"/>
          <w:szCs w:val="18"/>
        </w:rPr>
      </w:pPr>
    </w:p>
    <w:p w14:paraId="4059BF30" w14:textId="7521DC11">
      <w:pPr>
        <w:pStyle w:val="P68B1DB1-P68B1DB1-Normal147"/>
        <w:widowControl w:val="0"/>
        <w:autoSpaceDE w:val="0"/>
        <w:autoSpaceDN w:val="0"/>
        <w:spacing w:after="0" w:line="240" w:lineRule="auto"/>
        <w:ind w:left="567"/>
        <w:jc w:val="both"/>
        <w:rPr>
          <w:bCs/>
          <w:i/>
          <w:iCs/>
          <w:sz w:val="20"/>
          <w:szCs w:val="18"/>
        </w:rPr>
      </w:pPr>
      <w:r>
        <w:t xml:space="preserve">18. W konsekwencji przepisy krajowe rozpatrywane w postępowaniu głównym nie zawierają specyfikacji technicznych w rozumieniu dyrektywy 98/34”.</w:t>
      </w:r>
    </w:p>
    <w:p w14:paraId="4E087DB6"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36CB90D3" w14:textId="0830F120">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9" w:history="1">
        <w:r>
          <w:rPr>
            <w:color w:val="0000FF"/>
            <w:u w:val="single"/>
          </w:rPr>
          <w:t xml:space="preserve">Wyrok z dnia 19 lipca 2012</w:t>
        </w:r>
      </w:hyperlink>
      <w:r>
        <w:t xml:space="preserve"> r., Fortuna i in., C-213/11, C-214/11 i C-217/11, EU:C:2012:495, pkt 28–30.</w:t>
      </w:r>
      <w:bookmarkEnd w:id="34"/>
    </w:p>
    <w:p w14:paraId="3A7FC31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26C64C2" w14:textId="77777777">
      <w:pPr>
        <w:pStyle w:val="P68B1DB1-P68B1DB1-Normal135"/>
        <w:widowControl w:val="0"/>
        <w:tabs>
          <w:tab w:val="left" w:pos="451"/>
        </w:tabs>
        <w:autoSpaceDE w:val="0"/>
        <w:autoSpaceDN w:val="0"/>
        <w:spacing w:after="0" w:line="240" w:lineRule="auto"/>
        <w:jc w:val="both"/>
        <w:rPr>
          <w:b w:val="0"/>
          <w:bCs/>
          <w:i w:val="0"/>
          <w:iCs/>
        </w:rPr>
      </w:pPr>
      <w:r>
        <w:t xml:space="preserve">Przepisy krajowe ograniczające funkcjonowanie tanich automatów do gier poza kasynami nie są „przepisami technicznymi”, ponieważ nie odnoszą się do cech automatów do gier lub ich opakowań.</w:t>
      </w:r>
    </w:p>
    <w:p w14:paraId="236235AE"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18"/>
          <w:szCs w:val="14"/>
        </w:rPr>
      </w:pPr>
    </w:p>
    <w:p w14:paraId="09B20777" w14:textId="6018D3B7">
      <w:pPr>
        <w:pStyle w:val="P68B1DB1-P68B1DB1-Normal147"/>
        <w:widowControl w:val="0"/>
        <w:autoSpaceDE w:val="0"/>
        <w:autoSpaceDN w:val="0"/>
        <w:spacing w:after="0" w:line="240" w:lineRule="auto"/>
        <w:ind w:left="567"/>
        <w:jc w:val="both"/>
        <w:rPr>
          <w:i/>
          <w:iCs/>
          <w:sz w:val="20"/>
          <w:szCs w:val="18"/>
        </w:rPr>
      </w:pPr>
      <w:r>
        <w:t xml:space="preserve">„28. [...] aby środek krajowy zaliczał się do pierwszej kategorii przepisów technicznych, o której mowa w art. 1 pkt 11 dyrektywy 98/34, to znaczy do pojęcia „specyfikacji technicznej”, musi on koniecznie odnosić się do produktu lub jego opakowania jako takich i określać w ten sposób jedną z wymaganych cech produktu (zob. ww. wyrok w sprawie Intercommunale Intermosane i Fédération de l’industrie et du gaz, pkt 15).</w:t>
      </w:r>
    </w:p>
    <w:p w14:paraId="0DD51D00" w14:textId="77777777">
      <w:pPr>
        <w:pStyle w:val="P68B1DB1-Normal14"/>
        <w:widowControl w:val="0"/>
        <w:autoSpaceDE w:val="0"/>
        <w:autoSpaceDN w:val="0"/>
        <w:spacing w:after="0" w:line="240" w:lineRule="auto"/>
        <w:ind w:left="567"/>
        <w:jc w:val="both"/>
        <w:rPr>
          <w:i/>
          <w:iCs/>
          <w:sz w:val="20"/>
          <w:szCs w:val="18"/>
        </w:rPr>
      </w:pPr>
    </w:p>
    <w:p w14:paraId="43C64864" w14:textId="4E72B44D">
      <w:pPr>
        <w:pStyle w:val="P68B1DB1-P68B1DB1-Normal147"/>
        <w:widowControl w:val="0"/>
        <w:autoSpaceDE w:val="0"/>
        <w:autoSpaceDN w:val="0"/>
        <w:spacing w:after="0" w:line="240" w:lineRule="auto"/>
        <w:ind w:left="567"/>
        <w:jc w:val="both"/>
        <w:rPr>
          <w:i/>
          <w:iCs/>
          <w:sz w:val="20"/>
          <w:szCs w:val="18"/>
        </w:rPr>
      </w:pPr>
      <w:r>
        <w:t xml:space="preserve">29. Wystarczy zaś stwierdzić, że przepisy przejściowe ustawy o grach hazardowych dotyczą zezwoleń na prowadzenie działalności w zakresie gier na automatach o niskich wygranych. Nie odnoszą się więc do automatów do gier o niskich wygranych ani do ich opakowania, nie określają zatem żadnej ich cechy.</w:t>
      </w:r>
    </w:p>
    <w:p w14:paraId="28D3F16E" w14:textId="77777777">
      <w:pPr>
        <w:pStyle w:val="P68B1DB1-Normal14"/>
        <w:widowControl w:val="0"/>
        <w:autoSpaceDE w:val="0"/>
        <w:autoSpaceDN w:val="0"/>
        <w:spacing w:after="0" w:line="240" w:lineRule="auto"/>
        <w:ind w:left="567"/>
        <w:jc w:val="both"/>
        <w:rPr>
          <w:i/>
          <w:iCs/>
          <w:sz w:val="20"/>
          <w:szCs w:val="18"/>
        </w:rPr>
      </w:pPr>
    </w:p>
    <w:p w14:paraId="65E1DF47" w14:textId="1076F250">
      <w:pPr>
        <w:pStyle w:val="P68B1DB1-P68B1DB1-Normal147"/>
        <w:widowControl w:val="0"/>
        <w:autoSpaceDE w:val="0"/>
        <w:autoSpaceDN w:val="0"/>
        <w:spacing w:after="0" w:line="240" w:lineRule="auto"/>
        <w:ind w:left="567"/>
        <w:jc w:val="both"/>
        <w:rPr>
          <w:bCs/>
          <w:i/>
          <w:iCs/>
          <w:sz w:val="20"/>
          <w:szCs w:val="18"/>
        </w:rPr>
      </w:pPr>
      <w:r>
        <w:t xml:space="preserve">30. W konsekwencji przepisy krajowe rozpatrywane w postępowaniu głównym nie zawierają specyfikacji technicznych w rozumieniu dyrektywy 98/34”.</w:t>
      </w:r>
    </w:p>
    <w:p w14:paraId="253F8A3A"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11A687F9" w14:textId="7673430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0" w:history="1">
        <w:r>
          <w:rPr>
            <w:b/>
            <w:i/>
            <w:color w:val="0000FF"/>
            <w:u w:val="single"/>
          </w:rPr>
          <w:t xml:space="preserve">Wyrok z dnia 10 lipca 2014</w:t>
        </w:r>
      </w:hyperlink>
      <w:r>
        <w:rPr>
          <w:b/>
          <w:i/>
        </w:rPr>
        <w:t xml:space="preserve">r., Ivansson i</w:t>
      </w:r>
      <w:r>
        <w:rPr>
          <w:sz w:val="25"/>
        </w:rPr>
        <w:t xml:space="preserve"> in.,</w:t>
      </w:r>
      <w:r>
        <w:rPr>
          <w:b/>
          <w:i/>
        </w:rPr>
        <w:t xml:space="preserve"> C-307/13, EU:C:2014:2058, pkt 19–23</w:t>
      </w:r>
      <w:bookmarkEnd w:id="35"/>
    </w:p>
    <w:p w14:paraId="3CBB181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9768B7" w14:textId="77777777">
      <w:pPr>
        <w:pStyle w:val="P68B1DB1-P68B1DB1-Normal135"/>
        <w:widowControl w:val="0"/>
        <w:tabs>
          <w:tab w:val="left" w:pos="396"/>
          <w:tab w:val="left" w:pos="407"/>
        </w:tabs>
        <w:autoSpaceDE w:val="0"/>
        <w:autoSpaceDN w:val="0"/>
        <w:spacing w:after="0" w:line="240" w:lineRule="auto"/>
        <w:jc w:val="both"/>
        <w:rPr>
          <w:b w:val="0"/>
          <w:bCs/>
          <w:i w:val="0"/>
          <w:iCs/>
        </w:rPr>
      </w:pPr>
      <w:r>
        <w:t xml:space="preserve">Zasada ustanawiająca ogólny cel, jakim jest komfort drobiu i jakość zakładów chowu, nie jest „specyfikacją techniczną”, ponieważ nie określa właściwości produktu i nie jest wystarczająco precyzyjna, aby zdefiniować metodę produkcji. </w:t>
      </w:r>
    </w:p>
    <w:p w14:paraId="7B99302F"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EDA7715" w14:textId="0C493BF1">
      <w:pPr>
        <w:pStyle w:val="P68B1DB1-P68B1DB1-Normal147"/>
        <w:widowControl w:val="0"/>
        <w:autoSpaceDE w:val="0"/>
        <w:autoSpaceDN w:val="0"/>
        <w:spacing w:after="0" w:line="240" w:lineRule="auto"/>
        <w:ind w:left="567"/>
        <w:jc w:val="both"/>
        <w:rPr>
          <w:i/>
          <w:iCs/>
          <w:sz w:val="20"/>
          <w:szCs w:val="18"/>
        </w:rPr>
      </w:pPr>
      <w:r>
        <w:t xml:space="preserve">„19. Należy uściślić, że zgodnie z orzecznictwem pojęcie to zakłada, iż środek krajowy musi koniecznie odnosić się do produktu lub jego opakowania jako takich i określać w ten sposób jedną z wymaganych cech produktu (zob. podobnie wyrok Fortuna i in., EU:C:2012:495, pkt 28).</w:t>
      </w:r>
    </w:p>
    <w:p w14:paraId="5E172BC8" w14:textId="77777777">
      <w:pPr>
        <w:pStyle w:val="P68B1DB1-Normal14"/>
        <w:widowControl w:val="0"/>
        <w:autoSpaceDE w:val="0"/>
        <w:autoSpaceDN w:val="0"/>
        <w:spacing w:after="0" w:line="240" w:lineRule="auto"/>
        <w:ind w:left="567"/>
        <w:jc w:val="both"/>
        <w:rPr>
          <w:i/>
          <w:iCs/>
          <w:sz w:val="20"/>
          <w:szCs w:val="18"/>
        </w:rPr>
      </w:pPr>
    </w:p>
    <w:p w14:paraId="39F7789D" w14:textId="31D50226">
      <w:pPr>
        <w:pStyle w:val="P68B1DB1-P68B1DB1-Normal147"/>
        <w:widowControl w:val="0"/>
        <w:autoSpaceDE w:val="0"/>
        <w:autoSpaceDN w:val="0"/>
        <w:spacing w:after="0" w:line="240" w:lineRule="auto"/>
        <w:ind w:left="567"/>
        <w:jc w:val="both"/>
        <w:rPr>
          <w:i/>
          <w:iCs/>
          <w:sz w:val="20"/>
          <w:szCs w:val="18"/>
        </w:rPr>
      </w:pPr>
      <w:r>
        <w:t xml:space="preserve">20. Ponadto w odniesieniu do produktów rolnych Trybunał wskazał, że pojęcie „specyfikacji technicznej” oznacza specyfikację, która znajduje się w dokumencie określającym cechy produktu lub metody jego produkcji i przetwórstwa (zob. podobnie wyrok Donkersteeg, C-37/99, EU:C:2000:636, pkt 30).</w:t>
      </w:r>
    </w:p>
    <w:p w14:paraId="65DAFA85" w14:textId="77777777">
      <w:pPr>
        <w:pStyle w:val="P68B1DB1-Normal14"/>
        <w:widowControl w:val="0"/>
        <w:autoSpaceDE w:val="0"/>
        <w:autoSpaceDN w:val="0"/>
        <w:spacing w:after="0" w:line="240" w:lineRule="auto"/>
        <w:ind w:left="567"/>
        <w:jc w:val="both"/>
        <w:rPr>
          <w:i/>
          <w:iCs/>
          <w:sz w:val="20"/>
          <w:szCs w:val="18"/>
        </w:rPr>
      </w:pPr>
    </w:p>
    <w:p w14:paraId="1CC9B834" w14:textId="7551980C">
      <w:pPr>
        <w:pStyle w:val="P68B1DB1-P68B1DB1-Normal147"/>
        <w:widowControl w:val="0"/>
        <w:autoSpaceDE w:val="0"/>
        <w:autoSpaceDN w:val="0"/>
        <w:spacing w:after="0" w:line="240" w:lineRule="auto"/>
        <w:ind w:left="567"/>
        <w:jc w:val="both"/>
        <w:rPr>
          <w:i/>
          <w:iCs/>
          <w:sz w:val="20"/>
          <w:szCs w:val="18"/>
        </w:rPr>
      </w:pPr>
      <w:r>
        <w:t xml:space="preserve">21. Tymczasem należy stwierdzić, po pierwsze, że art. 9 rozporządzenia (1988:539) dotyczy komfortu i jakości infrastruktury, w której hodowane są kury nioski, to znaczy wyposażonych klatek, jednak jak wskazuje rząd polski, przepis ten nie określa cech, jakie muszą posiadać rozpatrywane w postępowaniu głównym produkty.</w:t>
      </w:r>
    </w:p>
    <w:p w14:paraId="01AC6E59" w14:textId="77777777">
      <w:pPr>
        <w:pStyle w:val="P68B1DB1-Normal14"/>
        <w:widowControl w:val="0"/>
        <w:autoSpaceDE w:val="0"/>
        <w:autoSpaceDN w:val="0"/>
        <w:spacing w:after="0" w:line="240" w:lineRule="auto"/>
        <w:ind w:left="567"/>
        <w:jc w:val="both"/>
        <w:rPr>
          <w:i/>
          <w:iCs/>
          <w:sz w:val="20"/>
          <w:szCs w:val="18"/>
        </w:rPr>
      </w:pPr>
    </w:p>
    <w:p w14:paraId="4F11FC6F" w14:textId="24A20F05">
      <w:pPr>
        <w:pStyle w:val="P68B1DB1-P68B1DB1-Normal147"/>
        <w:widowControl w:val="0"/>
        <w:autoSpaceDE w:val="0"/>
        <w:autoSpaceDN w:val="0"/>
        <w:spacing w:after="0" w:line="240" w:lineRule="auto"/>
        <w:ind w:left="567"/>
        <w:jc w:val="both"/>
        <w:rPr>
          <w:i/>
          <w:iCs/>
          <w:sz w:val="20"/>
          <w:szCs w:val="18"/>
        </w:rPr>
      </w:pPr>
      <w:r>
        <w:t xml:space="preserve">22. Po drugie, zakładając, że można byłoby uznać, iż przepis ten dotyczy metod produkcji, ponieważ jak wskazano w poprzednim punkcie, odnosi się do hodowli kur niosek w wyposażonych klatkach, należy jednak wskazać, że przepis ten ogranicza się do zaznaczenia w sposób ogólny wymogu istnienia gniazd, grzęd i kąpieli piaskowych w ramach tej infrastruktury, nie określając jednak w sposób szczegółowy różnych aspektów tego sposobu hodowli. Artykuł 9 rozporządzenia (1988:539) nie zawiera bowiem żadnego wskazania odnoszącego się przykładowo do wymiaru, liczby, temperatury, do utrzymania, funkcjonowania tych urządzeń w zakresie ekspozycji kur niosek na światło, albo też do wyposażenia służącego do karmienia i pojenia. Wobec braku jakiegokolwiek uszczegółowienia zawartego w art. 9 rozporządzenia (1988:539) przepisu tego nie można zatem uznać za określający metodę produkcji lub przetwórstwa.</w:t>
      </w:r>
    </w:p>
    <w:p w14:paraId="000E1FB3" w14:textId="77777777">
      <w:pPr>
        <w:pStyle w:val="P68B1DB1-Normal14"/>
        <w:widowControl w:val="0"/>
        <w:autoSpaceDE w:val="0"/>
        <w:autoSpaceDN w:val="0"/>
        <w:spacing w:after="0" w:line="240" w:lineRule="auto"/>
        <w:ind w:left="567"/>
        <w:jc w:val="both"/>
        <w:rPr>
          <w:i/>
          <w:iCs/>
          <w:sz w:val="20"/>
          <w:szCs w:val="18"/>
        </w:rPr>
      </w:pPr>
    </w:p>
    <w:p w14:paraId="38E2B353" w14:textId="549AB11B">
      <w:pPr>
        <w:pStyle w:val="P68B1DB1-P68B1DB1-Normal147"/>
        <w:widowControl w:val="0"/>
        <w:autoSpaceDE w:val="0"/>
        <w:autoSpaceDN w:val="0"/>
        <w:spacing w:after="0" w:line="240" w:lineRule="auto"/>
        <w:ind w:left="567"/>
        <w:jc w:val="both"/>
        <w:rPr>
          <w:i/>
          <w:iCs/>
          <w:sz w:val="20"/>
          <w:szCs w:val="18"/>
        </w:rPr>
      </w:pPr>
      <w:r>
        <w:t xml:space="preserve">23. Ponadto należy zauważyć, że § 9 akapit pierwszy DSF, stanowiąc, iż „system trzymania powinien być taki, aby wskaźnik śmiertelności i zaburzenia zachowania kur były utrzymywane na niskim poziomie” bez żadnych innych wskazówek, ogranicza się do określenia ogólnych celów w zakresie dobrostanu kur do produkcji jaj, niekoniecznie odnosząc się do danego produktu, a zatem nie określając cech tego produktu (zob. analogicznie wyrok Intercommunale Intermosane i Fédération de l’Industrie et du gaz, C-361/10, EU:C:2011:382, pkt 17).”</w:t>
      </w:r>
    </w:p>
    <w:p w14:paraId="6C0651D1" w14:textId="77777777">
      <w:pPr>
        <w:pStyle w:val="P68B1DB1-Normal14"/>
        <w:widowControl w:val="0"/>
        <w:autoSpaceDE w:val="0"/>
        <w:autoSpaceDN w:val="0"/>
        <w:spacing w:after="0" w:line="240" w:lineRule="auto"/>
        <w:ind w:left="567"/>
        <w:jc w:val="both"/>
      </w:pPr>
    </w:p>
    <w:p w14:paraId="497D9E29" w14:textId="02A14E4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1" w:history="1">
        <w:r>
          <w:rPr>
            <w:color w:val="0000FF"/>
            <w:u w:val="single"/>
          </w:rPr>
          <w:t xml:space="preserve">Wyrok z dnia 27 października 2016</w:t>
        </w:r>
      </w:hyperlink>
      <w:r>
        <w:t xml:space="preserve"> r., James Elliott Construction, C-613/14, EU:C:2016:821, pkt 67</w:t>
      </w:r>
      <w:bookmarkEnd w:id="36"/>
    </w:p>
    <w:p w14:paraId="73295FA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46DAC4" w14:textId="10617266">
      <w:pPr>
        <w:pStyle w:val="P68B1DB1-P68B1DB1-Normal135"/>
        <w:widowControl w:val="0"/>
        <w:tabs>
          <w:tab w:val="left" w:pos="430"/>
        </w:tabs>
        <w:autoSpaceDE w:val="0"/>
        <w:autoSpaceDN w:val="0"/>
        <w:spacing w:after="0" w:line="240" w:lineRule="auto"/>
        <w:jc w:val="both"/>
        <w:rPr>
          <w:b w:val="0"/>
          <w:bCs/>
          <w:i w:val="0"/>
          <w:iCs/>
        </w:rPr>
      </w:pPr>
      <w:r>
        <w:t xml:space="preserve">Przepisy krajowe określające dorozumiane warunki umowne dotyczące jakości sprzedawanych produktów nie stanowią „specyfikacji technicznych”, ponieważ nie określają właściwości danego produktu.</w:t>
      </w:r>
    </w:p>
    <w:p w14:paraId="6818C835" w14:textId="77777777">
      <w:pPr>
        <w:pStyle w:val="P68B1DB1-Normal14"/>
        <w:widowControl w:val="0"/>
        <w:tabs>
          <w:tab w:val="left" w:pos="430"/>
        </w:tabs>
        <w:autoSpaceDE w:val="0"/>
        <w:autoSpaceDN w:val="0"/>
        <w:spacing w:after="0" w:line="240" w:lineRule="auto"/>
        <w:jc w:val="both"/>
        <w:rPr>
          <w:i/>
          <w:iCs/>
          <w:sz w:val="20"/>
          <w:szCs w:val="18"/>
        </w:rPr>
      </w:pPr>
    </w:p>
    <w:p w14:paraId="63638539" w14:textId="7DA96F1E">
      <w:pPr>
        <w:pStyle w:val="P68B1DB1-P68B1DB1-Normal147"/>
        <w:widowControl w:val="0"/>
        <w:tabs>
          <w:tab w:val="left" w:pos="430"/>
        </w:tabs>
        <w:autoSpaceDE w:val="0"/>
        <w:autoSpaceDN w:val="0"/>
        <w:spacing w:after="0" w:line="240" w:lineRule="auto"/>
        <w:ind w:left="567"/>
        <w:jc w:val="both"/>
        <w:rPr>
          <w:i/>
          <w:iCs/>
          <w:sz w:val="20"/>
          <w:szCs w:val="18"/>
        </w:rPr>
      </w:pPr>
      <w:r>
        <w:t>„</w:t>
      </w:r>
      <w:bookmarkStart w:id="37" w:name="point67"/>
      <w:r>
        <w:t>67</w:t>
      </w:r>
      <w:bookmarkEnd w:id="37"/>
      <w:r>
        <w:t xml:space="preserve">. W niniejszej sprawie wydaje się, po pierwsze, że przepisy takie jak rozpatrywane w postępowaniu głównym, same w sobie lub zgodnie z ich wykładnią dokonaną przez sądy irlandzkie, nie wchodzą w zakres pojęcia „specyfikacji technicznej” w rozumieniu art. 1 ust. 3 dyrektywy 98/34. Pojęcie to obejmuje jedynie przepisy krajowe, które odnoszą się do produktu lub jego opakowania jako takiego i które określają w ten sposób jedną z wymaganych cech produktu (wyrok z dnia 10 lipca 2014 r., Ivansson i in.</w:t>
        <w:noBreakHyphen/>
        <w:t xml:space="preserve">, C 307/13, EU:C:2014:2058, pkt 19 i przytoczone tam orzecznictwo). Oczywiście nie ma to miejsca w przypadku wymogu, który ma zastosowanie, o ile strony nie uzgodniły inaczej, ogólnie do sprzedaży wszystkich produktów”.</w:t>
      </w:r>
    </w:p>
    <w:p w14:paraId="7BFACEDE" w14:textId="77777777">
      <w:pPr>
        <w:spacing w:after="0" w:line="240" w:lineRule="auto"/>
      </w:pPr>
    </w:p>
    <w:p w14:paraId="5FDF21D1" w14:textId="0085E99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2" w:history="1">
        <w:r>
          <w:rPr>
            <w:color w:val="0000FF"/>
            <w:u w:val="single"/>
          </w:rPr>
          <w:t xml:space="preserve">Wyrok z dnia 1 lutego 2017</w:t>
        </w:r>
      </w:hyperlink>
      <w:r>
        <w:t xml:space="preserve"> r., Município de Palmela, C-144/16, EU:C:2017:76, pkt 30</w:t>
      </w:r>
      <w:bookmarkEnd w:id="38"/>
    </w:p>
    <w:p w14:paraId="0E2142D8" w14:textId="77777777">
      <w:pPr>
        <w:widowControl w:val="0"/>
        <w:tabs>
          <w:tab w:val="left" w:pos="396"/>
          <w:tab w:val="left" w:pos="435"/>
        </w:tabs>
        <w:autoSpaceDE w:val="0"/>
        <w:autoSpaceDN w:val="0"/>
        <w:spacing w:after="0" w:line="240" w:lineRule="auto"/>
        <w:jc w:val="both"/>
        <w:rPr>
          <w:rFonts w:ascii="Times New Roman" w:hAnsi="Times New Roman" w:cs="Times New Roman" w:eastAsia="Times New Roman"/>
          <w:szCs w:val="20"/>
        </w:rPr>
      </w:pPr>
    </w:p>
    <w:p w14:paraId="2D0E0BDF" w14:textId="77777777">
      <w:pPr>
        <w:pStyle w:val="P68B1DB1-P68B1DB1-Normal135"/>
        <w:widowControl w:val="0"/>
        <w:tabs>
          <w:tab w:val="left" w:pos="396"/>
          <w:tab w:val="left" w:pos="399"/>
        </w:tabs>
        <w:autoSpaceDE w:val="0"/>
        <w:autoSpaceDN w:val="0"/>
        <w:spacing w:after="0" w:line="240" w:lineRule="auto"/>
        <w:jc w:val="both"/>
        <w:rPr>
          <w:b w:val="0"/>
          <w:bCs/>
          <w:i w:val="0"/>
          <w:iCs/>
        </w:rPr>
      </w:pPr>
      <w:r>
        <w:t xml:space="preserve">Rozporządzenie wymagające umieszczenia w przestrzeni rekreacyjnej informacji o maksymalnej pojemności tego obszaru nie stanowi bowiem „specyfikacji technicznej”, ponieważ nie określa właściwości produktu.</w:t>
      </w:r>
    </w:p>
    <w:p w14:paraId="0EEA34B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49F52DFE" w14:textId="22C34708">
      <w:pPr>
        <w:pStyle w:val="P68B1DB1-P68B1DB1-Normal147"/>
        <w:widowControl w:val="0"/>
        <w:autoSpaceDE w:val="0"/>
        <w:autoSpaceDN w:val="0"/>
        <w:spacing w:after="0" w:line="240" w:lineRule="auto"/>
        <w:ind w:left="567"/>
        <w:jc w:val="both"/>
        <w:rPr>
          <w:i/>
          <w:iCs/>
          <w:sz w:val="20"/>
          <w:szCs w:val="18"/>
        </w:rPr>
      </w:pPr>
      <w:r>
        <w:t xml:space="preserve">„30. [...] taki przepis nie należy do kategorii specyfikacji technicznych w rozumieniu art. 1 ust. 3 dyrektywy 98/34, ponieważ bezsporne jest, że przepisy określające wymagania i ogólne cele w zakresie bezpieczeństwa i ochrony, niekoniecznie odnoszące się do danego produktu lub jego opakowania jako takiego, a zatem bez określenia właściwości tego produktu, nie stanowią specyfikacji technicznych (zob. podobnie wyrok z dnia 9 czerwca 2011 r., Intercommunale Intermosane i Fédération de l’industrie et du gaz, C-361/10, EU:C:2011:382, pkt 17, 18).”</w:t>
      </w:r>
    </w:p>
    <w:p w14:paraId="5DF2371F" w14:textId="77777777">
      <w:pPr>
        <w:spacing w:after="0" w:line="240" w:lineRule="auto"/>
      </w:pPr>
    </w:p>
    <w:p w14:paraId="303995E7" w14:textId="23CEFD0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3" w:history="1">
        <w:r>
          <w:rPr>
            <w:color w:val="0000FF"/>
            <w:u w:val="single"/>
          </w:rPr>
          <w:t xml:space="preserve">Wyrok z dnia 26 września 2018</w:t>
        </w:r>
      </w:hyperlink>
      <w:r>
        <w:t xml:space="preserve"> r., Van Gennip i in., C-137/17, EU:C:2018:771, pkt 38</w:t>
      </w:r>
      <w:bookmarkEnd w:id="39"/>
    </w:p>
    <w:p w14:paraId="2C38792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8C12BA" w14:textId="71921C3D">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Przepisy krajowe uzależniające wprowadzenie do obrotu produktów od posiadania przez nabywcę zezwolenia nie wchodzą w zakres pojęcia „specyfikacji technicznej”, ponieważ nie określają właściwości samego produktu ani jego opakowania.</w:t>
      </w:r>
    </w:p>
    <w:p w14:paraId="51B72955" w14:textId="77777777">
      <w:pPr>
        <w:widowControl w:val="0"/>
        <w:tabs>
          <w:tab w:val="left" w:pos="404"/>
        </w:tabs>
        <w:autoSpaceDE w:val="0"/>
        <w:autoSpaceDN w:val="0"/>
        <w:spacing w:after="0" w:line="240" w:lineRule="auto"/>
        <w:jc w:val="both"/>
        <w:rPr>
          <w:rFonts w:ascii="Times New Roman" w:hAnsi="Times New Roman" w:cs="Times New Roman" w:eastAsia="Times New Roman"/>
          <w:sz w:val="20"/>
          <w:szCs w:val="18"/>
        </w:rPr>
      </w:pPr>
    </w:p>
    <w:p w14:paraId="7AB991D2" w14:textId="4B88FB97">
      <w:pPr>
        <w:pStyle w:val="P68B1DB1-P68B1DB1-Normal147"/>
        <w:widowControl w:val="0"/>
        <w:tabs>
          <w:tab w:val="left" w:pos="404"/>
        </w:tabs>
        <w:autoSpaceDE w:val="0"/>
        <w:autoSpaceDN w:val="0"/>
        <w:spacing w:after="0" w:line="240" w:lineRule="auto"/>
        <w:ind w:left="567"/>
        <w:jc w:val="both"/>
        <w:rPr>
          <w:i/>
          <w:iCs/>
          <w:sz w:val="20"/>
          <w:szCs w:val="18"/>
        </w:rPr>
      </w:pPr>
      <w:r>
        <w:t>„</w:t>
      </w:r>
      <w:bookmarkStart w:id="40" w:name="point38"/>
      <w:r>
        <w:t>38</w:t>
      </w:r>
      <w:bookmarkEnd w:id="40"/>
      <w:r>
        <w:t xml:space="preserve">. Co się tyczy, po pierwsze, pojęcia „specyfikacji technicznej”, należy przypomnieć, że wymaga ono, aby przepis krajowy odnosił się koniecznie do produktu lub jego opakowania jako takich, a zatem określał jedną z wymaganych cech produktu, taką jak wymiary, opis handlowy, etykietowanie lub oznakowanie (wyrok z dnia 10 lipca 2014 r., Ivansson i in., C 307/13</w:t>
        <w:noBreakHyphen/>
        <w:t xml:space="preserve">, EU:C:2014:2058, pkt 19 i przytoczone tam orzecznictwo). Tymczasem jak zauważył rzecznik generalny w pkt 74 opinii, uregulowanie belgijskie nie odnosi się do wyrobów pirotechnicznych ani do ich opakowań jako takich, czyli uregulowanie to nie określa jednej z wymaganych cech tych produktów. W związku z tym uregulowanie to nie stanowi „specyfikacji technicznej” w rozumieniu art. 1 pkt 3 dyrektywy 98/34”.</w:t>
      </w:r>
    </w:p>
    <w:p w14:paraId="3C1C0D5D" w14:textId="77777777">
      <w:pPr>
        <w:spacing w:after="0" w:line="240" w:lineRule="auto"/>
      </w:pPr>
    </w:p>
    <w:p w14:paraId="1B398E2A" w14:textId="0E921DB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4" w:anchor="ctx1" w:history="1">
        <w:r>
          <w:rPr>
            <w:color w:val="0000FF"/>
            <w:u w:val="single"/>
          </w:rPr>
          <w:t xml:space="preserve">Wyrok z dnia 28 maja 2020</w:t>
        </w:r>
      </w:hyperlink>
      <w:r>
        <w:t xml:space="preserve"> r., ECO-WIND Construction, C-727/17, EU:C:2020:393, pkt 36 i 37.</w:t>
      </w:r>
      <w:bookmarkEnd w:id="41"/>
    </w:p>
    <w:p w14:paraId="0A0FB1E2" w14:textId="77777777">
      <w:pPr>
        <w:widowControl w:val="0"/>
        <w:autoSpaceDE w:val="0"/>
        <w:autoSpaceDN w:val="0"/>
        <w:spacing w:after="0" w:line="240" w:lineRule="auto"/>
        <w:jc w:val="both"/>
        <w:rPr>
          <w:rFonts w:ascii="Times New Roman" w:hAnsi="Times New Roman" w:cs="Times New Roman" w:eastAsia="Times New Roman"/>
          <w:szCs w:val="20"/>
        </w:rPr>
      </w:pPr>
    </w:p>
    <w:p w14:paraId="1727EFAA" w14:textId="2501EFD3">
      <w:pPr>
        <w:pStyle w:val="P68B1DB1-P68B1DB1-Normal135"/>
        <w:widowControl w:val="0"/>
        <w:autoSpaceDE w:val="0"/>
        <w:autoSpaceDN w:val="0"/>
        <w:spacing w:after="0" w:line="240" w:lineRule="auto"/>
        <w:jc w:val="both"/>
        <w:rPr>
          <w:b w:val="0"/>
          <w:bCs/>
          <w:i w:val="0"/>
          <w:iCs/>
        </w:rPr>
      </w:pPr>
      <w:r>
        <w:t xml:space="preserve">Rozporządzenie nakładające minimalną odległość dla instalacji turbin wiatrowych nie stanowi „specyfikacji technicznej”, ponieważ nie określa właściwości produktu. </w:t>
      </w:r>
    </w:p>
    <w:p w14:paraId="722207F3" w14:textId="77777777">
      <w:pPr>
        <w:widowControl w:val="0"/>
        <w:autoSpaceDE w:val="0"/>
        <w:autoSpaceDN w:val="0"/>
        <w:spacing w:after="0" w:line="240" w:lineRule="auto"/>
        <w:jc w:val="both"/>
        <w:rPr>
          <w:rFonts w:ascii="Times New Roman" w:hAnsi="Times New Roman" w:cs="Times New Roman" w:eastAsia="Times New Roman"/>
          <w:szCs w:val="20"/>
        </w:rPr>
      </w:pPr>
    </w:p>
    <w:p w14:paraId="1E97E227" w14:textId="71BD8F6B">
      <w:pPr>
        <w:pStyle w:val="P68B1DB1-P68B1DB1-Normal1820"/>
        <w:widowControl w:val="0"/>
        <w:autoSpaceDE w:val="0"/>
        <w:autoSpaceDN w:val="0"/>
        <w:spacing w:after="0" w:line="240" w:lineRule="auto"/>
        <w:ind w:left="567"/>
        <w:jc w:val="both"/>
        <w:rPr>
          <w:sz w:val="18"/>
          <w:szCs w:val="18"/>
        </w:rPr>
      </w:pPr>
      <w:r>
        <w:t xml:space="preserve">„36. [...] w odniesieniu do ewentualnej kwalifikacji tego samego wymogu jako przepisu technicznego ze względu na to, że mieści się on w kategorii „specyfikacji technicznych”, należy przypomnieć, że specyfikacja techniczna zakłada, iż przepis krajowy, który ją przepisuje, odnosi się do produktu lub jego opakowania jako takiego, a zatem określa jedną z wymaganych cech tego produktu (wyroki: z dnia 21 kwietnia 2005 r., Lindberg, C-267/03, EU:C:2005:246, pkt 57; z dnia 19 lipca 2012 r., Fortuna i in., C-213/11, C-214/11 i C-217/11, EU:C:2012:495, pkt 28).</w:t>
      </w:r>
    </w:p>
    <w:p w14:paraId="43CBA2CC" w14:textId="77777777">
      <w:pPr>
        <w:pStyle w:val="P68B1DB1-Normal18"/>
        <w:widowControl w:val="0"/>
        <w:autoSpaceDE w:val="0"/>
        <w:autoSpaceDN w:val="0"/>
        <w:spacing w:after="0" w:line="240" w:lineRule="auto"/>
        <w:ind w:left="567"/>
        <w:jc w:val="both"/>
        <w:rPr>
          <w:sz w:val="18"/>
          <w:szCs w:val="18"/>
        </w:rPr>
      </w:pPr>
    </w:p>
    <w:p w14:paraId="76314186" w14:textId="0AD1E5B8">
      <w:pPr>
        <w:pStyle w:val="P68B1DB1-P68B1DB1-Normal1820"/>
        <w:widowControl w:val="0"/>
        <w:autoSpaceDE w:val="0"/>
        <w:autoSpaceDN w:val="0"/>
        <w:spacing w:after="0" w:line="240" w:lineRule="auto"/>
        <w:ind w:left="567"/>
        <w:jc w:val="both"/>
        <w:rPr>
          <w:iCs/>
          <w:sz w:val="18"/>
          <w:szCs w:val="18"/>
        </w:rPr>
      </w:pPr>
      <w:r>
        <w:t xml:space="preserve">37. W niniejszym przypadku zaś rozpatrywane w postępowaniu głównym uregulowanie ogranicza się do regulacji tego, gdzie mogą zostać zlokalizowane elektrownie wiatrowe, poprzez ustanowienie obowiązku zachowania przy ich umiejscowieniu pewnej minimalnej odległości. W konsekwencji uregulowanie to nie odnosi się do produktu jako takiego, w niniejszym przypadku do generatora wiatrowego, a zatem nie określa jednej z wymaganych cech tego produktu w rozumieniu art. 1 ust. 1 lit. f) dyrektywy 2015/1535 w związku z art. 1 ust. 1 lit. c) tej dyrektywy”.</w:t>
      </w:r>
    </w:p>
    <w:p w14:paraId="5AABB494" w14:textId="77777777">
      <w:pPr>
        <w:spacing w:after="0" w:line="240" w:lineRule="auto"/>
      </w:pPr>
    </w:p>
    <w:p w14:paraId="083B7832" w14:textId="56CC78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5" w:history="1">
        <w:r>
          <w:rPr>
            <w:color w:val="0000FF"/>
            <w:u w:val="single"/>
          </w:rPr>
          <w:t xml:space="preserve">Wyrok z dnia 22 października 2020</w:t>
        </w:r>
      </w:hyperlink>
      <w:r>
        <w:t xml:space="preserve"> r., Sportingbet i Internet Opportunity Entertainment, C-275/19, EU:C:2020:856, pkt 42, 43</w:t>
      </w:r>
      <w:bookmarkEnd w:id="42"/>
    </w:p>
    <w:p w14:paraId="6C7ED54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8C7F634" w14:textId="48937F16">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43" w:name="_Toc198043809"/>
      <w:r>
        <w:t xml:space="preserve">Przepisy krajowe, które zastrzegają prowadzenie gier losowych na rzecz państwa i wymagają, aby zezwolenia były przyznawane wyłącznie przedsiębiorstwom publicznym, nie są „specyfikacją techniczną”, ponieważ nie określają wymaganych cech produktu.</w:t>
      </w:r>
      <w:bookmarkEnd w:id="43"/>
    </w:p>
    <w:p w14:paraId="0A3D0FC5"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6392BB1A" w14:textId="67B2E488">
      <w:pPr>
        <w:pStyle w:val="P68B1DB1-P68B1DB1-Normal147"/>
        <w:widowControl w:val="0"/>
        <w:autoSpaceDE w:val="0"/>
        <w:autoSpaceDN w:val="0"/>
        <w:spacing w:after="0" w:line="240" w:lineRule="auto"/>
        <w:ind w:left="567"/>
        <w:jc w:val="both"/>
        <w:outlineLvl w:val="1"/>
        <w:rPr>
          <w:i/>
          <w:iCs/>
          <w:sz w:val="20"/>
          <w:szCs w:val="18"/>
        </w:rPr>
      </w:pPr>
      <w:bookmarkStart w:id="44" w:name="_Toc198043810"/>
      <w:r>
        <w:t xml:space="preserve">„42. Zgodnie z art. 1 pkt 1 dyrektywy 83/189 „specyfikacja techniczna” w rozumieniu dyrektywy oznacza specyfikację zawartą w dokumencie, który opisuje wymagane cechy produktu, takie jak: poziom jakości, wydajności, bezpieczeństwa lub wymiary, włącznie z wymaganiami mającymi zastosowanie do produktu w zakresie nazwy, pod jaką jest sprzedawany, terminologii, symboli, badań i metod badania, opakowania, oznakowania i etykietowania (zob. podobnie wyrok z dnia 8 marca 2001 r., van der Burg, C-278/99, EU:C:2001:143, pkt 20).</w:t>
      </w:r>
      <w:bookmarkEnd w:id="44"/>
    </w:p>
    <w:p w14:paraId="0F20B9AD" w14:textId="77777777">
      <w:pPr>
        <w:pStyle w:val="P68B1DB1-Normal14"/>
        <w:widowControl w:val="0"/>
        <w:autoSpaceDE w:val="0"/>
        <w:autoSpaceDN w:val="0"/>
        <w:spacing w:after="0" w:line="240" w:lineRule="auto"/>
        <w:ind w:left="567"/>
        <w:jc w:val="both"/>
        <w:outlineLvl w:val="1"/>
        <w:rPr>
          <w:i/>
          <w:iCs/>
          <w:sz w:val="20"/>
          <w:szCs w:val="18"/>
        </w:rPr>
      </w:pPr>
    </w:p>
    <w:p w14:paraId="757FE488" w14:textId="2F0812B7">
      <w:pPr>
        <w:pStyle w:val="P68B1DB1-P68B1DB1-Normal147"/>
        <w:widowControl w:val="0"/>
        <w:autoSpaceDE w:val="0"/>
        <w:autoSpaceDN w:val="0"/>
        <w:spacing w:after="0" w:line="240" w:lineRule="auto"/>
        <w:ind w:left="567"/>
        <w:jc w:val="both"/>
        <w:outlineLvl w:val="1"/>
        <w:rPr>
          <w:i/>
          <w:iCs/>
          <w:sz w:val="20"/>
          <w:szCs w:val="18"/>
        </w:rPr>
      </w:pPr>
      <w:bookmarkStart w:id="45" w:name="_Toc198043811"/>
      <w:r>
        <w:t xml:space="preserve">43. Ponieważ art. 3 i 9 dekretu z mocą ustawy nr 422/89 ustanawiają przepisy dotyczące koncesji na prowadzenie gier losowych lub hazardowych oraz warunki i strefy prowadzenia tej działalności, nie wydaje się, aby przepisy te odnosiły się do cech produktu w rozumieniu art. 1 ust. 1 dyrektywy 83/189, w związku z czym nie można ich uznać za „przepisy techniczne” w rozumieniu art. 1 ust. 5 tej dyrektywy”.</w:t>
      </w:r>
      <w:bookmarkEnd w:id="45"/>
    </w:p>
    <w:p w14:paraId="317449EC" w14:textId="20C2AD43">
      <w:pPr>
        <w:spacing w:after="0" w:line="240" w:lineRule="auto"/>
      </w:pPr>
      <w:r>
        <w:br w:type="page"/>
      </w:r>
    </w:p>
    <w:p w14:paraId="5544B741" w14:textId="1E79FEAA">
      <w:pPr>
        <w:pStyle w:val="P68B1DB1-Heading24"/>
        <w:numPr>
          <w:ilvl w:val="0"/>
          <w:numId w:val="35"/>
        </w:numPr>
        <w:spacing w:before="0" w:after="0"/>
        <w:jc w:val="center"/>
        <w:rPr>
          <w:bCs/>
          <w:color w:val="auto"/>
        </w:rPr>
      </w:pPr>
      <w:bookmarkStart w:id="46" w:name="_Ref194484250"/>
      <w:bookmarkStart w:id="47" w:name="_Toc203035668"/>
      <w:r>
        <w:t xml:space="preserve">Inne wymagania</w:t>
      </w:r>
      <w:bookmarkEnd w:id="46"/>
      <w:bookmarkEnd w:id="47"/>
    </w:p>
    <w:p w14:paraId="48370E42" w14:textId="77777777">
      <w:pPr>
        <w:pStyle w:val="BodyText"/>
      </w:pPr>
    </w:p>
    <w:p w14:paraId="032AC50F" w14:textId="77777777">
      <w:pPr>
        <w:pStyle w:val="P68B1DB1-BodyText11"/>
        <w:ind w:left="567"/>
        <w:rPr>
          <w:i/>
        </w:rPr>
      </w:pPr>
      <w:r>
        <w:t xml:space="preserve">„»inne wymagania« oznaczają wymagania, inne niż specyfikacje techniczne, nałożone na produkt w celu ochrony, w szczególności konsumentów lub środowiska, które wpływają na jego cykl życia po wprowadzeniu go do obrotu, takie jak warunki użytkowania, recyklingu, ponownego użycia lub unieszkodliwiania, w przypadku gdy takie warunki mogą mieć znaczący wpływ na skład lub charakter produktu lub jego wprowadzanie do obrotu;”;</w:t>
      </w:r>
    </w:p>
    <w:p w14:paraId="1AD68414" w14:textId="77777777">
      <w:pPr>
        <w:pStyle w:val="BodyText"/>
        <w:ind w:left="567"/>
        <w:rPr>
          <w:i/>
          <w:iCs/>
        </w:rPr>
      </w:pPr>
    </w:p>
    <w:p w14:paraId="3295AC84" w14:textId="258D2B2D">
      <w:pPr>
        <w:pStyle w:val="BodyText"/>
        <w:ind w:left="1440"/>
        <w:jc w:val="right"/>
      </w:pPr>
      <w:r>
        <w:t xml:space="preserve">(Art. 1 ust. 1 lit. d) dyrektywy (UE) 2015/1535)</w:t>
      </w:r>
    </w:p>
    <w:p w14:paraId="330805BE" w14:textId="77777777">
      <w:pPr>
        <w:spacing w:after="0" w:line="240" w:lineRule="auto"/>
      </w:pPr>
    </w:p>
    <w:p w14:paraId="55D10FEE" w14:textId="55169F6A">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6" w:history="1">
        <w:r>
          <w:rPr>
            <w:color w:val="0000FF"/>
            <w:u w:val="single"/>
          </w:rPr>
          <w:t xml:space="preserve">Wyrok z dnia 21 kwietnia 2005</w:t>
        </w:r>
      </w:hyperlink>
      <w:r>
        <w:t xml:space="preserve"> r., Lindberg, C-267/03, EU:C:2005:246, pkt 68–78.</w:t>
      </w:r>
      <w:bookmarkEnd w:id="48"/>
    </w:p>
    <w:p w14:paraId="505D095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3CD77B" w14:textId="14D45A80">
      <w:pPr>
        <w:pStyle w:val="P68B1DB1-P68B1DB1-Normal135"/>
        <w:widowControl w:val="0"/>
        <w:tabs>
          <w:tab w:val="left" w:pos="396"/>
          <w:tab w:val="left" w:pos="425"/>
        </w:tabs>
        <w:autoSpaceDE w:val="0"/>
        <w:autoSpaceDN w:val="0"/>
        <w:spacing w:after="0" w:line="240" w:lineRule="auto"/>
        <w:jc w:val="both"/>
        <w:rPr>
          <w:b w:val="0"/>
          <w:bCs/>
          <w:i w:val="0"/>
          <w:iCs/>
        </w:rPr>
      </w:pPr>
      <w:r>
        <w:t xml:space="preserve">Krajowy zakaz niektórych gier losowych może zostać zakwalifikowany jako „inny wymóg”, jeżeli może on wpłynąć na skład, charakter lub sprzedaż produktu. Jeżeli jednak zakaz nie pozostawia miejsca na stosowanie produktu, zostanie on opisany jako przepis zakazujący (zob. część I podsekcja e. „Przepisy zakazu” niniejszego dokumentu).</w:t>
      </w:r>
    </w:p>
    <w:p w14:paraId="652340FB"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1480B8F9" w14:textId="6F01164B">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„68. [...] należy stwierdzić, że przepis krajowy taki jak rozpatrywany w postępowaniu głównym wydaje się być konkretnie objęty pojęciem „innych wymogów” wprowadzonym przez dyrektywę 94/10 do dyrektywy 83/189 w celu rozszerzenia jego zakresu stosowania, a zatem nie należy do kategorii specyfikacji technicznych.</w:t>
      </w:r>
    </w:p>
    <w:p w14:paraId="2944EF7E"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54A46FBE" w14:textId="533DD288">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69. W rzeczywistości chodzi tu o wymaganie, któremu podlega produkt, czyli automaty do gier, z uwagi na względy głównie dotyczące ochrony konsumentów, czyli w tym przypadku graczy.</w:t>
      </w:r>
    </w:p>
    <w:p w14:paraId="435FA3FD"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7230431" w14:textId="24C978CF">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70. W tych okolicznościach zakaz, jaki zawierają odnośne przepisy ustawy o loteriach z późn. zm. dotyczy używania produktu w rozumieniu art. 1 pkt 9 dyrektywy 83/189.</w:t>
      </w:r>
    </w:p>
    <w:p w14:paraId="25649921"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F534BDA" w14:textId="11B53D06">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71. Ponadto sporne wymaganie, któremu podlegają automaty do gier, nie odnosi się do ich wprowadzenia do obrotu, lecz do ich cyklu użytkowego po wprowadzeniu do obrotu w rozumieniu definicji pojęcia „innego wymagania”, zawartej w art. 1 pkt 3 dyrektywy 83/189.</w:t>
      </w:r>
    </w:p>
    <w:p w14:paraId="59919AE6"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1F045F1" w14:textId="2B5F018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72. Aby można je było zakwalifikować jako „inne wymaganie” w rozumieniu art. 1 pkt 3 dyrektywy 83/189, takie wymaganie, jak sporny zakaz używania automatów do gier, musi stanowić „warunek”, w tym wypadku dotyczący używania danego produktu, który może mieć istotny wpływ na skład lub charakter produktu bądź na jego sprzedaż.</w:t>
      </w:r>
    </w:p>
    <w:p w14:paraId="39B806F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3F01875" w14:textId="05AA70B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73. Niemniej jednak pojawia się wówczas pytanie, czy zakaz ten należy zakwalifikować jako „warunek” dotyczący używania danego produktu, czy też chodzi tu raczej o przepis krajowy należący do trzeciej kategorii przepisów technicznych, wymienionej w art. 1 pkt 9 dyrektywy 83/189, którą również dodano dyrektywą 94/10, tj. o kategorię zawierającą w szczególności „przepisy ustawowe [...] państw członkowskich [...] zakazując[e] [...] używania produktu”.</w:t>
      </w:r>
    </w:p>
    <w:p w14:paraId="0CE71B7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91591B4" w14:textId="6B2734B5">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74. Przynależność takiego przepisu krajowego jak sporny przepis do którejś spośród tych dwóch kategorii przepisów technicznych zależy od zakresu ustanowionego w nim zakazu.</w:t>
      </w:r>
    </w:p>
    <w:p w14:paraId="6B836853"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2B46325D" w14:textId="0B46917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75. W tym względzie duże znaczenie ma to, że w odróżnieniu od drugiej kategorii, którą stanowią inne wymagania w rozumieniu pkt 3, wspomniana trzecia kategoria przepisów technicznych, określona w art. 1 pkt 9 dyrektywy 83/189, nie zawiera warunku, zgodnie z którym odnośny zakaz powinien potencjalnie mieć istotny wpływ na skład, charakter lub sprzedaż produktu.</w:t>
      </w:r>
    </w:p>
    <w:p w14:paraId="3F06D727"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0478C3F2" w14:textId="527C7CD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76. Ponieważ owa trzecia kategoria przepisów technicznych dotyczy w szczególności zakazu używania, musi tu chodzić o przepisy, których zakres wyraźnie wykracza poza zacieśnienie możliwości używania spornego produktu do pewnych możliwych zastosowań, a zatem które nie sprowadzają się do zwykłego ograniczenia używania tego produktu.</w:t>
      </w:r>
    </w:p>
    <w:p w14:paraId="2801C70C"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73DF0AC" w14:textId="160B2A71">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77. Jak zauważył rzecznik generalny w pkt 70 opinii, ta kategoria przepisów technicznych dotyczy w szczególności przepisów krajowych, które pozostawiają miejsce jedynie na marginalne zastosowanie danego produktu w stosunku do tego, którego można by rozsądnie oczekiwać. Do sądu krajowego należy sprawdzenie, czy taki przypadek zachodzi w odniesieniu do zakazu zawartego w spornym przepisie krajowym.</w:t>
      </w:r>
    </w:p>
    <w:p w14:paraId="4E46E41B"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0A9AFAF" w14:textId="62EB4C4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78. Jeśli w wyniku powyższej weryfikacji okazałoby się, że w sprawie przed sądem krajowym taka okoliczność nie zachodzi, to wspomniany przepis krajowy można by zakwalifikować jako „inne wymaganie”, jeżeli nie ulega wątpliwości, że przestrzeganie takiego wymagania jest wiążące de iure w zakresie używania produktu w tym państwie członkowskim w rozumieniu art. 1 pkt 9 dyrektywy 83/189. Jednakże w takim przypadku do sądu odsyłającego należy również sprawdzenie, czy sporny zakaz może mieć znaczący wpływ na skład lub charakter produktu lub jego sprzedaż w rozumieniu art. 1 ust. 3”.</w:t>
      </w:r>
    </w:p>
    <w:p w14:paraId="58C5982D" w14:textId="77777777">
      <w:pPr>
        <w:widowControl w:val="0"/>
        <w:autoSpaceDE w:val="0"/>
        <w:autoSpaceDN w:val="0"/>
        <w:spacing w:after="0" w:line="240" w:lineRule="auto"/>
        <w:jc w:val="both"/>
        <w:outlineLvl w:val="1"/>
      </w:pPr>
    </w:p>
    <w:p w14:paraId="2F6BDAC1" w14:textId="2FA8E91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7" w:history="1">
        <w:r>
          <w:rPr>
            <w:color w:val="0000FF"/>
            <w:u w:val="single"/>
          </w:rPr>
          <w:t xml:space="preserve">Wyrok z dnia 9 czerwca 2011</w:t>
        </w:r>
      </w:hyperlink>
      <w:r>
        <w:t xml:space="preserve"> r., Intercommunale Intermosane i Fédération de l’industrie et du gaz, C-361/10, EU:C:2011:382, pkt 20 i 21</w:t>
      </w:r>
      <w:bookmarkEnd w:id="49"/>
    </w:p>
    <w:p w14:paraId="57B3E0E0"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C6C525" w14:textId="4FA3F43D">
      <w:pPr>
        <w:pStyle w:val="P68B1DB1-P68B1DB1-Normal135"/>
        <w:widowControl w:val="0"/>
        <w:autoSpaceDE w:val="0"/>
        <w:autoSpaceDN w:val="0"/>
        <w:spacing w:after="0" w:line="240" w:lineRule="auto"/>
        <w:jc w:val="both"/>
        <w:rPr>
          <w:b w:val="0"/>
          <w:bCs/>
          <w:i w:val="0"/>
          <w:iCs/>
        </w:rPr>
      </w:pPr>
      <w:r>
        <w:t xml:space="preserve">Przepisy krajowe, które określają minimalne wymagania dotyczące budowy instalacji elektrycznych i bezpieczeństwa pracowników, nie mogą zostać zakwalifikowane jako „inne wymagania”, ponieważ ich ogólny charakter nie pozwala na wywieranie znaczącego wpływu na skład, charakter lub sprzedaż danych produktów.</w:t>
      </w:r>
    </w:p>
    <w:p w14:paraId="2685F921" w14:textId="77777777">
      <w:pPr>
        <w:pStyle w:val="P68B1DB1-Normal14"/>
        <w:widowControl w:val="0"/>
        <w:autoSpaceDE w:val="0"/>
        <w:autoSpaceDN w:val="0"/>
        <w:spacing w:after="0" w:line="240" w:lineRule="auto"/>
        <w:ind w:left="567"/>
        <w:jc w:val="both"/>
      </w:pPr>
    </w:p>
    <w:p w14:paraId="7CB334E9" w14:textId="5A4E49E5">
      <w:pPr>
        <w:pStyle w:val="P68B1DB1-P68B1DB1-Normal147"/>
        <w:widowControl w:val="0"/>
        <w:autoSpaceDE w:val="0"/>
        <w:autoSpaceDN w:val="0"/>
        <w:spacing w:after="0" w:line="240" w:lineRule="auto"/>
        <w:ind w:left="567"/>
        <w:jc w:val="both"/>
        <w:rPr>
          <w:i/>
          <w:iCs/>
          <w:sz w:val="20"/>
          <w:szCs w:val="18"/>
        </w:rPr>
      </w:pPr>
      <w:r>
        <w:t xml:space="preserve">„20. Zgodnie z orzecznictwem, aby móc zakwalifikować minimalne wymagania określone w wymienionych przepisach jako „inne wymagania” w rozumieniu art. 1 pkt 4 dyrektywy 98/34, muszą one stanowić „warunki”, które mogą mieć istotny wpływ na skład lub charakter produktu bądź na jego sprzedaż (zob. podobnie ww. wyrok w sprawie Lindberg, pkt 72).</w:t>
      </w:r>
    </w:p>
    <w:p w14:paraId="0201CB41" w14:textId="77777777">
      <w:pPr>
        <w:pStyle w:val="P68B1DB1-Normal14"/>
        <w:widowControl w:val="0"/>
        <w:autoSpaceDE w:val="0"/>
        <w:autoSpaceDN w:val="0"/>
        <w:spacing w:after="0" w:line="240" w:lineRule="auto"/>
        <w:ind w:left="567"/>
        <w:jc w:val="both"/>
        <w:rPr>
          <w:i/>
          <w:iCs/>
          <w:sz w:val="20"/>
          <w:szCs w:val="18"/>
        </w:rPr>
      </w:pPr>
    </w:p>
    <w:p w14:paraId="19DF32CA" w14:textId="1B626E8C">
      <w:pPr>
        <w:pStyle w:val="P68B1DB1-P68B1DB1-Normal147"/>
        <w:widowControl w:val="0"/>
        <w:autoSpaceDE w:val="0"/>
        <w:autoSpaceDN w:val="0"/>
        <w:spacing w:after="0" w:line="240" w:lineRule="auto"/>
        <w:ind w:left="567"/>
        <w:jc w:val="both"/>
        <w:rPr>
          <w:bCs/>
          <w:i/>
          <w:iCs/>
          <w:sz w:val="20"/>
          <w:szCs w:val="18"/>
        </w:rPr>
      </w:pPr>
      <w:r>
        <w:t xml:space="preserve">21. Biorąc pod uwagę ogólny charakter wspomnianych wymogów, nie mogą one stanowić takich warunków ani w konsekwencji zostać zakwalifikowane jako „inne wymogi” w rozumieniu art. 1 ust. 4 dyrektywy”.</w:t>
      </w:r>
    </w:p>
    <w:p w14:paraId="22AC2F60" w14:textId="77777777">
      <w:pPr>
        <w:spacing w:after="0" w:line="240" w:lineRule="auto"/>
      </w:pPr>
    </w:p>
    <w:p w14:paraId="42A24500" w14:textId="38331AD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8" w:history="1">
        <w:r>
          <w:rPr>
            <w:color w:val="0000FF"/>
            <w:u w:val="single"/>
          </w:rPr>
          <w:t xml:space="preserve">Wyrok z dnia 19 lipca 2012</w:t>
        </w:r>
      </w:hyperlink>
      <w:r>
        <w:t xml:space="preserve"> r., Fortuna i in., C-213/11, C-214/11 i C-217/11, EU:C:2012:495, pkt 35, 36 i 40</w:t>
      </w:r>
      <w:bookmarkEnd w:id="50"/>
    </w:p>
    <w:p w14:paraId="663DE3A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F531831" w14:textId="1178CA17">
      <w:pPr>
        <w:pStyle w:val="P68B1DB1-P68B1DB1-Normal135"/>
        <w:widowControl w:val="0"/>
        <w:tabs>
          <w:tab w:val="left" w:pos="451"/>
        </w:tabs>
        <w:autoSpaceDE w:val="0"/>
        <w:autoSpaceDN w:val="0"/>
        <w:spacing w:after="0" w:line="240" w:lineRule="auto"/>
        <w:jc w:val="both"/>
        <w:rPr>
          <w:b w:val="0"/>
          <w:bCs/>
          <w:i w:val="0"/>
          <w:iCs/>
        </w:rPr>
      </w:pPr>
      <w:r>
        <w:t xml:space="preserve">Przepisy krajowe ograniczające prowadzenie automatów do gier poza kasynami mogą zostać zakwalifikowane jako „inne wymogi”, a zatem jako „przepisy techniczne”, jeżeli mają znaczący wpływ na charakter lub sprzedaż danych produktów. </w:t>
      </w:r>
    </w:p>
    <w:p w14:paraId="61D3F52D"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20"/>
          <w:szCs w:val="16"/>
        </w:rPr>
      </w:pPr>
    </w:p>
    <w:p w14:paraId="1B71B669" w14:textId="30006E3D">
      <w:pPr>
        <w:pStyle w:val="P68B1DB1-P68B1DB1-Normal147"/>
        <w:widowControl w:val="0"/>
        <w:tabs>
          <w:tab w:val="left" w:pos="451"/>
        </w:tabs>
        <w:autoSpaceDE w:val="0"/>
        <w:autoSpaceDN w:val="0"/>
        <w:spacing w:after="0" w:line="240" w:lineRule="auto"/>
        <w:ind w:left="567"/>
        <w:jc w:val="both"/>
        <w:rPr>
          <w:i/>
          <w:sz w:val="20"/>
          <w:szCs w:val="18"/>
        </w:rPr>
      </w:pPr>
      <w:r>
        <w:t xml:space="preserve">„35. [...] Trybunał orzekł, że aby rozpatrywane przepisy krajowe mogły zostać zakwalifikowane jako „inne wymogi” w rozumieniu art. 1 pkt 4 dyrektywy 98/34, muszą one stanowić „warunki”, które mogą mieć znaczący wpływ na skład, charakter lub sprzedaż danego produktu (zob. podobnie ww. wyroki: w sprawie Lindberg, pkt 72; a także w sprawie Intercommunale Intermosane i Fédération de l’industrie et du gaz, pkt 20).</w:t>
      </w:r>
    </w:p>
    <w:p w14:paraId="746FA5AB" w14:textId="77777777">
      <w:pPr>
        <w:pStyle w:val="P68B1DB1-Normal14"/>
        <w:widowControl w:val="0"/>
        <w:tabs>
          <w:tab w:val="left" w:pos="451"/>
        </w:tabs>
        <w:autoSpaceDE w:val="0"/>
        <w:autoSpaceDN w:val="0"/>
        <w:spacing w:after="0" w:line="240" w:lineRule="auto"/>
        <w:ind w:left="567"/>
        <w:jc w:val="both"/>
        <w:rPr>
          <w:i/>
          <w:sz w:val="20"/>
          <w:szCs w:val="18"/>
        </w:rPr>
      </w:pPr>
    </w:p>
    <w:p w14:paraId="7A3394EB" w14:textId="0B6B76F9">
      <w:pPr>
        <w:pStyle w:val="P68B1DB1-P68B1DB1-Normal147"/>
        <w:widowControl w:val="0"/>
        <w:tabs>
          <w:tab w:val="left" w:pos="451"/>
        </w:tabs>
        <w:autoSpaceDE w:val="0"/>
        <w:autoSpaceDN w:val="0"/>
        <w:spacing w:after="0" w:line="240" w:lineRule="auto"/>
        <w:ind w:left="567"/>
        <w:jc w:val="both"/>
        <w:rPr>
          <w:i/>
          <w:sz w:val="20"/>
          <w:szCs w:val="18"/>
        </w:rPr>
      </w:pPr>
      <w:r>
        <w:t xml:space="preserve">36. Należy zaś stwierdzić, że przepisy przejściowe ustawy o grach hazardowych nakładają warunki mogące wpływać na sprzedaż automatów do gier o niskich wygranych. Zakaz wydawania, przedłużania lub zmiany zezwoleń na działalność związaną z grami na automatach o niskich wygranych poza kasynami może mieć bezpośredni wpływ na handel automatami do gier o niskich wygranych.”</w:t>
      </w:r>
    </w:p>
    <w:p w14:paraId="27E4E8B1" w14:textId="77777777">
      <w:pPr>
        <w:widowControl w:val="0"/>
        <w:tabs>
          <w:tab w:val="left" w:pos="451"/>
        </w:tabs>
        <w:autoSpaceDE w:val="0"/>
        <w:autoSpaceDN w:val="0"/>
        <w:spacing w:after="0" w:line="240" w:lineRule="auto"/>
        <w:ind w:left="567"/>
        <w:jc w:val="both"/>
        <w:rPr>
          <w:rFonts w:ascii="Times New Roman" w:hAnsi="Times New Roman" w:cs="Times New Roman" w:eastAsia="Times New Roman"/>
          <w:i/>
          <w:sz w:val="18"/>
          <w:szCs w:val="14"/>
        </w:rPr>
      </w:pPr>
    </w:p>
    <w:p w14:paraId="13BFA8BE" w14:textId="303CF5F4">
      <w:pPr>
        <w:pStyle w:val="P68B1DB1-P68B1DB1-Normal147"/>
        <w:widowControl w:val="0"/>
        <w:tabs>
          <w:tab w:val="left" w:pos="451"/>
        </w:tabs>
        <w:autoSpaceDE w:val="0"/>
        <w:autoSpaceDN w:val="0"/>
        <w:spacing w:after="0" w:line="240" w:lineRule="auto"/>
        <w:ind w:left="567"/>
        <w:jc w:val="both"/>
        <w:rPr>
          <w:i/>
          <w:sz w:val="20"/>
          <w:szCs w:val="18"/>
        </w:rPr>
      </w:pPr>
      <w:r>
        <w:t xml:space="preserve">„40. [...] na zadane pytania należy odpowiedzieć, że art. 1 pkt 11 dyrektywy 98/34 należy interpretować w ten sposób, że przepisy krajowe, takie jak przepisy ustawy o grach losowych, które mogą skutkować ograniczeniem, a nawet stopniowym uniemożliwieniem prowadzenia gier na automatach o niskich wygranych w innym miejscu niż w kasynach i salonach gier, mogą stanowić „przepisy techniczne” w rozumieniu tego przepisu. których projekty powinny być przedmiotem komunikatu, o którym mowa w art. 8 ust. 1 akapit pierwszy dyrektywy, o ile zostanie ustalone, że przepisy te stanowią warunki, które mogą w istotny sposób wpłynąć na charakter lub obrót danym produktem, czego ustalenie należy do sądu odsyłającego”.</w:t>
      </w:r>
    </w:p>
    <w:p w14:paraId="3AB93DB7" w14:textId="77777777">
      <w:pPr>
        <w:spacing w:after="0" w:line="240" w:lineRule="auto"/>
      </w:pPr>
    </w:p>
    <w:p w14:paraId="6F817443" w14:textId="50BA543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9" w:history="1">
        <w:r>
          <w:rPr>
            <w:b/>
            <w:i/>
            <w:color w:val="0000FF"/>
            <w:u w:val="single"/>
          </w:rPr>
          <w:t xml:space="preserve">Wyrok z dnia 10 lipca 2014</w:t>
        </w:r>
      </w:hyperlink>
      <w:r>
        <w:rPr>
          <w:b/>
          <w:i/>
        </w:rPr>
        <w:t xml:space="preserve">r., Ivansson i</w:t>
      </w:r>
      <w:r>
        <w:rPr>
          <w:sz w:val="25"/>
        </w:rPr>
        <w:t xml:space="preserve"> in.,</w:t>
      </w:r>
      <w:r>
        <w:rPr>
          <w:b/>
          <w:i/>
        </w:rPr>
        <w:t xml:space="preserve"> C-307/13, EU:C:2014:2058, pkt 26–28</w:t>
      </w:r>
      <w:bookmarkEnd w:id="51"/>
    </w:p>
    <w:p w14:paraId="545625E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7F9CB0B" w14:textId="6B35A590">
      <w:pPr>
        <w:pStyle w:val="P68B1DB1-P68B1DB1-Normal135"/>
        <w:widowControl w:val="0"/>
        <w:tabs>
          <w:tab w:val="left" w:pos="396"/>
          <w:tab w:val="left" w:pos="407"/>
        </w:tabs>
        <w:autoSpaceDE w:val="0"/>
        <w:autoSpaceDN w:val="0"/>
        <w:spacing w:after="0" w:line="240" w:lineRule="auto"/>
        <w:jc w:val="both"/>
        <w:rPr>
          <w:b w:val="0"/>
          <w:bCs/>
          <w:i w:val="0"/>
          <w:iCs/>
        </w:rPr>
      </w:pPr>
      <w:r>
        <w:t xml:space="preserve">Zasada ustanawiająca ogólny cel, jakim jest wygoda drobiu i jakość zakładów chowu, nie jest „innym wymogiem”, ponieważ jest mało prawdopodobne, aby jej ogólny charakter miał wpływ na skład, charakter lub wprowadzanie do obrotu produktu końcowego. </w:t>
      </w:r>
    </w:p>
    <w:p w14:paraId="14EF2596"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581B4FF" w14:textId="624DB181">
      <w:pPr>
        <w:pStyle w:val="P68B1DB1-P68B1DB1-Normal147"/>
        <w:spacing w:after="0" w:line="240" w:lineRule="auto"/>
        <w:ind w:left="567"/>
        <w:jc w:val="both"/>
        <w:rPr>
          <w:i/>
          <w:iCs/>
          <w:sz w:val="20"/>
          <w:szCs w:val="18"/>
        </w:rPr>
      </w:pPr>
      <w:r>
        <w:t xml:space="preserve">„26. [...] Trybunał orzekł już, że aby rozpatrywane przepisy krajowe mogły zostać zakwalifikowane jako „inne wymogi” w rozumieniu art. 1 pkt 4 dyrektywy 98/34, muszą one stanowić „warunki”, które mogą mieć znaczący wpływ na skład lub charakter danego produktu lub jego sprzedaż (zob. wyrok Fortuna i in., EU:C:2012:495, pkt 35 i przytoczone tam orzecznictwo).</w:t>
      </w:r>
    </w:p>
    <w:p w14:paraId="4C097BBE" w14:textId="77777777">
      <w:pPr>
        <w:pStyle w:val="P68B1DB1-Normal14"/>
        <w:spacing w:after="0" w:line="240" w:lineRule="auto"/>
        <w:ind w:left="567"/>
        <w:jc w:val="both"/>
        <w:rPr>
          <w:i/>
          <w:iCs/>
          <w:sz w:val="20"/>
          <w:szCs w:val="18"/>
        </w:rPr>
      </w:pPr>
    </w:p>
    <w:p w14:paraId="22DD1173" w14:textId="5E72285F">
      <w:pPr>
        <w:pStyle w:val="P68B1DB1-P68B1DB1-Normal147"/>
        <w:spacing w:after="0" w:line="240" w:lineRule="auto"/>
        <w:ind w:left="567"/>
        <w:jc w:val="both"/>
        <w:rPr>
          <w:i/>
          <w:iCs/>
          <w:sz w:val="20"/>
          <w:szCs w:val="18"/>
        </w:rPr>
      </w:pPr>
      <w:r>
        <w:t xml:space="preserve">27. Trybunał uznał także, że jeżeli wymogi zawarte w środku krajowym mają ogólny charakter, to nie mogą stanowić tego rodzaju warunków, a w konsekwencji nie można ich zakwalifikować jako „innych wymagań” w rozumieniu wskazanego art. 1 pkt 4 (zob. podobnie wyrok Intercommunale Intermosane i Fédération de l’industrie et du gaz, EU:C:2011:382, pkt 21).</w:t>
      </w:r>
    </w:p>
    <w:p w14:paraId="15F3320F" w14:textId="77777777">
      <w:pPr>
        <w:pStyle w:val="P68B1DB1-Normal14"/>
        <w:spacing w:after="0" w:line="240" w:lineRule="auto"/>
        <w:ind w:left="567"/>
        <w:jc w:val="both"/>
        <w:rPr>
          <w:i/>
          <w:iCs/>
          <w:sz w:val="20"/>
          <w:szCs w:val="18"/>
        </w:rPr>
      </w:pPr>
    </w:p>
    <w:p w14:paraId="2DD435A7" w14:textId="30F8D24A">
      <w:pPr>
        <w:pStyle w:val="P68B1DB1-P68B1DB1-Normal147"/>
        <w:spacing w:after="0" w:line="240" w:lineRule="auto"/>
        <w:ind w:left="567"/>
        <w:jc w:val="both"/>
        <w:rPr>
          <w:bCs/>
          <w:i/>
          <w:iCs/>
          <w:sz w:val="20"/>
          <w:szCs w:val="18"/>
        </w:rPr>
      </w:pPr>
      <w:r>
        <w:t xml:space="preserve">28. Bardzo ogólne brzmienie § 9 DSF, jak wskazano w pkt 22 i 23 niniejszego wyroku, stoi zatem na przeszkodzie uznaniu, że przepis ten nakłada warunki na skład lub charakter danych produktów lub ich sprzedaż”.</w:t>
      </w:r>
    </w:p>
    <w:p w14:paraId="411B1718" w14:textId="77777777">
      <w:pPr>
        <w:spacing w:after="0" w:line="240" w:lineRule="auto"/>
        <w:rPr>
          <w:rFonts w:ascii="Times New Roman" w:hAnsi="Times New Roman" w:cs="Times New Roman" w:eastAsia="Times New Roman"/>
          <w:bCs/>
          <w:i/>
          <w:sz w:val="20"/>
          <w:szCs w:val="16"/>
        </w:rPr>
      </w:pPr>
    </w:p>
    <w:p w14:paraId="4751BBE0" w14:textId="22592B0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0" w:anchor="ctx1" w:history="1">
        <w:r>
          <w:rPr>
            <w:color w:val="0000FF"/>
            <w:u w:val="single"/>
          </w:rPr>
          <w:t xml:space="preserve">Wyrok z dnia 11 czerwca 2015</w:t>
        </w:r>
      </w:hyperlink>
      <w:r>
        <w:t xml:space="preserve"> r., Berlington Hungary i in., C-98/14, EU:C:2015:386, pkt 98, 99</w:t>
      </w:r>
      <w:bookmarkEnd w:id="52"/>
    </w:p>
    <w:p w14:paraId="25A1572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998E6F5" w14:textId="77777777">
      <w:pPr>
        <w:pStyle w:val="P68B1DB1-P68B1DB1-Normal135"/>
        <w:widowControl w:val="0"/>
        <w:tabs>
          <w:tab w:val="left" w:pos="396"/>
          <w:tab w:val="left" w:pos="449"/>
        </w:tabs>
        <w:autoSpaceDE w:val="0"/>
        <w:autoSpaceDN w:val="0"/>
        <w:spacing w:after="0" w:line="240" w:lineRule="auto"/>
        <w:jc w:val="both"/>
        <w:rPr>
          <w:b w:val="0"/>
          <w:bCs/>
          <w:i w:val="0"/>
          <w:iCs/>
        </w:rPr>
      </w:pPr>
      <w:r>
        <w:t xml:space="preserve">Przepisy krajowe zakazujące obsługi automatów do gier poza kasynami stanowią „inne wymogi”, ponieważ mogą mieć znaczący wpływ na charakter lub sprzedaż takich automatów.</w:t>
      </w:r>
    </w:p>
    <w:p w14:paraId="39E1078A"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08EB1E5D" w14:textId="2E1379BD">
      <w:pPr>
        <w:pStyle w:val="P68B1DB1-P68B1DB1-Normal147"/>
        <w:widowControl w:val="0"/>
        <w:tabs>
          <w:tab w:val="left" w:pos="396"/>
          <w:tab w:val="left" w:pos="449"/>
        </w:tabs>
        <w:autoSpaceDE w:val="0"/>
        <w:autoSpaceDN w:val="0"/>
        <w:spacing w:after="0" w:line="240" w:lineRule="auto"/>
        <w:ind w:left="567"/>
        <w:jc w:val="both"/>
        <w:rPr>
          <w:i/>
          <w:iCs/>
          <w:sz w:val="20"/>
          <w:szCs w:val="18"/>
        </w:rPr>
      </w:pPr>
      <w:bookmarkStart w:id="53" w:name="point98"/>
      <w:r>
        <w:t>„</w:t>
      </w:r>
      <w:bookmarkEnd w:id="53"/>
      <w:r>
        <w:t xml:space="preserve">98. [...] Trybunał orzekł już, że przepis krajowy ograniczający organizację niektórych gier losowych do kasyn stanowi jedynie „przepis techniczny” w rozumieniu art. 1 pkt 11 dyrektywy w zakresie, w jakim może on znacząco wpłynąć na charakter lub wprowadzanie do obrotu produktów wykorzystywanych w tym kontekście (zob. podobnie wyroki: Komisja/Grecja, C-65/05, EU:C:2006:673, pkt 61; Fortuna i in., C-213/11, C-214/11 i C-217/11, EU:C:2012:495, pkt 24, 40).</w:t>
      </w:r>
    </w:p>
    <w:p w14:paraId="3EF89879" w14:textId="77777777">
      <w:pPr>
        <w:pStyle w:val="P68B1DB1-Normal14"/>
        <w:widowControl w:val="0"/>
        <w:tabs>
          <w:tab w:val="left" w:pos="396"/>
          <w:tab w:val="left" w:pos="449"/>
        </w:tabs>
        <w:autoSpaceDE w:val="0"/>
        <w:autoSpaceDN w:val="0"/>
        <w:spacing w:after="0" w:line="240" w:lineRule="auto"/>
        <w:ind w:left="567"/>
        <w:jc w:val="both"/>
        <w:rPr>
          <w:i/>
          <w:iCs/>
          <w:sz w:val="20"/>
          <w:szCs w:val="18"/>
        </w:rPr>
      </w:pPr>
    </w:p>
    <w:p w14:paraId="61FE26C2" w14:textId="47FD8C72">
      <w:pPr>
        <w:pStyle w:val="P68B1DB1-P68B1DB1-Normal147"/>
        <w:widowControl w:val="0"/>
        <w:tabs>
          <w:tab w:val="left" w:pos="396"/>
          <w:tab w:val="left" w:pos="449"/>
        </w:tabs>
        <w:autoSpaceDE w:val="0"/>
        <w:autoSpaceDN w:val="0"/>
        <w:spacing w:after="0" w:line="240" w:lineRule="auto"/>
        <w:ind w:left="567"/>
        <w:jc w:val="both"/>
        <w:rPr>
          <w:i/>
          <w:iCs/>
          <w:sz w:val="20"/>
          <w:szCs w:val="18"/>
        </w:rPr>
      </w:pPr>
      <w:r>
        <w:t xml:space="preserve">99. Jednakże zakaz eksploatacji automatów do gier poza kasynami, taki jak wprowadzony ustawą zmieniającą z 2012 r., może mieć znaczący wpływ na charakter lub sprzedaż tych automatów, które stanowią towary, które mogą być objęte art. 34 TFUE (zob. wyrok Läärä i in., C-124/97, EU:C:1999:435, pkt 20, 24) poprzez ograniczenie punktów sprzedaży, w których mogą być one używane”.</w:t>
      </w:r>
    </w:p>
    <w:p w14:paraId="6E21C148" w14:textId="77777777">
      <w:pPr>
        <w:pStyle w:val="P68B1DB1-Normal14"/>
        <w:widowControl w:val="0"/>
        <w:tabs>
          <w:tab w:val="left" w:pos="396"/>
          <w:tab w:val="left" w:pos="449"/>
        </w:tabs>
        <w:autoSpaceDE w:val="0"/>
        <w:autoSpaceDN w:val="0"/>
        <w:spacing w:after="0" w:line="240" w:lineRule="auto"/>
        <w:ind w:left="567"/>
        <w:jc w:val="both"/>
      </w:pPr>
    </w:p>
    <w:p w14:paraId="2000DB13" w14:textId="27A949A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1" w:history="1">
        <w:r>
          <w:rPr>
            <w:color w:val="0000FF"/>
            <w:u w:val="single"/>
          </w:rPr>
          <w:t xml:space="preserve">Wyrok z dnia 13 października 2016</w:t>
        </w:r>
      </w:hyperlink>
      <w:r>
        <w:t xml:space="preserve"> r., Naczelnik Urzędu Celnego I w Ł., C-303/15, EU:C:2016:771, pkt 25–30.</w:t>
      </w:r>
      <w:bookmarkEnd w:id="54"/>
    </w:p>
    <w:p w14:paraId="5BE11B60"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65E429E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Przepis uzależniający wykonywanie działalności hazardowej od posiadania zezwolenia na prowadzenie kasyna nie stanowi „innego wymogu”. O ile bowiem przepisy ograniczające organizację gier losowych do kasyn mogą znacząco wpłynąć na wprowadzanie do obrotu powiązanych produktów poprzez ograniczenie ich kanałów dystrybucji, o tyle przepisy regulujące warunki zakładania przedsiębiorstw prawdopodobnie nie będą miały istotnego wpływu na charakter lub sprzedaż wykorzystywanych produktów.</w:t>
      </w:r>
    </w:p>
    <w:p w14:paraId="7D28A90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 w:val="20"/>
          <w:szCs w:val="18"/>
        </w:rPr>
      </w:pPr>
    </w:p>
    <w:p w14:paraId="1BE98C7F" w14:textId="7F54B5A4">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„25. Wreszcie w celu ustalenia, czy art. 6 ust. 1 ustawy o grach hazardowych jest objęty zakresem stosowania art. 1 pkt 4 dyrektywy 98/34 lub art. 1 pkt 11 tej dyrektywy, należy zbadać, czy taki przepis może znacząco wpłynąć na skład, charakter lub sprzedaż danego produktu, w tym przypadku automatów do gier, jako „warunek” używania danego produktu, czy też jest to środek krajowy należący do kategorii zakazów, o której mowa w art. 1 ust. 11 tej dyrektywy.</w:t>
      </w:r>
    </w:p>
    <w:p w14:paraId="69BFAFE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9CB89CD" w14:textId="3DFDE1A5">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26. W tym względzie należy przypomnieć, że to art. 14 ust. 1 ustawy o grach hazardowych zastrzega urządzanie gier cylindrycznych, gier w karty, gier w kości oraz gier na automatach wyłącznie dla kasyn gry. Przepis ten został zgłoszony Komisji jako „przepis techniczny” ze względu na fakt, że Trybunał już orzekł, po pierwsze, iż przepisy krajowe, które zastrzegają organizację niektórych gier losowych wyłącznie dla kasyn, stanowią „przepisy techniczne” w rozumieniu art. 1 pkt 11 dyrektywy 98/34 w zakresie, w jakim mogą mieć istotny wpływ na właściwości lub sprzedaż produktów użytkowanych w tym kontekście i, po drugie, że zakaz użytkowania pewnych produktów poza kasynami może mieć istotny wpływ na sprzedaż tych produktów poprzez zmniejszenie liczby kanałów użytkowania (zob. podobnie wyrok z dnia 11 czerwca 2015 r., Berlington Hungary i in., C-98/14, EU:C:2015:386, pkt 98, 99).</w:t>
      </w:r>
    </w:p>
    <w:p w14:paraId="107284B9"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145A5B71" w14:textId="6CEF0E10">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27. Natomiast art. 6 ust. 1 tej ustawy, który stanowi, że dla celów prowadzenia działalności w zakresie gier cylindrycznych, gier w karty, gier w kości oraz gier na automatach konieczna jest koncesja na prowadzenie kasyna gry, nie został zgłoszony.</w:t>
      </w:r>
    </w:p>
    <w:p w14:paraId="6972B44C"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07BB4ED" w14:textId="2BEC0401">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28.Nie można zgodzić się z argumentem Komisji, zgodnie z którym ścisły związek między dwoma rozpatrywanymi przepisami prawa krajowego uniemożliwia wyodrębnienie art. 14 ust. 1 ustawy o grach losowych z art. 6 ust. 1 tej ustawy. Jak bowiem stwierdza rzecznik generalny w pkt 38-44 swojej opinii, art. 6 ust. 1 tej ustawy i jej art. 14 ust. 1 pełnią różną funkcję i mają różny zakres zastosowania. Element opisowy znajdujący się w art. 6 ust. 1 tej ustawy, który służy wskazaniu analizowanej w niniejszej sprawie koncesji jako koncesji „na prowadzenie kasyna”, nie zmienia tego wniosku.</w:t>
      </w:r>
    </w:p>
    <w:p w14:paraId="54D8E8D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2068C2E4" w14:textId="0FD51152">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29. Stąd zasadne jest stwierdzić, że nie należy uznać art. 6 ust. 1 ustawy o grach hazardowych za „inne wymagania” w rozumieniu art. 1 pkt 4 dyrektywy 98/34, ponieważ zezwolenie wymagane przez ten przepis krajowy na urządzanie gier hazardowych stanowi warunek nałożony względem prowadzenia działalności w zakresie organizowania takich gier w odróżnieniu od art. 14 ust. 1 tej ustawy, który ustanawia warunki względem danych produktów, zakazując ich użytkowania poza kasynami gry.</w:t>
      </w:r>
    </w:p>
    <w:p w14:paraId="6E096F4E"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AFFF24D" w14:textId="079610FD">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30. Ponadto zgodnie z utrwalonym orzecznictwem przepisy prawa krajowego, które ograniczają się do ustanowienia warunków zakładania przedsiębiorstw lub świadczenia usług przez przedsiębiorstwa, takie jak przepisy uzależniające wykonywanie działalności gospodarczej od uprzedniego zezwolenia, nie stanowią przepisów technicznych w rozumieniu art. 1 pkt 11 dyrektywy 98/34 (zob. podobnie wyrok z dnia 4 lutego 2016 r., Ince, C-336/14, EU:C:2016:72, pkt 76 i przytoczone tam orzecznictwo).”</w:t>
      </w:r>
    </w:p>
    <w:p w14:paraId="47FF74A0" w14:textId="77777777">
      <w:pPr>
        <w:spacing w:after="0" w:line="240" w:lineRule="auto"/>
        <w:rPr>
          <w:sz w:val="20"/>
          <w:szCs w:val="20"/>
        </w:rPr>
      </w:pPr>
    </w:p>
    <w:p w14:paraId="2E29F352" w14:textId="7C1F042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2" w:history="1">
        <w:r>
          <w:rPr>
            <w:color w:val="0000FF"/>
            <w:u w:val="single"/>
          </w:rPr>
          <w:t xml:space="preserve">Wyrok z dnia 27 października 2016</w:t>
        </w:r>
      </w:hyperlink>
      <w:r>
        <w:t xml:space="preserve"> r., James Elliott Construction, C-613/14, EU:C:2016:821, pkt 67–69.</w:t>
      </w:r>
      <w:bookmarkEnd w:id="55"/>
    </w:p>
    <w:p w14:paraId="1A68586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ED19EDB" w14:textId="566C76FE">
      <w:pPr>
        <w:widowControl w:val="0"/>
        <w:tabs>
          <w:tab w:val="left" w:pos="430"/>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Przepisy krajowe określające dorozumiane warunki umowne dotyczące jakości handlowej, przydatności do użycia lub jakości sprzedawanych produktów nie stanowią „innych wymagań”, ponieważ ich ogólny charakter sprawia, że nie mogą one mieć znaczącego wpływu na skład, charakter lub sprzedaż danych produktów.</w:t>
      </w:r>
    </w:p>
    <w:p w14:paraId="030038CF" w14:textId="77777777">
      <w:pPr>
        <w:widowControl w:val="0"/>
        <w:tabs>
          <w:tab w:val="left" w:pos="430"/>
        </w:tabs>
        <w:autoSpaceDE w:val="0"/>
        <w:autoSpaceDN w:val="0"/>
        <w:spacing w:after="0" w:line="240" w:lineRule="auto"/>
        <w:jc w:val="both"/>
        <w:rPr>
          <w:rFonts w:ascii="Times New Roman" w:hAnsi="Times New Roman" w:cs="Times New Roman" w:eastAsia="Times New Roman"/>
          <w:sz w:val="20"/>
          <w:szCs w:val="18"/>
        </w:rPr>
      </w:pPr>
    </w:p>
    <w:p w14:paraId="3AC7F779" w14:textId="3E2215BE">
      <w:pPr>
        <w:pStyle w:val="P68B1DB1-P68B1DB1-Normal147"/>
        <w:widowControl w:val="0"/>
        <w:tabs>
          <w:tab w:val="left" w:pos="430"/>
        </w:tabs>
        <w:autoSpaceDE w:val="0"/>
        <w:autoSpaceDN w:val="0"/>
        <w:spacing w:after="0" w:line="240" w:lineRule="auto"/>
        <w:ind w:left="567"/>
        <w:jc w:val="both"/>
        <w:rPr>
          <w:i/>
          <w:iCs/>
          <w:sz w:val="20"/>
          <w:szCs w:val="18"/>
        </w:rPr>
      </w:pPr>
      <w:r>
        <w:t xml:space="preserve">„67. W niniejszej sprawie wydaje się, po pierwsze, że przepisy takie jak rozpatrywane w postępowaniu głównym, same w sobie lub zgodnie z ich wykładnią dokonaną przez sądy irlandzkie, nie wchodzą w zakres pojęcia „specyfikacji technicznej” w rozumieniu art. 1 ust. 3 dyrektywy 98/34. Pojęcie to obejmuje jedynie przepisy krajowe, które odnoszą się do produktu lub jego opakowania jako takiego i które określają w ten sposób jedną z wymaganych cech produktu (wyrok z dnia 10 lipca 2014 r., Ivansson i in., C-307/13, EU:C:2014:2058, pkt 19 i przytoczone tam orzecznictwo). Tymczasem nie dotyczy to w oczywisty sposób wymogu mającego zastosowanie, chyba że strony postanowią inaczej, ogólnie do sprzedaży wszystkich wyrobów.</w:t>
      </w:r>
    </w:p>
    <w:p w14:paraId="246DB47A" w14:textId="77777777">
      <w:pPr>
        <w:pStyle w:val="P68B1DB1-Normal14"/>
        <w:widowControl w:val="0"/>
        <w:tabs>
          <w:tab w:val="left" w:pos="430"/>
        </w:tabs>
        <w:autoSpaceDE w:val="0"/>
        <w:autoSpaceDN w:val="0"/>
        <w:spacing w:after="0" w:line="240" w:lineRule="auto"/>
        <w:ind w:left="567"/>
        <w:jc w:val="both"/>
        <w:rPr>
          <w:i/>
          <w:iCs/>
          <w:sz w:val="20"/>
          <w:szCs w:val="18"/>
        </w:rPr>
      </w:pPr>
    </w:p>
    <w:p w14:paraId="1FB165CB" w14:textId="02F7A50F">
      <w:pPr>
        <w:pStyle w:val="P68B1DB1-P68B1DB1-Normal147"/>
        <w:widowControl w:val="0"/>
        <w:tabs>
          <w:tab w:val="left" w:pos="430"/>
        </w:tabs>
        <w:autoSpaceDE w:val="0"/>
        <w:autoSpaceDN w:val="0"/>
        <w:spacing w:after="0" w:line="240" w:lineRule="auto"/>
        <w:ind w:left="567"/>
        <w:jc w:val="both"/>
        <w:rPr>
          <w:i/>
          <w:iCs/>
          <w:sz w:val="20"/>
          <w:szCs w:val="18"/>
        </w:rPr>
      </w:pPr>
      <w:r>
        <w:t xml:space="preserve">68. Po drugie, z tego samego powodu przepisy te nie mogą zostać zakwalifikowane jako „inne wymagania” w rozumieniu art. 1 pkt 4 dyrektywy 98/34.</w:t>
      </w:r>
    </w:p>
    <w:p w14:paraId="739ADC6F" w14:textId="77777777">
      <w:pPr>
        <w:pStyle w:val="P68B1DB1-Normal14"/>
        <w:widowControl w:val="0"/>
        <w:tabs>
          <w:tab w:val="left" w:pos="430"/>
        </w:tabs>
        <w:autoSpaceDE w:val="0"/>
        <w:autoSpaceDN w:val="0"/>
        <w:spacing w:after="0" w:line="240" w:lineRule="auto"/>
        <w:ind w:left="567"/>
        <w:jc w:val="both"/>
        <w:rPr>
          <w:i/>
          <w:iCs/>
          <w:sz w:val="20"/>
          <w:szCs w:val="18"/>
        </w:rPr>
      </w:pPr>
    </w:p>
    <w:p w14:paraId="1707774D" w14:textId="76CDFE30">
      <w:pPr>
        <w:pStyle w:val="P68B1DB1-P68B1DB1-Normal147"/>
        <w:widowControl w:val="0"/>
        <w:tabs>
          <w:tab w:val="left" w:pos="430"/>
        </w:tabs>
        <w:autoSpaceDE w:val="0"/>
        <w:autoSpaceDN w:val="0"/>
        <w:spacing w:after="0" w:line="240" w:lineRule="auto"/>
        <w:ind w:left="567"/>
        <w:jc w:val="both"/>
        <w:rPr>
          <w:i/>
          <w:iCs/>
          <w:sz w:val="20"/>
          <w:szCs w:val="18"/>
        </w:rPr>
      </w:pPr>
      <w:r>
        <w:t xml:space="preserve">69. W tym względzie Trybunał wyjaśnił, że aby rozpatrywane środki krajowe mogły zostać zakwalifikowane jako „inne wymogi” w rozumieniu tego przepisu, muszą one stanowić warunki, które mogą w istotny sposób wpłynąć na skład lub charakter danego produktu lub jego sprzedaż, ponieważ wymogi o charakterze ogólnym nie mogą stanowić takich warunków ani w konsekwencji zostać uznane za „inne wymogi” (zob. wyrok z dnia 10 lipca 2014 r., Ivansson i in., C-307/13, EU:C:2014:2058, pkt 26, 27 i przytoczone tam orzecznictwo).</w:t>
      </w:r>
    </w:p>
    <w:p w14:paraId="14788AE2" w14:textId="77777777">
      <w:pPr>
        <w:pStyle w:val="P68B1DB1-Normal14"/>
        <w:widowControl w:val="0"/>
        <w:tabs>
          <w:tab w:val="left" w:pos="430"/>
        </w:tabs>
        <w:autoSpaceDE w:val="0"/>
        <w:autoSpaceDN w:val="0"/>
        <w:spacing w:after="0" w:line="240" w:lineRule="auto"/>
        <w:ind w:left="567"/>
        <w:jc w:val="both"/>
      </w:pPr>
    </w:p>
    <w:p w14:paraId="6F74C5A2" w14:textId="059511E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3" w:history="1">
        <w:r>
          <w:rPr>
            <w:color w:val="0000FF"/>
            <w:u w:val="single"/>
          </w:rPr>
          <w:t xml:space="preserve">Wyrok z dnia 1 lutego 2017</w:t>
        </w:r>
      </w:hyperlink>
      <w:r>
        <w:t xml:space="preserve"> r., Município de Palmela, C-144/16, EU:C:2017:76, pkt 23, 33</w:t>
      </w:r>
      <w:bookmarkEnd w:id="56"/>
    </w:p>
    <w:p w14:paraId="6DCEC74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BF7FCE" w14:textId="77777777">
      <w:pPr>
        <w:pStyle w:val="P68B1DB1-P68B1DB1-Normal135"/>
        <w:widowControl w:val="0"/>
        <w:tabs>
          <w:tab w:val="left" w:pos="396"/>
          <w:tab w:val="left" w:pos="435"/>
        </w:tabs>
        <w:autoSpaceDE w:val="0"/>
        <w:autoSpaceDN w:val="0"/>
        <w:spacing w:after="0" w:line="240" w:lineRule="auto"/>
        <w:jc w:val="both"/>
        <w:rPr>
          <w:b w:val="0"/>
          <w:bCs/>
          <w:i w:val="0"/>
          <w:iCs/>
        </w:rPr>
      </w:pPr>
      <w:r>
        <w:t xml:space="preserve">Przepis ustanawiający wymogi dotyczące opakowań nałożone na produkt ze względu na ochronę konsumentów jest „innym wymogiem”, ponieważ odnosi się do cyklu życia produktów po wprowadzeniu do obrotu i w istotny sposób wpływa na ich skład i wprowadzanie do obrotu.</w:t>
      </w:r>
    </w:p>
    <w:p w14:paraId="3D96BE4E" w14:textId="77777777">
      <w:pPr>
        <w:widowControl w:val="0"/>
        <w:tabs>
          <w:tab w:val="left" w:pos="396"/>
          <w:tab w:val="left" w:pos="435"/>
        </w:tabs>
        <w:autoSpaceDE w:val="0"/>
        <w:autoSpaceDN w:val="0"/>
        <w:spacing w:after="0" w:line="240" w:lineRule="auto"/>
        <w:ind w:hanging="142"/>
        <w:jc w:val="both"/>
        <w:rPr>
          <w:rFonts w:ascii="Times New Roman" w:hAnsi="Times New Roman" w:cs="Times New Roman" w:eastAsia="Times New Roman"/>
          <w:bCs/>
          <w:iCs/>
          <w:szCs w:val="20"/>
        </w:rPr>
      </w:pPr>
    </w:p>
    <w:p w14:paraId="5B0F8037" w14:textId="25CE703A">
      <w:pPr>
        <w:pStyle w:val="P68B1DB1-P68B1DB1-Normal135"/>
        <w:widowControl w:val="0"/>
        <w:tabs>
          <w:tab w:val="left" w:pos="396"/>
          <w:tab w:val="left" w:pos="399"/>
        </w:tabs>
        <w:autoSpaceDE w:val="0"/>
        <w:autoSpaceDN w:val="0"/>
        <w:spacing w:after="0" w:line="240" w:lineRule="auto"/>
        <w:jc w:val="both"/>
        <w:rPr>
          <w:b w:val="0"/>
          <w:bCs/>
          <w:i w:val="0"/>
          <w:iCs/>
        </w:rPr>
      </w:pPr>
      <w:r>
        <w:t xml:space="preserve">Z drugiej strony rozporządzenie, zgodnie z którym informacje na temat maksymalnej pojemności obszaru wypoczynkowego powinny być wyświetlane w kilku miejscach na tym obszarze, nie stanowi „innego wymogu” ze względu na jego ogólny charakter.</w:t>
      </w:r>
    </w:p>
    <w:p w14:paraId="7CB69B90" w14:textId="77777777">
      <w:pPr>
        <w:widowControl w:val="0"/>
        <w:tabs>
          <w:tab w:val="left" w:pos="396"/>
          <w:tab w:val="left" w:pos="399"/>
        </w:tabs>
        <w:autoSpaceDE w:val="0"/>
        <w:autoSpaceDN w:val="0"/>
        <w:spacing w:after="0" w:line="240" w:lineRule="auto"/>
        <w:ind w:hanging="142"/>
        <w:jc w:val="both"/>
        <w:rPr>
          <w:rFonts w:ascii="Times New Roman" w:hAnsi="Times New Roman" w:cs="Times New Roman" w:eastAsia="Times New Roman"/>
          <w:szCs w:val="20"/>
        </w:rPr>
      </w:pPr>
    </w:p>
    <w:p w14:paraId="047ADE80" w14:textId="3A89FEEF">
      <w:pPr>
        <w:pStyle w:val="P68B1DB1-P68B1DB1-Normal1421"/>
        <w:widowControl w:val="0"/>
        <w:tabs>
          <w:tab w:val="left" w:pos="396"/>
          <w:tab w:val="left" w:pos="399"/>
        </w:tabs>
        <w:autoSpaceDE w:val="0"/>
        <w:autoSpaceDN w:val="0"/>
        <w:spacing w:after="0" w:line="240" w:lineRule="auto"/>
        <w:ind w:left="567" w:hanging="142"/>
        <w:jc w:val="both"/>
        <w:rPr>
          <w:i/>
          <w:iCs/>
        </w:rPr>
      </w:pPr>
      <w:r>
        <w:tab/>
        <w:t>„</w:t>
      </w:r>
      <w:bookmarkStart w:id="57" w:name="point23"/>
      <w:r>
        <w:t>23</w:t>
      </w:r>
      <w:bookmarkEnd w:id="57"/>
      <w:r>
        <w:t xml:space="preserve">. Jeżeli chodzi o art. 16 ust. 1 i 2 rozporządzenia EJR, zmienionego dekretem z mocą ustawy nr 119/2009, należy stwierdzić za sądem odsyłającym, że faktycznie stanowi on przepis techniczny w rozumieniu dyrektyw 83/189 i 98/34, bowiem przepis ten określa wymogi ustanowione wobec produktu ze względów ochrony konsumentów, dotyczące jego cyklu życiowego po wprowadzeniu do obrotu i w znaczący sposób oddziałują na skład i sprzedaż takiego produktu. Przepis ten należy zatem do kategorii „innych wymagań” w rozumieniu zarówno art. 1 ust. 3 dyrektywy 83/189, jak i art. 1 ust. 4 dyrektywy 98/34”.</w:t>
      </w:r>
    </w:p>
    <w:p w14:paraId="78B67949"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0B57ECD8" w14:textId="7EBBFF11">
      <w:pPr>
        <w:pStyle w:val="P68B1DB1-P68B1DB1-Normal1421"/>
        <w:widowControl w:val="0"/>
        <w:autoSpaceDE w:val="0"/>
        <w:autoSpaceDN w:val="0"/>
        <w:spacing w:after="0" w:line="240" w:lineRule="auto"/>
        <w:ind w:left="567"/>
        <w:jc w:val="both"/>
        <w:rPr>
          <w:i/>
          <w:iCs/>
        </w:rPr>
      </w:pPr>
      <w:r>
        <w:t>„</w:t>
      </w:r>
      <w:bookmarkStart w:id="58" w:name="point33"/>
      <w:r>
        <w:t>33</w:t>
      </w:r>
      <w:bookmarkEnd w:id="58"/>
      <w:r>
        <w:t xml:space="preserve">. [...] przepis taki jak rozpatrywany w postępowaniu głównym nie stanowi „innego wymogu” w rozumieniu art. 1 pkt 4 dyrektywy 98/34, biorąc pod uwagę ogólny charakter określonych w nim wymogów (zob. podobnie wyrok z dnia 9 czerwca 2011 r., Intercommunale Intermosane i Fédération de l’industrie et du gaz, C 361/10</w:t>
        <w:noBreakHyphen/>
        <w:t xml:space="preserve">, EU:C:2011:382, pkt 21). Z drugiej strony nie zawiera ona żadnych zakazów, które mogłyby objąć ją kategorią zakazów określonych w art. 1 ust. 11 tej dyrektywy”.</w:t>
      </w:r>
    </w:p>
    <w:p w14:paraId="4725CFBE" w14:textId="77777777">
      <w:pPr>
        <w:spacing w:after="0" w:line="240" w:lineRule="auto"/>
      </w:pPr>
    </w:p>
    <w:bookmarkStart w:id="59" w:name="_Hlk193299811"/>
    <w:p w14:paraId="109F8B7C" w14:textId="6B0FA9E0">
      <w:pPr>
        <w:pStyle w:val="P68B1DB1-P68B1DB1-Normal1622"/>
        <w:widowControl w:val="0"/>
        <w:autoSpaceDE w:val="0"/>
        <w:autoSpaceDN w:val="0"/>
        <w:spacing w:after="0" w:line="240" w:lineRule="auto"/>
        <w:jc w:val="both"/>
        <w:outlineLvl w:val="1"/>
        <w:rPr>
          <w:b/>
          <w:bCs/>
          <w:i/>
          <w:iCs/>
          <w:sz w:val="22"/>
          <w:szCs w:val="22"/>
        </w:rPr>
      </w:pPr>
      <w:r>
        <w:fldChar w:fldCharType="begin"/>
      </w:r>
      <w:r>
        <w:rPr>
          <w:b/>
          <w:bCs/>
          <w:i/>
          <w:iCs/>
          <w:sz w:val="22"/>
          <w:szCs w:val="22"/>
        </w:rPr>
        <w:instrText>HYPERLINK "https://curia.europa.eu/juris/document/document.jsf?text=&amp;docid=206117&amp;pageIndex=0&amp;doclang=EN&amp;mode=lst&amp;dir=&amp;occ=first&amp;part=1&amp;cid=9777324"</w:instrText>
      </w:r>
      <w:r>
        <w:rPr>
          <w:b/>
          <w:bCs/>
          <w:i/>
          <w:iCs/>
          <w:sz w:val="22"/>
          <w:szCs w:val="22"/>
        </w:rPr>
      </w:r>
      <w:r>
        <w:rPr>
          <w:b/>
          <w:bCs/>
          <w:i/>
          <w:iCs/>
          <w:sz w:val="22"/>
          <w:szCs w:val="22"/>
        </w:rPr>
        <w:fldChar w:fldCharType="separate"/>
      </w:r>
      <w:bookmarkStart w:id="60" w:name="_Toc198043820"/>
      <w:r>
        <w:rPr>
          <w:b/>
          <w:bCs/>
          <w:i/>
          <w:iCs/>
          <w:color w:val="0000FF"/>
          <w:sz w:val="22"/>
          <w:szCs w:val="22"/>
          <w:u w:val="single"/>
        </w:rPr>
        <w:t xml:space="preserve">Wyrok z dnia 26 września</w:t>
      </w:r>
      <w:r>
        <w:rPr>
          <w:b/>
          <w:bCs/>
          <w:i/>
          <w:iCs/>
          <w:color w:val="0000FF"/>
          <w:sz w:val="22"/>
          <w:szCs w:val="22"/>
          <w:u w:val="single"/>
        </w:rPr>
        <w:fldChar w:fldCharType="end"/>
        <w:t xml:space="preserve">2018 r., Van Gennip i in., C-137/17, EU:C:2018:771, pkt 39, 40</w:t>
      </w:r>
      <w:bookmarkEnd w:id="60"/>
    </w:p>
    <w:p w14:paraId="53B6D74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86CD632" w14:textId="77777777">
      <w:pPr>
        <w:pStyle w:val="P68B1DB1-P68B1DB1-Normal135"/>
        <w:widowControl w:val="0"/>
        <w:tabs>
          <w:tab w:val="left" w:pos="404"/>
        </w:tabs>
        <w:autoSpaceDE w:val="0"/>
        <w:autoSpaceDN w:val="0"/>
        <w:spacing w:after="0" w:line="240" w:lineRule="auto"/>
        <w:jc w:val="both"/>
        <w:rPr>
          <w:b w:val="0"/>
          <w:bCs/>
          <w:i w:val="0"/>
          <w:iCs/>
        </w:rPr>
      </w:pPr>
      <w:r>
        <w:t xml:space="preserve">Przepisy krajowe uzależniające sprzedaż produktów od posiadania przez nabywcę zezwolenia nie wchodzą w zakres pojęcia „innych wymogów”, ponieważ jest to warunek nałożony nie na produkty, lecz na nabywców.</w:t>
      </w:r>
    </w:p>
    <w:bookmarkEnd w:id="59"/>
    <w:p w14:paraId="7262001F"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34AB9BCD" w14:textId="723202BE">
      <w:pPr>
        <w:pStyle w:val="P68B1DB1-P68B1DB1-Normal147"/>
        <w:widowControl w:val="0"/>
        <w:tabs>
          <w:tab w:val="left" w:pos="404"/>
        </w:tabs>
        <w:autoSpaceDE w:val="0"/>
        <w:autoSpaceDN w:val="0"/>
        <w:spacing w:after="0" w:line="240" w:lineRule="auto"/>
        <w:ind w:left="567"/>
        <w:jc w:val="both"/>
        <w:rPr>
          <w:i/>
          <w:iCs/>
          <w:sz w:val="20"/>
          <w:szCs w:val="18"/>
        </w:rPr>
      </w:pPr>
      <w:r>
        <w:t xml:space="preserve">„39. [...] w odniesieniu do kategorii „innych wymagań” należy zauważyć, że aby środek krajowy mógł zostać zakwalifikowany jako „inne wymagania” w rozumieniu art. 1 pkt 4 dyrektywy 98/34, musi on stanowić „warunek”, który może mieć znaczący wpływ na skład, charakter lub sprzedaż danego produktu (wyrok z dnia 13 października 2016 r., M. i S., C-303/15, EU:C:2016:771, pkt 20 i przytoczone tam orzecznictwo).</w:t>
      </w:r>
    </w:p>
    <w:p w14:paraId="3684C8BC" w14:textId="77777777">
      <w:pPr>
        <w:pStyle w:val="P68B1DB1-Normal14"/>
        <w:widowControl w:val="0"/>
        <w:tabs>
          <w:tab w:val="left" w:pos="404"/>
        </w:tabs>
        <w:autoSpaceDE w:val="0"/>
        <w:autoSpaceDN w:val="0"/>
        <w:spacing w:after="0" w:line="240" w:lineRule="auto"/>
        <w:ind w:left="567"/>
        <w:jc w:val="both"/>
        <w:rPr>
          <w:i/>
          <w:iCs/>
          <w:sz w:val="20"/>
          <w:szCs w:val="18"/>
        </w:rPr>
      </w:pPr>
    </w:p>
    <w:p w14:paraId="1F15B628" w14:textId="0E023F78">
      <w:pPr>
        <w:pStyle w:val="P68B1DB1-P68B1DB1-Normal147"/>
        <w:widowControl w:val="0"/>
        <w:tabs>
          <w:tab w:val="left" w:pos="404"/>
        </w:tabs>
        <w:autoSpaceDE w:val="0"/>
        <w:autoSpaceDN w:val="0"/>
        <w:spacing w:after="0" w:line="240" w:lineRule="auto"/>
        <w:ind w:left="567"/>
        <w:jc w:val="both"/>
        <w:rPr>
          <w:i/>
          <w:iCs/>
          <w:sz w:val="20"/>
          <w:szCs w:val="18"/>
        </w:rPr>
      </w:pPr>
      <w:r>
        <w:t xml:space="preserve">40. W tym względzie należy zauważyć, tak jak uczynił to rzecznik generalny w pkt 76 opinii, że uregulowanie belgijskie uzależnia sprzedaż wyrobów pirotechnicznych o zawartości materiałów pirotechnicznych wyższej niż 1 kg od uzyskania przez nabywcę zezwolenia. Tak więc wymagane zezwolenie nie stanowi wymogu w odniesieniu do danego produktu, lecz dla potencjalnych nabywców i pośrednio dla podmiotów gospodarczych sprzedających wyroby pirotechniczne (zob. podobnie wyroki: z dnia 21 kwietnia 2005 r., Lindberg, C-267/03, EU:C:2005:246, pkt 87; a także z dnia 13 października 2016 r., M. i S., C-303/15, EU:C:2016:771, pkt 29).”</w:t>
      </w:r>
    </w:p>
    <w:p w14:paraId="1EF9D88D" w14:textId="77777777">
      <w:pPr>
        <w:spacing w:after="0" w:line="240" w:lineRule="auto"/>
      </w:pPr>
    </w:p>
    <w:p w14:paraId="71F55FA7" w14:textId="4326F27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4" w:anchor="ctx1" w:history="1">
        <w:r>
          <w:rPr>
            <w:color w:val="0000FF"/>
            <w:u w:val="single"/>
          </w:rPr>
          <w:t xml:space="preserve">Wyrok z dnia 28 maja 2020</w:t>
        </w:r>
      </w:hyperlink>
      <w:r>
        <w:t xml:space="preserve"> r., ECO-WIND Construction, C-727/17, EU:C:2020:393, pkt 40 i 41.</w:t>
      </w:r>
      <w:bookmarkEnd w:id="61"/>
    </w:p>
    <w:p w14:paraId="6D637FFA" w14:textId="77777777">
      <w:pPr>
        <w:widowControl w:val="0"/>
        <w:autoSpaceDE w:val="0"/>
        <w:autoSpaceDN w:val="0"/>
        <w:spacing w:after="0" w:line="240" w:lineRule="auto"/>
        <w:jc w:val="both"/>
        <w:rPr>
          <w:rFonts w:ascii="Times New Roman" w:hAnsi="Times New Roman" w:cs="Times New Roman" w:eastAsia="Times New Roman"/>
          <w:szCs w:val="20"/>
        </w:rPr>
      </w:pPr>
    </w:p>
    <w:p w14:paraId="1D3192D5" w14:textId="77777777">
      <w:pPr>
        <w:pStyle w:val="P68B1DB1-P68B1DB1-Normal135"/>
        <w:widowControl w:val="0"/>
        <w:autoSpaceDE w:val="0"/>
        <w:autoSpaceDN w:val="0"/>
        <w:spacing w:after="0" w:line="240" w:lineRule="auto"/>
        <w:jc w:val="both"/>
        <w:rPr>
          <w:b w:val="0"/>
          <w:bCs/>
          <w:i w:val="0"/>
          <w:iCs/>
        </w:rPr>
      </w:pPr>
      <w:r>
        <w:t xml:space="preserve">Rozporządzenie nakładające minimalną odległość dla instalacji turbin wiatrowych nie należy do kategorii „innych wymogów”, ponieważ jego wpływ na wprowadzanie do obrotu danych produktów nie jest wystarczająco bezpośredni.</w:t>
      </w:r>
    </w:p>
    <w:p w14:paraId="11DAB658" w14:textId="77777777">
      <w:pPr>
        <w:widowControl w:val="0"/>
        <w:autoSpaceDE w:val="0"/>
        <w:autoSpaceDN w:val="0"/>
        <w:spacing w:after="0" w:line="240" w:lineRule="auto"/>
        <w:jc w:val="both"/>
        <w:rPr>
          <w:rFonts w:ascii="Times New Roman" w:hAnsi="Times New Roman" w:cs="Times New Roman" w:eastAsia="Times New Roman"/>
          <w:szCs w:val="20"/>
        </w:rPr>
      </w:pPr>
    </w:p>
    <w:p w14:paraId="0E9213F5" w14:textId="153822EB">
      <w:pPr>
        <w:pStyle w:val="P68B1DB1-BodyText19"/>
        <w:ind w:left="567"/>
        <w:rPr>
          <w:iCs/>
        </w:rPr>
      </w:pPr>
      <w:r>
        <w:t xml:space="preserve">„40. [...] z utrwalonego orzecznictwa wynika, że kategoria ta obejmuje uregulowanie, które ustanawia warunek mogący w istotny sposób wpłynąć na skład, charakter lub sprzedaż produktu (wyroki: z dnia 21 kwietnia 2005 r., Lindberg, C-267/03, EU:C:2005:246, pkt 69–72; z dnia 19 lipca 2012 r., Fortuna i in., C-213/11, C-214/11 i C-217/11, EU:C:2012:495, pkt 35), przy czym te „inne wymogi” obejmują wymogi wynikające z uwzględnienia cyklu życia danego produktu po jego wprowadzeniu do obrotu, a w szczególności jego używanie.</w:t>
      </w:r>
    </w:p>
    <w:p w14:paraId="15144425" w14:textId="77777777">
      <w:pPr>
        <w:pStyle w:val="P68B1DB1-BodyText19"/>
        <w:ind w:left="567"/>
        <w:rPr>
          <w:iCs/>
        </w:rPr>
      </w:pPr>
    </w:p>
    <w:p w14:paraId="45870460" w14:textId="6B88BEBE">
      <w:pPr>
        <w:pStyle w:val="P68B1DB1-BodyText19"/>
        <w:ind w:left="567"/>
        <w:rPr>
          <w:iCs/>
        </w:rPr>
      </w:pPr>
      <w:r>
        <w:t xml:space="preserve">41. W niniejszym przypadku zaś, podobnie jak w przypadku oceny zawartej w pkt 37 niniejszego wyroku, należy zaznaczyć, że wymóg dotyczący zachowania minimalnej odległości usytuowania elektrowni wiatrowych od budynków mieszkalnych nie ma bezpośredniego związku ze składem, charakterem lub sprzedażą towaru takiego jak turbina wiatrowa. W tym względzie, nawet gdyby wymóg ten prowadził do ograniczenia lokalizacji odpowiednich do instalacji turbin wiatrowych, a zatem miał wpływ na obrót turbinami wiatrowymi, skutek ten nie byłby wystarczająco bezpośredni, aby wymóg ten należał do kategorii »innych wymogów« określonej w art. 1 ust. 1 lit. f) dyrektywy 2015/1535”.</w:t>
      </w:r>
    </w:p>
    <w:p w14:paraId="67BFB4E8" w14:textId="77777777">
      <w:pPr>
        <w:spacing w:after="0" w:line="240" w:lineRule="auto"/>
      </w:pPr>
    </w:p>
    <w:p w14:paraId="408C26E9" w14:textId="6A65B0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5" w:history="1">
        <w:r>
          <w:rPr>
            <w:rStyle w:val="Hyperlink"/>
            <w:rFonts w:ascii="Times New Roman" w:hAnsi="Times New Roman" w:cs="Times New Roman" w:eastAsia="Times New Roman"/>
            <w:b/>
            <w:i/>
            <w:color w:val="0000FF"/>
            <w:szCs w:val="20"/>
          </w:rPr>
          <w:t xml:space="preserve">Wyrok z dnia 4 listopada 2022</w:t>
        </w:r>
      </w:hyperlink>
      <w:r>
        <w:rPr>
          <w:rFonts w:ascii="Times New Roman" w:hAnsi="Times New Roman" w:cs="Times New Roman" w:eastAsia="Times New Roman"/>
          <w:b/>
          <w:i/>
          <w:szCs w:val="20"/>
        </w:rPr>
        <w:t xml:space="preserve"> r., Phytofar,</w:t>
        <w:noBreakHyphen/>
        <w:t xml:space="preserve">C 658/21, EU:C:2022:925, pkt 36–42</w:t>
      </w:r>
      <w:bookmarkEnd w:id="62"/>
    </w:p>
    <w:p w14:paraId="5BBD916F" w14:textId="77777777">
      <w:pPr>
        <w:widowControl w:val="0"/>
        <w:autoSpaceDE w:val="0"/>
        <w:autoSpaceDN w:val="0"/>
        <w:spacing w:after="0" w:line="240" w:lineRule="auto"/>
        <w:jc w:val="both"/>
        <w:rPr>
          <w:rFonts w:ascii="Times New Roman" w:hAnsi="Times New Roman" w:cs="Times New Roman" w:eastAsia="Times New Roman"/>
          <w:szCs w:val="20"/>
        </w:rPr>
      </w:pPr>
    </w:p>
    <w:p w14:paraId="12813288" w14:textId="64B11198">
      <w:pPr>
        <w:pStyle w:val="P68B1DB1-P68B1DB1-Normal135"/>
        <w:widowControl w:val="0"/>
        <w:autoSpaceDE w:val="0"/>
        <w:autoSpaceDN w:val="0"/>
        <w:spacing w:after="0" w:line="240" w:lineRule="auto"/>
        <w:jc w:val="both"/>
        <w:outlineLvl w:val="1"/>
        <w:rPr>
          <w:b w:val="0"/>
          <w:bCs/>
          <w:i w:val="0"/>
          <w:iCs/>
          <w:sz w:val="20"/>
        </w:rPr>
      </w:pPr>
      <w:bookmarkStart w:id="63" w:name="_Toc198043823"/>
      <w:r>
        <w:t xml:space="preserve">Przepisy zakazujące osobom, które nie posiadają zezwolenia dla specjalistów, stosowania pestycydów zawierających glifosat mogą stanowić „inny wymóg”, ponieważ mogą mieć znaczący wpływ na wprowadzanie do obrotu glifosatu. Znaczenie tego wpływu ocenia się w świetle wielkości zakupów danych produktów i zmian nawyków handlowych.</w:t>
      </w:r>
      <w:bookmarkEnd w:id="63"/>
    </w:p>
    <w:p w14:paraId="017C51C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19599530" w14:textId="17AE1EBB">
      <w:pPr>
        <w:spacing w:after="0" w:line="240" w:lineRule="auto"/>
        <w:ind w:left="567"/>
        <w:jc w:val="both"/>
        <w:rPr>
          <w:rFonts w:ascii="Times New Roman" w:hAnsi="Times New Roman" w:cs="Times New Roman"/>
          <w:i/>
          <w:sz w:val="20"/>
          <w:szCs w:val="20"/>
        </w:rPr>
        <w:pStyle w:val="P68B1DB1-Normal20"/>
      </w:pPr>
      <w:r>
        <w:t xml:space="preserve">„36. W niniejszym przypadku po pierwsze już z preambuły do rozporządzenia z dnia 14 lipca 2017 r. wynika, że ustanowiony w nim zakaz został wprowadzony w celu ochrony zdrowia ludzkiego i środowiska naturalnego.</w:t>
      </w:r>
    </w:p>
    <w:p w14:paraId="1CBD02C5" w14:textId="77777777">
      <w:pPr>
        <w:spacing w:after="0" w:line="240" w:lineRule="auto"/>
        <w:ind w:left="567"/>
        <w:jc w:val="both"/>
        <w:rPr>
          <w:rFonts w:ascii="Times New Roman" w:hAnsi="Times New Roman" w:cs="Times New Roman"/>
          <w:i/>
          <w:sz w:val="20"/>
          <w:szCs w:val="20"/>
        </w:rPr>
      </w:pPr>
    </w:p>
    <w:p w14:paraId="1A20049E" w14:textId="08504F01">
      <w:pPr>
        <w:spacing w:after="0" w:line="240" w:lineRule="auto"/>
        <w:ind w:left="567"/>
        <w:jc w:val="both"/>
        <w:rPr>
          <w:rFonts w:ascii="Times New Roman" w:hAnsi="Times New Roman" w:cs="Times New Roman"/>
          <w:i/>
          <w:sz w:val="20"/>
          <w:szCs w:val="20"/>
        </w:rPr>
        <w:pStyle w:val="P68B1DB1-Normal20"/>
      </w:pPr>
      <w:r>
        <w:t xml:space="preserve">37. Należy także zauważyć, że zakaz ten dotyczy cyklu życia pestycydów zawierających glifosat po ich wprowadzeniu do obrotu, ustanawiając warunek związany z używaniem tych produktów, gdyż na gruntach wykorzystywanych do celów prywatnych mają prawo je stosować wyłącznie profesjonalni użytkownicy posiadający licencję na środki ochrony roślin.</w:t>
      </w:r>
    </w:p>
    <w:p w14:paraId="595DD057" w14:textId="77777777">
      <w:pPr>
        <w:spacing w:after="0" w:line="240" w:lineRule="auto"/>
        <w:ind w:left="567"/>
        <w:jc w:val="both"/>
        <w:rPr>
          <w:rFonts w:ascii="Times New Roman" w:hAnsi="Times New Roman" w:cs="Times New Roman"/>
          <w:i/>
          <w:sz w:val="20"/>
          <w:szCs w:val="20"/>
        </w:rPr>
      </w:pPr>
    </w:p>
    <w:p w14:paraId="7F0E7EDE" w14:textId="698ECA01">
      <w:pPr>
        <w:spacing w:after="0" w:line="240" w:lineRule="auto"/>
        <w:ind w:left="567"/>
        <w:jc w:val="both"/>
        <w:rPr>
          <w:rFonts w:ascii="Times New Roman" w:hAnsi="Times New Roman" w:cs="Times New Roman"/>
          <w:i/>
          <w:sz w:val="20"/>
          <w:szCs w:val="20"/>
        </w:rPr>
        <w:pStyle w:val="P68B1DB1-Normal20"/>
      </w:pPr>
      <w:r>
        <w:t xml:space="preserve">38. Należy wreszcie stwierdzić, że taki zakaz może wpływać na obrót danymi produktami.</w:t>
      </w:r>
    </w:p>
    <w:p w14:paraId="6A260A53" w14:textId="77777777">
      <w:pPr>
        <w:spacing w:after="0" w:line="240" w:lineRule="auto"/>
        <w:ind w:left="567"/>
        <w:jc w:val="both"/>
        <w:rPr>
          <w:rFonts w:ascii="Times New Roman" w:hAnsi="Times New Roman" w:cs="Times New Roman"/>
          <w:i/>
          <w:sz w:val="20"/>
          <w:szCs w:val="20"/>
        </w:rPr>
      </w:pPr>
    </w:p>
    <w:p w14:paraId="5066FFC6" w14:textId="1BDD0139">
      <w:pPr>
        <w:spacing w:after="0" w:line="240" w:lineRule="auto"/>
        <w:ind w:left="567"/>
        <w:jc w:val="both"/>
        <w:rPr>
          <w:rFonts w:ascii="Times New Roman" w:hAnsi="Times New Roman" w:cs="Times New Roman"/>
          <w:i/>
          <w:sz w:val="20"/>
          <w:szCs w:val="20"/>
        </w:rPr>
        <w:pStyle w:val="P68B1DB1-Normal20"/>
      </w:pPr>
      <w:r>
        <w:t xml:space="preserve">39. Rozpatrywany środek powoduje bowiem zniknięcie określonej kategorii potencjalnych nabywców pestycydów zawierających glifosat, a mianowicie osób prywatnych zamierzających samodzielnie używać tego rodzaju pestycydów, bez korzystania z profesjonalnych usług posiadaczy wymaganej licencji na środki ochrony roślin. Takie ograniczenie możliwości stosowania pestycydów zawierających glifosat wpływa zatem na obrót nimi (zob. podobnie wyrok z dnia 13 października 2016 r., M. i S., C-303/15, EU:C:2016:771, pkt 26 i przytoczone tam orzecznictwo).</w:t>
      </w:r>
    </w:p>
    <w:p w14:paraId="1A6F1ECE" w14:textId="77777777">
      <w:pPr>
        <w:spacing w:after="0" w:line="240" w:lineRule="auto"/>
        <w:ind w:left="567"/>
        <w:jc w:val="both"/>
        <w:rPr>
          <w:rFonts w:ascii="Times New Roman" w:hAnsi="Times New Roman" w:cs="Times New Roman"/>
          <w:i/>
          <w:sz w:val="20"/>
          <w:szCs w:val="20"/>
        </w:rPr>
      </w:pPr>
    </w:p>
    <w:p w14:paraId="33FD9071" w14:textId="2955C650">
      <w:pPr>
        <w:spacing w:after="0" w:line="240" w:lineRule="auto"/>
        <w:ind w:left="567"/>
        <w:jc w:val="both"/>
        <w:rPr>
          <w:rFonts w:ascii="Times New Roman" w:hAnsi="Times New Roman" w:cs="Times New Roman"/>
          <w:i/>
          <w:sz w:val="20"/>
          <w:szCs w:val="20"/>
        </w:rPr>
        <w:pStyle w:val="P68B1DB1-Normal20"/>
      </w:pPr>
      <w:r>
        <w:t xml:space="preserve">40. Jednakże, jak wskazuje Komisja w uwagach na piśmie, aby środek wprowadzony rozporządzeniem z dnia 14 lipca 2017 r. mógł zostać uznany za „przepis techniczny” należący do kategorii „innych wymagań” w rozumieniu art. 1 ust. 1 lit. d) i f) dyrektywy 2015/1535, konieczne jest, aby środek ten wywierał „istotny” wpływ na obrót pestycydami zawierającymi glifosat.</w:t>
      </w:r>
    </w:p>
    <w:p w14:paraId="219AFD18" w14:textId="77777777">
      <w:pPr>
        <w:spacing w:after="0" w:line="240" w:lineRule="auto"/>
        <w:ind w:left="567"/>
        <w:jc w:val="both"/>
        <w:rPr>
          <w:rFonts w:ascii="Times New Roman" w:hAnsi="Times New Roman" w:cs="Times New Roman"/>
          <w:i/>
          <w:sz w:val="20"/>
          <w:szCs w:val="20"/>
        </w:rPr>
      </w:pPr>
    </w:p>
    <w:p w14:paraId="51EC447B" w14:textId="2F0134D7">
      <w:pPr>
        <w:spacing w:after="0" w:line="240" w:lineRule="auto"/>
        <w:ind w:left="567"/>
        <w:jc w:val="both"/>
        <w:rPr>
          <w:rFonts w:ascii="Times New Roman" w:hAnsi="Times New Roman" w:cs="Times New Roman"/>
          <w:i/>
          <w:sz w:val="20"/>
          <w:szCs w:val="20"/>
        </w:rPr>
        <w:pStyle w:val="P68B1DB1-Normal20"/>
      </w:pPr>
      <w:r>
        <w:t xml:space="preserve">41. Do sądu odsyłającego należy zbadanie, czy ma to miejsce w niniejszej sprawie.</w:t>
      </w:r>
    </w:p>
    <w:p w14:paraId="700BF673" w14:textId="77777777">
      <w:pPr>
        <w:spacing w:after="0" w:line="240" w:lineRule="auto"/>
        <w:ind w:left="567"/>
        <w:jc w:val="both"/>
        <w:rPr>
          <w:rFonts w:ascii="Times New Roman" w:hAnsi="Times New Roman" w:cs="Times New Roman"/>
          <w:i/>
          <w:sz w:val="20"/>
          <w:szCs w:val="20"/>
        </w:rPr>
      </w:pPr>
    </w:p>
    <w:p w14:paraId="15FA9CD4" w14:textId="12DBE6E1">
      <w:pPr>
        <w:spacing w:after="0" w:line="240" w:lineRule="auto"/>
        <w:ind w:left="567"/>
        <w:jc w:val="both"/>
        <w:rPr>
          <w:rFonts w:ascii="Times New Roman" w:hAnsi="Times New Roman" w:cs="Times New Roman"/>
          <w:i/>
          <w:sz w:val="20"/>
          <w:szCs w:val="20"/>
        </w:rPr>
        <w:pStyle w:val="P68B1DB1-Normal20"/>
      </w:pPr>
      <w:r>
        <w:t xml:space="preserve">42. Dokonując tej oceny, sąd odsyłający będzie mógł wziąć pod uwagę w szczególności całkowity wolumen sprzedaży pestycydów zawierających glifosat na terytorium regionu Flandrii oraz zmianę nawyków każdej kategorii nabywców w oparciu o częstotliwość ich zakupów i ilość zakupionego produktu, jak również zmianę miejsca zakupu i kanałów dystrybucji. W tym kontekście sąd ten może wziąć pod uwagę zakres, w jakim z jednej strony żądanie użytkowników profesjonalnych zastępuje żądanie osób korzystających z usług użytkowników profesjonalnych, a z drugiej strony indywidualni użytkownicy otrzymują obecnie pestycydy niezawierające glifosatu zamiast pestycydów zawierających tę substancję”.</w:t>
      </w:r>
    </w:p>
    <w:p w14:paraId="4A5F3F04" w14:textId="77777777">
      <w:pPr>
        <w:spacing w:after="0" w:line="240" w:lineRule="auto"/>
        <w:ind w:left="567"/>
        <w:jc w:val="both"/>
      </w:pPr>
    </w:p>
    <w:p w14:paraId="430159AA" w14:textId="501CF88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6" w:history="1">
        <w:r>
          <w:rPr>
            <w:rStyle w:val="Hyperlink"/>
            <w:rFonts w:ascii="Times New Roman" w:hAnsi="Times New Roman" w:cs="Times New Roman" w:eastAsia="Times New Roman"/>
            <w:b/>
            <w:i/>
            <w:color w:val="0000FF"/>
            <w:szCs w:val="20"/>
          </w:rPr>
          <w:t xml:space="preserve">Wyrok z dnia 9 marca 2023</w:t>
        </w:r>
      </w:hyperlink>
      <w:r>
        <w:rPr>
          <w:rFonts w:ascii="Times New Roman" w:hAnsi="Times New Roman" w:cs="Times New Roman" w:eastAsia="Times New Roman"/>
          <w:b/>
          <w:i/>
          <w:szCs w:val="20"/>
        </w:rPr>
        <w:t xml:space="preserve"> r., Vapo Atlantic, C-604/21, EU:C:2023:175, pkt 40, 41</w:t>
      </w:r>
      <w:bookmarkEnd w:id="64"/>
    </w:p>
    <w:p w14:paraId="25D9A71A" w14:textId="77777777">
      <w:pPr>
        <w:widowControl w:val="0"/>
        <w:autoSpaceDE w:val="0"/>
        <w:autoSpaceDN w:val="0"/>
        <w:spacing w:after="0" w:line="240" w:lineRule="auto"/>
        <w:jc w:val="both"/>
        <w:rPr>
          <w:rFonts w:ascii="Times New Roman" w:hAnsi="Times New Roman" w:cs="Times New Roman" w:eastAsia="Times New Roman"/>
          <w:szCs w:val="20"/>
        </w:rPr>
      </w:pPr>
    </w:p>
    <w:p w14:paraId="68D99C30" w14:textId="07845CAB">
      <w:pPr>
        <w:widowControl w:val="0"/>
        <w:autoSpaceDE w:val="0"/>
        <w:autoSpaceDN w:val="0"/>
        <w:spacing w:after="0" w:line="240" w:lineRule="auto"/>
        <w:jc w:val="both"/>
        <w:outlineLvl w:val="1"/>
        <w:rPr>
          <w:rFonts w:ascii="Times New Roman" w:hAnsi="Times New Roman" w:cs="Times New Roman" w:eastAsia="Times New Roman"/>
          <w:bCs/>
          <w:iCs/>
          <w:szCs w:val="20"/>
        </w:rPr>
        <w:pStyle w:val="P68B1DB1-Normal14"/>
      </w:pPr>
      <w:bookmarkStart w:id="65" w:name="_Toc198043825"/>
      <w:r>
        <w:t xml:space="preserve">Przepisy krajowe zobowiązujące podmioty gospodarcze, które dopuszczają paliwa silnikowe do konsumpcji, do przyczyniania się do osiągnięcia celów w zakresie stosowania biopaliw w paliwach silnikowych, których naruszenie może prowadzić do nałożenia sankcji finansowych, mogą mieć znaczący wpływ na wprowadzanie paliw do obrotu. Stanowi on zatem „inny wymóg”.</w:t>
      </w:r>
      <w:bookmarkEnd w:id="65"/>
    </w:p>
    <w:p w14:paraId="397991C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F49CA88" w14:textId="0C6B3003">
      <w:pPr>
        <w:pStyle w:val="P68B1DB1-Normal20"/>
        <w:widowControl w:val="0"/>
        <w:autoSpaceDE w:val="0"/>
        <w:autoSpaceDN w:val="0"/>
        <w:spacing w:after="0" w:line="240" w:lineRule="auto"/>
        <w:ind w:left="567"/>
        <w:jc w:val="both"/>
        <w:outlineLvl w:val="1"/>
      </w:pPr>
      <w:bookmarkStart w:id="66" w:name="_Toc198043826"/>
      <w:r>
        <w:t xml:space="preserve">„40. W niniejszej sprawie pytania sądu odsyłającego dotyczą uregulowania krajowego, które nakłada na podmioty gospodarcze, które wprowadzają do obrotu paliwa drogowe, z wyjątkiem LPG i gazu ziemnego, obowiązek przyczyniania się do realizacji celów dodawania biopaliw do rocznych ilości paliw drogowych wprowadzanych przez nie do obrotu, który to cel w 2020 r. wynosił 10 %. Nawet jeśli takie uregulowanie nie określa rodzaju paliwa drogowego, o którym mowa, nie określa procentu biopaliwa, które powinno być fizycznie dodane do paliw drogowych, ani nie precyzuje rodzaju biopaliwa, które należy dodać, to przewidziany w nim wymóg, przyjęty dla celów ochrony środowiska, dotyczy cyklu życia paliw drogowych po ich wprowadzeniu do obrotu i może mieć istotny wpływ na sprzedaż tych produktów, ponieważ naruszenie określonego w nim obowiązku dodawania biopaliw może prowadzić do nałożenia kary.</w:t>
      </w:r>
      <w:bookmarkEnd w:id="66"/>
    </w:p>
    <w:p w14:paraId="4CEBAF3A" w14:textId="77777777">
      <w:pPr>
        <w:pStyle w:val="P68B1DB1-Normal20"/>
        <w:widowControl w:val="0"/>
        <w:autoSpaceDE w:val="0"/>
        <w:autoSpaceDN w:val="0"/>
        <w:spacing w:after="0" w:line="240" w:lineRule="auto"/>
        <w:ind w:left="567"/>
        <w:jc w:val="both"/>
        <w:outlineLvl w:val="1"/>
      </w:pPr>
    </w:p>
    <w:p w14:paraId="08AE2C99" w14:textId="38734870">
      <w:pPr>
        <w:pStyle w:val="P68B1DB1-Normal20"/>
        <w:widowControl w:val="0"/>
        <w:autoSpaceDE w:val="0"/>
        <w:autoSpaceDN w:val="0"/>
        <w:spacing w:after="0" w:line="240" w:lineRule="auto"/>
        <w:ind w:left="567"/>
        <w:jc w:val="both"/>
        <w:outlineLvl w:val="1"/>
        <w:rPr>
          <w:iCs/>
        </w:rPr>
      </w:pPr>
      <w:bookmarkStart w:id="67" w:name="_Toc198043827"/>
      <w:r>
        <w:t xml:space="preserve">41. Wynika z tego, że uregulowanie krajowe, które ustanawia cel polegający na dodaniu 10 % biopaliw do paliw silnikowych dopuszczonych do konsumpcji przez podmiot gospodarczy w odniesieniu do 2020 r., wchodzi w zakres pojęcia „innych wymagań” w rozumieniu art. 1 pkt 4 dyrektywy 98/34, a zatem stanowi „przepis techniczny” w rozumieniu art. 1 pkt 11 tej dyrektywy”.</w:t>
      </w:r>
      <w:bookmarkEnd w:id="67"/>
    </w:p>
    <w:p w14:paraId="6064CE7D" w14:textId="77777777">
      <w:pPr>
        <w:pStyle w:val="P68B1DB1-BodyText10"/>
        <w:rPr>
          <w:bCs/>
        </w:rPr>
      </w:pPr>
    </w:p>
    <w:p w14:paraId="3F05E4B7" w14:textId="77777777">
      <w:pPr>
        <w:spacing w:after="0" w:line="278" w:lineRule="auto"/>
        <w:rPr>
          <w:rFonts w:ascii="Times New Roman" w:hAnsi="Times New Roman" w:cs="Times New Roman" w:eastAsia="Times New Roman"/>
          <w:b/>
          <w:sz w:val="24"/>
          <w:szCs w:val="20"/>
        </w:rPr>
      </w:pPr>
      <w:r>
        <w:br w:type="page"/>
      </w:r>
    </w:p>
    <w:p w14:paraId="39F57DA0" w14:textId="51AFFAF0">
      <w:pPr>
        <w:pStyle w:val="P68B1DB1-Heading24"/>
        <w:numPr>
          <w:ilvl w:val="0"/>
          <w:numId w:val="35"/>
        </w:numPr>
        <w:spacing w:before="0" w:after="0"/>
        <w:jc w:val="center"/>
        <w:rPr>
          <w:bCs/>
          <w:color w:val="auto"/>
        </w:rPr>
      </w:pPr>
      <w:bookmarkStart w:id="68" w:name="_Ref196314214"/>
      <w:bookmarkStart w:id="69" w:name="_Toc203035669"/>
      <w:r>
        <w:t xml:space="preserve">Przepisy dotyczące usług</w:t>
      </w:r>
      <w:bookmarkEnd w:id="5"/>
      <w:bookmarkEnd w:id="68"/>
      <w:bookmarkEnd w:id="69"/>
    </w:p>
    <w:p w14:paraId="19E12A03" w14:textId="77777777">
      <w:pPr>
        <w:pStyle w:val="BodyText"/>
      </w:pPr>
    </w:p>
    <w:p w14:paraId="6D8B2150" w14:textId="77777777">
      <w:pPr>
        <w:pStyle w:val="P68B1DB1-BodyText11"/>
        <w:ind w:left="567"/>
        <w:rPr>
          <w:iCs/>
        </w:rPr>
      </w:pPr>
      <w:r>
        <w:t xml:space="preserve">„»zasada dotycząca usług« oznacza wymóg o charakterze ogólnym odnoszący się do podejmowania i prowadzenia działalności usługowej w rozumieniu lit. b), w szczególności przepisy dotyczące usługodawcy, usług i usługobiorcy, z wyłączeniem wszelkich zasad, które nie dotyczą konkretnie usług określonych w tej literze. </w:t>
      </w:r>
    </w:p>
    <w:p w14:paraId="7C9B8AC3" w14:textId="77777777">
      <w:pPr>
        <w:pStyle w:val="P68B1DB1-BodyText11"/>
        <w:ind w:left="567"/>
        <w:rPr>
          <w:iCs/>
        </w:rPr>
      </w:pPr>
    </w:p>
    <w:p w14:paraId="46FCE36C" w14:textId="0D89DACC">
      <w:pPr>
        <w:pStyle w:val="P68B1DB1-BodyText11"/>
        <w:ind w:left="567"/>
        <w:rPr>
          <w:iCs/>
        </w:rPr>
      </w:pPr>
      <w:r>
        <w:t xml:space="preserve">Dla celów niniejszej definicji: </w:t>
      </w:r>
    </w:p>
    <w:p w14:paraId="0FA17B64" w14:textId="77777777">
      <w:pPr>
        <w:pStyle w:val="P68B1DB1-BodyText11"/>
        <w:ind w:left="567"/>
        <w:rPr>
          <w:iCs/>
        </w:rPr>
      </w:pPr>
    </w:p>
    <w:p w14:paraId="5287D99C" w14:textId="40B4253E">
      <w:pPr>
        <w:pStyle w:val="P68B1DB1-BodyText11"/>
        <w:numPr>
          <w:ilvl w:val="0"/>
          <w:numId w:val="30"/>
        </w:numPr>
        <w:rPr>
          <w:iCs/>
        </w:rPr>
      </w:pPr>
      <w:r>
        <w:t xml:space="preserve">zasada traktowana jest jako szczególnie odnosząca się do usług społeczeństwa informacyjnego, w przypadku gdy, biorąc pod uwagę jej uzasadnienie i część operacyjną, celem szczególnym i celem jej wszystkich lub pojedynczych przepisów jest regulacja tych usług w sposób precyzyjny i ujęty celowo; </w:t>
      </w:r>
    </w:p>
    <w:p w14:paraId="112BC54B" w14:textId="13ACB17B">
      <w:pPr>
        <w:pStyle w:val="P68B1DB1-BodyText11"/>
        <w:numPr>
          <w:ilvl w:val="0"/>
          <w:numId w:val="30"/>
        </w:numPr>
        <w:rPr>
          <w:iCs/>
        </w:rPr>
      </w:pPr>
      <w:r>
        <w:t xml:space="preserve">zasada nie jest uznawana za odnoszącą się konkretnie do usług społeczeństwa informacyjnego, jeżeli wpływa na takie usługi jedynie w sposób dorozumiany lub okazjonalny;”</w:t>
      </w:r>
    </w:p>
    <w:p w14:paraId="573C811F" w14:textId="77777777">
      <w:pPr>
        <w:pStyle w:val="BodyText"/>
        <w:ind w:left="567"/>
        <w:rPr>
          <w:i/>
          <w:iCs/>
        </w:rPr>
      </w:pPr>
    </w:p>
    <w:p w14:paraId="2735376A" w14:textId="709F0465">
      <w:pPr>
        <w:pStyle w:val="BodyText"/>
        <w:ind w:left="1440"/>
        <w:jc w:val="right"/>
      </w:pPr>
      <w:r>
        <w:t xml:space="preserve">(Art. 1 ust. 1 lit. e) dyrektywy (UE) 2015/1535)</w:t>
      </w:r>
    </w:p>
    <w:p w14:paraId="2412BA9D" w14:textId="7742CFA6">
      <w:pPr>
        <w:spacing w:after="0" w:line="240" w:lineRule="auto"/>
      </w:pPr>
    </w:p>
    <w:p w14:paraId="047B2ADB" w14:textId="17E336C2">
      <w:pPr>
        <w:spacing w:after="0" w:line="240" w:lineRule="auto"/>
        <w:ind w:left="567"/>
        <w:jc w:val="both"/>
        <w:rPr>
          <w:rFonts w:ascii="Times New Roman" w:hAnsi="Times New Roman" w:cs="Times New Roman"/>
          <w:i/>
          <w:sz w:val="24"/>
          <w:szCs w:val="24"/>
        </w:rPr>
        <w:pStyle w:val="P68B1DB1-Normal12"/>
      </w:pPr>
      <w:r>
        <w:t xml:space="preserve">„»usługa« oznacza każdą usługę społeczeństwa informacyjnego, to znaczy każdą usługę normalnie świadczoną za wynagrodzeniem, na odległość, drogą elektroniczną i na indywidualne żądanie odbiorcy usług. </w:t>
      </w:r>
    </w:p>
    <w:p w14:paraId="0A07BEF1" w14:textId="77777777">
      <w:pPr>
        <w:spacing w:after="0" w:line="240" w:lineRule="auto"/>
        <w:ind w:left="567"/>
        <w:jc w:val="both"/>
        <w:rPr>
          <w:rFonts w:ascii="Times New Roman" w:hAnsi="Times New Roman" w:cs="Times New Roman"/>
          <w:i/>
          <w:sz w:val="24"/>
          <w:szCs w:val="24"/>
        </w:rPr>
      </w:pPr>
    </w:p>
    <w:p w14:paraId="0427D520" w14:textId="77777777">
      <w:pPr>
        <w:spacing w:after="0" w:line="240" w:lineRule="auto"/>
        <w:ind w:left="567"/>
        <w:jc w:val="both"/>
        <w:rPr>
          <w:rFonts w:ascii="Times New Roman" w:hAnsi="Times New Roman" w:cs="Times New Roman"/>
          <w:i/>
          <w:sz w:val="24"/>
          <w:szCs w:val="24"/>
        </w:rPr>
        <w:pStyle w:val="P68B1DB1-Normal12"/>
      </w:pPr>
      <w:r>
        <w:t xml:space="preserve">Dla celów niniejszej definicji: </w:t>
      </w:r>
    </w:p>
    <w:p w14:paraId="14B11324" w14:textId="77777777">
      <w:pPr>
        <w:spacing w:after="0" w:line="240" w:lineRule="auto"/>
        <w:ind w:left="567"/>
        <w:jc w:val="both"/>
        <w:rPr>
          <w:rFonts w:ascii="Times New Roman" w:hAnsi="Times New Roman" w:cs="Times New Roman"/>
          <w:i/>
          <w:sz w:val="24"/>
          <w:szCs w:val="24"/>
        </w:rPr>
      </w:pPr>
    </w:p>
    <w:p w14:paraId="0727DDA2" w14:textId="77777777">
      <w:pPr>
        <w:spacing w:after="0" w:line="240" w:lineRule="auto"/>
        <w:ind w:left="1440"/>
        <w:jc w:val="both"/>
        <w:rPr>
          <w:rFonts w:ascii="Times New Roman" w:hAnsi="Times New Roman" w:cs="Times New Roman"/>
          <w:i/>
          <w:sz w:val="24"/>
          <w:szCs w:val="24"/>
        </w:rPr>
        <w:pStyle w:val="P68B1DB1-Normal12"/>
      </w:pPr>
      <w:r>
        <w:t xml:space="preserve">i) „na odległość” oznacza, że usługa jest świadczona bez jednoczesnej obecności stron; </w:t>
      </w:r>
    </w:p>
    <w:p w14:paraId="21A0956B" w14:textId="56365680">
      <w:pPr>
        <w:spacing w:after="0" w:line="240" w:lineRule="auto"/>
        <w:ind w:left="1440"/>
        <w:jc w:val="both"/>
        <w:rPr>
          <w:rFonts w:ascii="Times New Roman" w:hAnsi="Times New Roman" w:cs="Times New Roman"/>
          <w:i/>
          <w:sz w:val="24"/>
          <w:szCs w:val="24"/>
        </w:rPr>
        <w:pStyle w:val="P68B1DB1-Normal12"/>
      </w:pPr>
      <w:r>
        <w:t xml:space="preserve">(II) „drogą elektroniczną” oznacza, że usługa jest wysyłana i odbierana w miejscu przeznaczenia za pomocą sprzętu elektronicznego do przetwarzania (w tym kompresji cyfrowej) i przechowywania danych oraz jest całkowicie przesyłana, kierowana i otrzymywana za pomocą kabla, radia, środków optycznych lub innych środków elektromagnetycznych; </w:t>
      </w:r>
    </w:p>
    <w:p w14:paraId="5C56E529" w14:textId="12F1F1E7">
      <w:pPr>
        <w:spacing w:after="0" w:line="240" w:lineRule="auto"/>
        <w:ind w:left="1440"/>
        <w:jc w:val="both"/>
        <w:rPr>
          <w:rFonts w:ascii="Times New Roman" w:hAnsi="Times New Roman" w:cs="Times New Roman"/>
          <w:i/>
          <w:sz w:val="24"/>
          <w:szCs w:val="24"/>
        </w:rPr>
        <w:pStyle w:val="P68B1DB1-Normal12"/>
      </w:pPr>
      <w:r>
        <w:t xml:space="preserve">(III) „na indywidualne żądanie odbiorcy usług” oznacza, że usługa jest świadczona poprzez przekazywanie danych na indywidualne żądanie. </w:t>
      </w:r>
    </w:p>
    <w:p w14:paraId="514F222E" w14:textId="77777777">
      <w:pPr>
        <w:spacing w:after="0" w:line="240" w:lineRule="auto"/>
        <w:jc w:val="both"/>
        <w:rPr>
          <w:rFonts w:ascii="Times New Roman" w:hAnsi="Times New Roman" w:cs="Times New Roman"/>
          <w:i/>
          <w:sz w:val="24"/>
          <w:szCs w:val="24"/>
        </w:rPr>
      </w:pPr>
    </w:p>
    <w:p w14:paraId="11E4DACC" w14:textId="7501B95E">
      <w:pPr>
        <w:spacing w:after="0" w:line="240" w:lineRule="auto"/>
        <w:ind w:left="567"/>
        <w:jc w:val="both"/>
        <w:rPr>
          <w:rFonts w:ascii="Times New Roman" w:hAnsi="Times New Roman" w:cs="Times New Roman"/>
          <w:i/>
          <w:sz w:val="24"/>
          <w:szCs w:val="24"/>
        </w:rPr>
        <w:pStyle w:val="P68B1DB1-Normal12"/>
      </w:pPr>
      <w:r>
        <w:t xml:space="preserve">Orientacyjny wykaz usług nieobjętych niniejszą definicją znajduje się w załączniku I;”</w:t>
      </w:r>
    </w:p>
    <w:p w14:paraId="1FF17DD0" w14:textId="77777777">
      <w:pPr>
        <w:spacing w:after="0" w:line="240" w:lineRule="auto"/>
        <w:ind w:left="567"/>
        <w:jc w:val="both"/>
        <w:rPr>
          <w:rFonts w:ascii="Times New Roman" w:hAnsi="Times New Roman" w:cs="Times New Roman"/>
          <w:i/>
          <w:iCs/>
          <w:sz w:val="24"/>
          <w:szCs w:val="24"/>
        </w:rPr>
      </w:pPr>
    </w:p>
    <w:p w14:paraId="6EAE1680" w14:textId="066C5520">
      <w:pPr>
        <w:pStyle w:val="BodyText"/>
        <w:ind w:left="1440"/>
        <w:jc w:val="right"/>
      </w:pPr>
      <w:r>
        <w:t xml:space="preserve">(Art. 1 ust. 1 lit. b) dyrektywy (UE) 2015/1535)</w:t>
      </w:r>
    </w:p>
    <w:p w14:paraId="3979F0D8" w14:textId="77777777">
      <w:pPr>
        <w:spacing w:after="0" w:line="240" w:lineRule="auto"/>
        <w:ind w:left="567"/>
        <w:jc w:val="both"/>
        <w:rPr>
          <w:rFonts w:ascii="Times New Roman" w:hAnsi="Times New Roman" w:cs="Times New Roman"/>
          <w:i/>
          <w:iCs/>
          <w:sz w:val="24"/>
          <w:szCs w:val="24"/>
        </w:rPr>
      </w:pPr>
    </w:p>
    <w:p w14:paraId="325579F5" w14:textId="5717D74C">
      <w:pPr>
        <w:pStyle w:val="P68B1DB1-Normal12"/>
        <w:spacing w:after="0" w:line="240" w:lineRule="auto"/>
        <w:ind w:left="567"/>
        <w:jc w:val="both"/>
        <w:rPr>
          <w:iCs/>
        </w:rPr>
      </w:pPr>
      <w:r>
        <w:t xml:space="preserve">„Orientacyjny wykaz usług nieobjętych art. 1 ust. 1 lit. b) akapit drugi </w:t>
      </w:r>
    </w:p>
    <w:p w14:paraId="2833D888" w14:textId="77777777">
      <w:pPr>
        <w:spacing w:after="0" w:line="240" w:lineRule="auto"/>
        <w:ind w:left="567"/>
        <w:jc w:val="both"/>
        <w:rPr>
          <w:rFonts w:ascii="Times New Roman" w:hAnsi="Times New Roman" w:cs="Times New Roman"/>
          <w:i/>
          <w:iCs/>
          <w:sz w:val="24"/>
          <w:szCs w:val="24"/>
        </w:rPr>
      </w:pPr>
    </w:p>
    <w:p w14:paraId="45BC8C0F" w14:textId="59EDD8A8">
      <w:pPr>
        <w:pStyle w:val="P68B1DB1-ListParagraph21"/>
        <w:numPr>
          <w:ilvl w:val="0"/>
          <w:numId w:val="33"/>
        </w:numPr>
        <w:spacing w:after="0" w:line="240" w:lineRule="auto"/>
        <w:jc w:val="center"/>
        <w:rPr>
          <w:rFonts w:ascii="Times New Roman" w:hAnsi="Times New Roman" w:cs="Times New Roman"/>
          <w:i/>
          <w:sz w:val="24"/>
          <w:szCs w:val="24"/>
        </w:rPr>
      </w:pPr>
      <w:r>
        <w:t xml:space="preserve">Usługi, które nie są świadczone „na odległość”</w:t>
      </w:r>
    </w:p>
    <w:p w14:paraId="0869B267" w14:textId="77777777">
      <w:pPr>
        <w:pStyle w:val="ListParagraph"/>
        <w:spacing w:after="0" w:line="240" w:lineRule="auto"/>
        <w:ind w:left="927"/>
        <w:rPr>
          <w:rFonts w:ascii="Times New Roman" w:hAnsi="Times New Roman" w:cs="Times New Roman"/>
          <w:i/>
          <w:sz w:val="24"/>
          <w:szCs w:val="24"/>
        </w:rPr>
      </w:pPr>
    </w:p>
    <w:p w14:paraId="15316F3F" w14:textId="637F4A7C">
      <w:pPr>
        <w:spacing w:after="0" w:line="240" w:lineRule="auto"/>
        <w:ind w:left="567"/>
        <w:rPr>
          <w:rFonts w:ascii="Times New Roman" w:hAnsi="Times New Roman" w:cs="Times New Roman"/>
          <w:i/>
          <w:sz w:val="24"/>
          <w:szCs w:val="24"/>
        </w:rPr>
        <w:pStyle w:val="P68B1DB1-Normal12"/>
      </w:pPr>
      <w:r>
        <w:t xml:space="preserve">Usługi świadczone w fizycznej obecności dostawcy i odbiorcy, nawet jeżeli są związane z wykorzystaniem z urządzeń elektronicznych: </w:t>
      </w:r>
    </w:p>
    <w:p w14:paraId="3362CCDE" w14:textId="74A453DA">
      <w:pPr>
        <w:spacing w:after="0" w:line="240" w:lineRule="auto"/>
        <w:ind w:left="1287"/>
        <w:rPr>
          <w:rFonts w:ascii="Times New Roman" w:hAnsi="Times New Roman" w:cs="Times New Roman"/>
          <w:i/>
          <w:sz w:val="24"/>
          <w:szCs w:val="24"/>
        </w:rPr>
        <w:pStyle w:val="P68B1DB1-Normal12"/>
      </w:pPr>
      <w:r>
        <w:t xml:space="preserve">badania lekarskie lub leczenie w chirurgii lekarskiej z wykorzystaniem sprzętu elektronicznego, w przypadku gdy pacjent jest fizycznie obecny; </w:t>
      </w:r>
    </w:p>
    <w:p w14:paraId="705A25A8" w14:textId="77777777">
      <w:pPr>
        <w:spacing w:after="0" w:line="240" w:lineRule="auto"/>
        <w:ind w:left="567" w:firstLine="720"/>
        <w:rPr>
          <w:rFonts w:ascii="Times New Roman" w:hAnsi="Times New Roman" w:cs="Times New Roman"/>
          <w:i/>
          <w:sz w:val="24"/>
          <w:szCs w:val="24"/>
        </w:rPr>
        <w:pStyle w:val="P68B1DB1-Normal12"/>
      </w:pPr>
      <w:r>
        <w:t xml:space="preserve">b) przeglądania katalogu elektronicznego w sklepie z klientem na miejscu; </w:t>
      </w:r>
    </w:p>
    <w:p w14:paraId="7DA6C469" w14:textId="5F31D5B1">
      <w:pPr>
        <w:spacing w:after="0" w:line="240" w:lineRule="auto"/>
        <w:ind w:left="1287"/>
        <w:rPr>
          <w:rFonts w:ascii="Times New Roman" w:hAnsi="Times New Roman" w:cs="Times New Roman"/>
          <w:i/>
          <w:sz w:val="24"/>
          <w:szCs w:val="24"/>
        </w:rPr>
        <w:pStyle w:val="P68B1DB1-Normal12"/>
      </w:pPr>
      <w:r>
        <w:t xml:space="preserve">rezerwacja biletów lotniczych w biurze podróży w fizycznej obecności klienta za pośrednictwem sieci komputerów; </w:t>
      </w:r>
    </w:p>
    <w:p w14:paraId="01C9EFAD" w14:textId="77777777">
      <w:pPr>
        <w:spacing w:after="0" w:line="240" w:lineRule="auto"/>
        <w:ind w:left="1287"/>
        <w:rPr>
          <w:rFonts w:ascii="Times New Roman" w:hAnsi="Times New Roman" w:cs="Times New Roman"/>
          <w:i/>
          <w:sz w:val="24"/>
          <w:szCs w:val="24"/>
        </w:rPr>
        <w:pStyle w:val="P68B1DB1-Normal12"/>
      </w:pPr>
      <w:r>
        <w:t xml:space="preserve">gry elektroniczne udostępniane w galerii wideo, w której klient jest fizycznie obecny. </w:t>
      </w:r>
    </w:p>
    <w:p w14:paraId="487F2005" w14:textId="77777777">
      <w:pPr>
        <w:spacing w:after="0" w:line="240" w:lineRule="auto"/>
        <w:ind w:left="567"/>
        <w:rPr>
          <w:rFonts w:ascii="Times New Roman" w:hAnsi="Times New Roman" w:cs="Times New Roman"/>
          <w:i/>
          <w:sz w:val="24"/>
          <w:szCs w:val="24"/>
        </w:rPr>
      </w:pPr>
    </w:p>
    <w:p w14:paraId="3AFC7951" w14:textId="251CDA9A">
      <w:pPr>
        <w:pStyle w:val="P68B1DB1-ListParagraph21"/>
        <w:numPr>
          <w:ilvl w:val="0"/>
          <w:numId w:val="33"/>
        </w:numPr>
        <w:spacing w:after="0" w:line="240" w:lineRule="auto"/>
        <w:jc w:val="center"/>
        <w:rPr>
          <w:rFonts w:ascii="Times New Roman" w:hAnsi="Times New Roman" w:cs="Times New Roman"/>
          <w:i/>
          <w:sz w:val="24"/>
          <w:szCs w:val="24"/>
        </w:rPr>
      </w:pPr>
      <w:r>
        <w:t xml:space="preserve">Usługi, które nie są świadczone „drogą elektroniczną”</w:t>
      </w:r>
    </w:p>
    <w:p w14:paraId="7F20B717" w14:textId="77777777">
      <w:pPr>
        <w:pStyle w:val="ListParagraph"/>
        <w:spacing w:after="0" w:line="240" w:lineRule="auto"/>
        <w:ind w:left="927"/>
        <w:rPr>
          <w:rFonts w:ascii="Times New Roman" w:hAnsi="Times New Roman" w:cs="Times New Roman"/>
          <w:i/>
          <w:sz w:val="24"/>
          <w:szCs w:val="24"/>
        </w:rPr>
      </w:pPr>
    </w:p>
    <w:p w14:paraId="02C6FE7C" w14:textId="77777777">
      <w:pPr>
        <w:spacing w:after="0" w:line="240" w:lineRule="auto"/>
        <w:ind w:left="567"/>
        <w:rPr>
          <w:rFonts w:ascii="Times New Roman" w:hAnsi="Times New Roman" w:cs="Times New Roman"/>
          <w:i/>
          <w:sz w:val="24"/>
          <w:szCs w:val="24"/>
        </w:rPr>
        <w:pStyle w:val="P68B1DB1-Normal12"/>
      </w:pPr>
      <w:r>
        <w:t xml:space="preserve">— usługi o treści materialnej, nawet jeśli są świadczone za pośrednictwem urządzeń elektronicznych: </w:t>
      </w:r>
    </w:p>
    <w:p w14:paraId="271D8E4D" w14:textId="77777777">
      <w:pPr>
        <w:spacing w:after="0" w:line="240" w:lineRule="auto"/>
        <w:ind w:left="567" w:firstLine="720"/>
        <w:rPr>
          <w:rFonts w:ascii="Times New Roman" w:hAnsi="Times New Roman" w:cs="Times New Roman"/>
          <w:i/>
          <w:sz w:val="24"/>
          <w:szCs w:val="24"/>
        </w:rPr>
        <w:pStyle w:val="P68B1DB1-Normal12"/>
      </w:pPr>
      <w:r>
        <w:t xml:space="preserve">automaty do wydawania gotówki lub biletów (banknoty, bilety kolejowe); </w:t>
      </w:r>
    </w:p>
    <w:p w14:paraId="07693B6B" w14:textId="1A59726A">
      <w:pPr>
        <w:spacing w:after="0" w:line="240" w:lineRule="auto"/>
        <w:ind w:left="1287"/>
        <w:rPr>
          <w:rFonts w:ascii="Times New Roman" w:hAnsi="Times New Roman" w:cs="Times New Roman"/>
          <w:i/>
          <w:sz w:val="24"/>
          <w:szCs w:val="24"/>
        </w:rPr>
        <w:pStyle w:val="P68B1DB1-Normal12"/>
      </w:pPr>
      <w:r>
        <w:t xml:space="preserve">b) dostęp do sieci drogowych, parkingów itp., pobieranie opłat za użytkowanie, nawet jeśli przy wejściu/wyjeździe znajdują się urządzenia elektroniczne kontrolujące dostęp lub zapewniające prawidłową płatność, </w:t>
      </w:r>
    </w:p>
    <w:p w14:paraId="6B193BE7" w14:textId="77777777">
      <w:pPr>
        <w:spacing w:after="0" w:line="240" w:lineRule="auto"/>
        <w:ind w:left="567"/>
        <w:rPr>
          <w:rFonts w:ascii="Times New Roman" w:hAnsi="Times New Roman" w:cs="Times New Roman"/>
          <w:i/>
          <w:sz w:val="24"/>
          <w:szCs w:val="24"/>
        </w:rPr>
        <w:pStyle w:val="P68B1DB1-Normal12"/>
      </w:pPr>
      <w:r>
        <w:t xml:space="preserve">— usługi offline: dystrybucja płyt CD-ROM lub oprogramowania na dyskietkach, </w:t>
      </w:r>
    </w:p>
    <w:p w14:paraId="421C0A6C" w14:textId="77777777">
      <w:pPr>
        <w:spacing w:after="0" w:line="240" w:lineRule="auto"/>
        <w:ind w:left="567"/>
        <w:rPr>
          <w:rFonts w:ascii="Times New Roman" w:hAnsi="Times New Roman" w:cs="Times New Roman"/>
          <w:i/>
          <w:sz w:val="24"/>
          <w:szCs w:val="24"/>
        </w:rPr>
        <w:pStyle w:val="P68B1DB1-Normal12"/>
      </w:pPr>
      <w:r>
        <w:t xml:space="preserve">— usługi, które nie są świadczone za pośrednictwem elektronicznych systemów przetwarzania/inwentaryzacji: </w:t>
      </w:r>
    </w:p>
    <w:p w14:paraId="48C8B4AA" w14:textId="77777777">
      <w:pPr>
        <w:spacing w:after="0" w:line="240" w:lineRule="auto"/>
        <w:ind w:left="567" w:firstLine="720"/>
        <w:rPr>
          <w:rFonts w:ascii="Times New Roman" w:hAnsi="Times New Roman" w:cs="Times New Roman"/>
          <w:i/>
          <w:sz w:val="24"/>
          <w:szCs w:val="24"/>
        </w:rPr>
        <w:pStyle w:val="P68B1DB1-Normal12"/>
      </w:pPr>
      <w:r>
        <w:t xml:space="preserve">a) usługi telefonii głosowej; </w:t>
      </w:r>
    </w:p>
    <w:p w14:paraId="56C7B905" w14:textId="77777777">
      <w:pPr>
        <w:spacing w:after="0" w:line="240" w:lineRule="auto"/>
        <w:ind w:left="567" w:firstLine="720"/>
        <w:rPr>
          <w:rFonts w:ascii="Times New Roman" w:hAnsi="Times New Roman" w:cs="Times New Roman"/>
          <w:i/>
          <w:sz w:val="24"/>
          <w:szCs w:val="24"/>
        </w:rPr>
        <w:pStyle w:val="P68B1DB1-Normal12"/>
      </w:pPr>
      <w:r>
        <w:t xml:space="preserve">b) usługi telefaksowe/teleksowe; </w:t>
      </w:r>
    </w:p>
    <w:p w14:paraId="4711D7CC" w14:textId="77777777">
      <w:pPr>
        <w:spacing w:after="0" w:line="240" w:lineRule="auto"/>
        <w:ind w:left="567" w:firstLine="720"/>
        <w:rPr>
          <w:rFonts w:ascii="Times New Roman" w:hAnsi="Times New Roman" w:cs="Times New Roman"/>
          <w:i/>
          <w:sz w:val="24"/>
          <w:szCs w:val="24"/>
        </w:rPr>
        <w:pStyle w:val="P68B1DB1-Normal12"/>
      </w:pPr>
      <w:r>
        <w:t xml:space="preserve">C) usługi świadczone za pośrednictwem telefonii głosowej lub faksu; </w:t>
      </w:r>
    </w:p>
    <w:p w14:paraId="129084EE" w14:textId="77777777">
      <w:pPr>
        <w:spacing w:after="0" w:line="240" w:lineRule="auto"/>
        <w:ind w:left="567" w:firstLine="720"/>
        <w:rPr>
          <w:rFonts w:ascii="Times New Roman" w:hAnsi="Times New Roman" w:cs="Times New Roman"/>
          <w:i/>
          <w:sz w:val="24"/>
          <w:szCs w:val="24"/>
        </w:rPr>
        <w:pStyle w:val="P68B1DB1-Normal12"/>
      </w:pPr>
      <w:r>
        <w:t xml:space="preserve">d) konsultacja telefoniczna/telefaksowa z lekarzem; </w:t>
      </w:r>
    </w:p>
    <w:p w14:paraId="4D484D71" w14:textId="77777777">
      <w:pPr>
        <w:spacing w:after="0" w:line="240" w:lineRule="auto"/>
        <w:ind w:left="567" w:firstLine="720"/>
        <w:rPr>
          <w:rFonts w:ascii="Times New Roman" w:hAnsi="Times New Roman" w:cs="Times New Roman"/>
          <w:i/>
          <w:sz w:val="24"/>
          <w:szCs w:val="24"/>
        </w:rPr>
        <w:pStyle w:val="P68B1DB1-Normal12"/>
      </w:pPr>
      <w:r>
        <w:t xml:space="preserve">e) konsultacja telefoniczna/telefaksowa z adwokatem; </w:t>
      </w:r>
    </w:p>
    <w:p w14:paraId="69CFBD9E" w14:textId="77777777">
      <w:pPr>
        <w:spacing w:after="0" w:line="240" w:lineRule="auto"/>
        <w:ind w:left="567" w:firstLine="720"/>
        <w:rPr>
          <w:rFonts w:ascii="Times New Roman" w:hAnsi="Times New Roman" w:cs="Times New Roman"/>
          <w:i/>
          <w:sz w:val="24"/>
          <w:szCs w:val="24"/>
        </w:rPr>
        <w:pStyle w:val="P68B1DB1-Normal12"/>
      </w:pPr>
      <w:r>
        <w:t xml:space="preserve">F) bezpośredni marketing telefoniczny/telefaksowy. </w:t>
      </w:r>
    </w:p>
    <w:p w14:paraId="7998BDE8" w14:textId="77777777">
      <w:pPr>
        <w:spacing w:after="0" w:line="240" w:lineRule="auto"/>
        <w:ind w:left="567" w:firstLine="720"/>
        <w:rPr>
          <w:rFonts w:ascii="Times New Roman" w:hAnsi="Times New Roman" w:cs="Times New Roman"/>
          <w:i/>
          <w:sz w:val="24"/>
          <w:szCs w:val="24"/>
        </w:rPr>
      </w:pPr>
    </w:p>
    <w:p w14:paraId="61AA40DF" w14:textId="73BA62B1">
      <w:pPr>
        <w:spacing w:after="0" w:line="240" w:lineRule="auto"/>
        <w:ind w:left="567"/>
        <w:jc w:val="center"/>
        <w:rPr>
          <w:rFonts w:ascii="Times New Roman" w:hAnsi="Times New Roman" w:cs="Times New Roman"/>
          <w:i/>
          <w:sz w:val="24"/>
          <w:szCs w:val="24"/>
        </w:rPr>
        <w:pStyle w:val="P68B1DB1-Normal12"/>
      </w:pPr>
      <w:r>
        <w:t xml:space="preserve">3. Usługi, które nie są świadczone „na indywidualne żądanie odbiorcy usług”</w:t>
      </w:r>
    </w:p>
    <w:p w14:paraId="36C37D64" w14:textId="77777777">
      <w:pPr>
        <w:spacing w:after="0" w:line="240" w:lineRule="auto"/>
        <w:ind w:left="567"/>
        <w:jc w:val="center"/>
        <w:rPr>
          <w:rFonts w:ascii="Times New Roman" w:hAnsi="Times New Roman" w:cs="Times New Roman"/>
          <w:i/>
          <w:sz w:val="24"/>
          <w:szCs w:val="24"/>
        </w:rPr>
      </w:pPr>
    </w:p>
    <w:p w14:paraId="79A4497E" w14:textId="5069126A">
      <w:pPr>
        <w:spacing w:after="0" w:line="240" w:lineRule="auto"/>
        <w:ind w:left="567"/>
        <w:rPr>
          <w:rFonts w:ascii="Times New Roman" w:hAnsi="Times New Roman" w:cs="Times New Roman"/>
          <w:i/>
          <w:sz w:val="24"/>
          <w:szCs w:val="24"/>
        </w:rPr>
        <w:pStyle w:val="P68B1DB1-Normal12"/>
      </w:pPr>
      <w:r>
        <w:t xml:space="preserve">Usługi świadczone w formie przesyłania danych bez indywidualnego zamówienia i przeznaczone do równoczesnego odbioru przez nieograniczoną liczbę odbiorców (transmisja z „punktu do wielu punktów”): </w:t>
      </w:r>
    </w:p>
    <w:p w14:paraId="7348FF90" w14:textId="622E29E3">
      <w:pPr>
        <w:spacing w:after="0" w:line="240" w:lineRule="auto"/>
        <w:ind w:left="1287"/>
        <w:rPr>
          <w:rFonts w:ascii="Times New Roman" w:hAnsi="Times New Roman" w:cs="Times New Roman"/>
          <w:i/>
          <w:sz w:val="24"/>
          <w:szCs w:val="24"/>
        </w:rPr>
        <w:pStyle w:val="P68B1DB1-Normal12"/>
      </w:pPr>
      <w:r>
        <w:t xml:space="preserve">a) usług nadawczych telewizyjnych (w tym usług bliskiego zasięgu na żądanie), objętych art. 1 ust. 1 lit. e) dyrektywy 2010/13/UE; </w:t>
      </w:r>
    </w:p>
    <w:p w14:paraId="52812E73" w14:textId="77777777">
      <w:pPr>
        <w:spacing w:after="0" w:line="240" w:lineRule="auto"/>
        <w:ind w:left="567" w:firstLine="720"/>
        <w:rPr>
          <w:rFonts w:ascii="Times New Roman" w:hAnsi="Times New Roman" w:cs="Times New Roman"/>
          <w:i/>
          <w:sz w:val="24"/>
          <w:szCs w:val="24"/>
        </w:rPr>
        <w:pStyle w:val="P68B1DB1-Normal12"/>
      </w:pPr>
      <w:r>
        <w:t xml:space="preserve">b) usługi radiowe; </w:t>
      </w:r>
    </w:p>
    <w:p w14:paraId="50FD6B17" w14:textId="6C6940F1">
      <w:pPr>
        <w:spacing w:after="0" w:line="240" w:lineRule="auto"/>
        <w:ind w:left="567" w:firstLine="720"/>
        <w:pStyle w:val="P68B1DB1-Normal12"/>
      </w:pPr>
      <w:r>
        <w:t xml:space="preserve">(telewizyjny) teletekst.”</w:t>
      </w:r>
    </w:p>
    <w:p w14:paraId="4CB8A09D" w14:textId="49490E91">
      <w:pPr>
        <w:pStyle w:val="BodyText"/>
        <w:ind w:left="1440"/>
        <w:jc w:val="right"/>
      </w:pPr>
      <w:r>
        <w:t xml:space="preserve">(Załącznik I do dyrektywy (UE) 2015/1535)</w:t>
      </w:r>
    </w:p>
    <w:p w14:paraId="4AFCA90D" w14:textId="77777777">
      <w:pPr>
        <w:spacing w:after="0" w:line="240" w:lineRule="auto"/>
      </w:pPr>
    </w:p>
    <w:p w14:paraId="27152DAF" w14:textId="403C1BD4">
      <w:pPr>
        <w:widowControl w:val="0"/>
        <w:autoSpaceDE w:val="0"/>
        <w:autoSpaceDN w:val="0"/>
        <w:spacing w:after="0" w:line="240" w:lineRule="auto"/>
        <w:jc w:val="both"/>
        <w:rPr>
          <w:rFonts w:ascii="Times New Roman" w:hAnsi="Times New Roman" w:cs="Times New Roman" w:eastAsia="Times New Roman"/>
          <w:i/>
          <w:iCs/>
          <w:sz w:val="20"/>
          <w:szCs w:val="16"/>
        </w:rPr>
      </w:pPr>
      <w:hyperlink r:id="rId47" w:history="1">
        <w:r>
          <w:rPr>
            <w:rStyle w:val="Hyperlink"/>
            <w:rFonts w:ascii="Times New Roman" w:hAnsi="Times New Roman" w:cs="Times New Roman" w:eastAsia="Times New Roman"/>
            <w:b/>
            <w:i/>
            <w:color w:val="0000FF"/>
            <w:szCs w:val="20"/>
          </w:rPr>
          <w:t xml:space="preserve">Wyrok z dnia 2 czerwca 2005</w:t>
        </w:r>
      </w:hyperlink>
      <w:r>
        <w:rPr>
          <w:rFonts w:ascii="Times New Roman" w:hAnsi="Times New Roman" w:cs="Times New Roman" w:eastAsia="Times New Roman"/>
          <w:b/>
          <w:i/>
          <w:szCs w:val="20"/>
        </w:rPr>
        <w:t xml:space="preserve"> r., Mediakabel BV, C-89/04, EU:C:2005:348, pkt 38 i 39.</w:t>
      </w:r>
    </w:p>
    <w:p w14:paraId="72864DF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0D3FE7F" w14:textId="7CBF6B01">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Usługa nadawcza telewizyjna udostępniana na żądanie abonenta, ale dla której częstotliwość i czas filmów jest określana przez dostawcę, nie stanowi „usługi społeczeństwa informacyjnego”, ponieważ treść jest wybierana i planowana przez dostawcę, a zatem nie dostarczana na indywidualne żądanie odbiorcy.</w:t>
      </w:r>
    </w:p>
    <w:p w14:paraId="35F17E14"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DC4243A" w14:textId="1EBB386A">
      <w:pPr>
        <w:pStyle w:val="P68B1DB1-Normal15"/>
        <w:widowControl w:val="0"/>
        <w:autoSpaceDE w:val="0"/>
        <w:autoSpaceDN w:val="0"/>
        <w:spacing w:after="0" w:line="240" w:lineRule="auto"/>
        <w:ind w:left="567"/>
        <w:jc w:val="both"/>
      </w:pPr>
      <w:r>
        <w:t xml:space="preserve">„38. W istocie, o ile taka usługa spełnia dwa pierwsze kryteria pojęcia „usługi społeczeństwa informacyjnego” w rozumieniu art. 1 pkt 2 dyrektywy 98/34, ponieważ jest świadczona na odległość i przesyłana częściowo za pomocą sprzętu elektronicznego, nie spełnia ona trzeciego kryterium wspomnianego pojęcia, na podstawie którego dana usługa powinna być świadczona „na indywidualne żądanie odbiorcy usług”. Lista filmów oferowanych w ramach usługi tego rodzaju jak usługa „Filmtime” jest ustalana przez dostawcę usługi. Ten wybór filmów jest oferowany wszystkim abonentom na tych samych warunkach, albo za pomocą czasopism, albo za pomocą informacji nadawanych na ekranie odbiornika telewizyjnego, a wspomniane filmy są dostępne w godzinach nadawania ustalonych przez dostawcę usługi. Osobisty kod umożliwiający dostęp do filmów jest wyłącznie środkiem do dekodowania obrazów, których sygnały są przesyłane równocześnie do wszystkich abonentów.</w:t>
      </w:r>
    </w:p>
    <w:p w14:paraId="68AEB66F" w14:textId="77777777">
      <w:pPr>
        <w:pStyle w:val="P68B1DB1-Normal15"/>
        <w:widowControl w:val="0"/>
        <w:autoSpaceDE w:val="0"/>
        <w:autoSpaceDN w:val="0"/>
        <w:spacing w:after="0" w:line="240" w:lineRule="auto"/>
        <w:ind w:left="567"/>
        <w:jc w:val="both"/>
      </w:pPr>
    </w:p>
    <w:p w14:paraId="145EEF38" w14:textId="74B1BC98">
      <w:pPr>
        <w:pStyle w:val="P68B1DB1-Normal15"/>
        <w:widowControl w:val="0"/>
        <w:autoSpaceDE w:val="0"/>
        <w:autoSpaceDN w:val="0"/>
        <w:spacing w:after="0" w:line="240" w:lineRule="auto"/>
        <w:ind w:left="567"/>
        <w:jc w:val="both"/>
        <w:rPr>
          <w:iCs/>
        </w:rPr>
      </w:pPr>
      <w:r>
        <w:t xml:space="preserve">39. Taka usługa nie jest więc zamawiana indywidualnie przez jednego odbiorcę, który miałby wolny wybór programów w drodze interaktywnej. Usługę tę należy uznać za usługę bliską wideo na żądanie, świadczoną na zasadzie „od punktu do wielu punktów”, a nie „na indywidualne żądanie odbiorcy usług”.</w:t>
      </w:r>
    </w:p>
    <w:p w14:paraId="5E8F8952" w14:textId="190BF10B">
      <w:pPr>
        <w:widowControl w:val="0"/>
        <w:autoSpaceDE w:val="0"/>
        <w:autoSpaceDN w:val="0"/>
        <w:spacing w:after="0" w:line="240" w:lineRule="auto"/>
        <w:ind w:left="567"/>
        <w:jc w:val="both"/>
      </w:pPr>
    </w:p>
    <w:p w14:paraId="6027638F" w14:textId="40792564">
      <w:pPr>
        <w:pStyle w:val="P68B1DB1-Normal13"/>
        <w:widowControl w:val="0"/>
        <w:autoSpaceDE w:val="0"/>
        <w:autoSpaceDN w:val="0"/>
        <w:spacing w:after="0" w:line="240" w:lineRule="auto"/>
        <w:jc w:val="both"/>
        <w:outlineLvl w:val="1"/>
      </w:pPr>
      <w:hyperlink r:id="rId48" w:history="1">
        <w:r>
          <w:rPr>
            <w:color w:val="0000FF"/>
            <w:u w:val="single"/>
          </w:rPr>
          <w:t xml:space="preserve">Wyrok z dnia 2 lutego 2016</w:t>
        </w:r>
      </w:hyperlink>
      <w:r>
        <w:t xml:space="preserve"> r., Ince, C-336/14, EU:C:2016:72, pkt 75, 76</w:t>
      </w:r>
      <w:bookmarkEnd w:id="70"/>
    </w:p>
    <w:p w14:paraId="62235723"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32F669F1" w14:textId="7D474CDE">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Style w:val="P68B1DB1-Normal14"/>
      </w:pPr>
      <w:r>
        <w:t xml:space="preserve">Przepisy krajowe ograniczające oferowanie gier losowych online lub zakazujące reklamy takich gier w internecie można uznać za „przepisy dotyczące usług”, ponieważ dotyczą one „usługi społeczeństwa informacyjnego”. Natomiast przepisy wymagające uprzedniego zezwolenia dla podmiotów urządzających gry losowe lub zakazujące udzielania takich zezwoleń podmiotom prywatnym odnoszą się do warunków zakładania przedsiębiorstw, a zatem nie stanowią „zasad dotyczących usług”.</w:t>
      </w:r>
    </w:p>
    <w:p w14:paraId="156FC50A"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26E8979D" w14:textId="42272F10">
      <w:pPr>
        <w:pStyle w:val="P68B1DB1-Normal15"/>
        <w:widowControl w:val="0"/>
        <w:autoSpaceDE w:val="0"/>
        <w:autoSpaceDN w:val="0"/>
        <w:spacing w:after="0" w:line="240" w:lineRule="auto"/>
        <w:ind w:left="567"/>
        <w:jc w:val="both"/>
      </w:pPr>
      <w:r>
        <w:t xml:space="preserve">„75. [...] niektóre postanowienia umowy w sprawie gier losowych mogą zostać zakwalifikowane jako „zasady dotyczące usług” w zakresie, w jakim dotyczą one „usługi społeczeństwa informacyjnego” w rozumieniu art. 1 pkt 2 dyrektywy 98/34. Przepisy te obejmują zakaz oferowania gier losowych za pośrednictwem Internetu, przewidziany w § 4 ust. 4 umowy w sprawie gier losowych, wyjątki od tego zakazu wymienione w § 25 ust. 6 tej umowy, ograniczenia w stosunku do możliwości oferowania zakładów sportowych dzięki środkom telekomunikacyjnym zgodnie z § 21 ust. 2 tej umowy, a także zakaz reklamowania gier losowych w Internecie lub środkami telekomunikacyjnymi zgodnie z § 5 ust. 3 tejże umowy.</w:t>
      </w:r>
    </w:p>
    <w:p w14:paraId="440D35CE" w14:textId="77777777">
      <w:pPr>
        <w:pStyle w:val="P68B1DB1-Normal15"/>
        <w:widowControl w:val="0"/>
        <w:autoSpaceDE w:val="0"/>
        <w:autoSpaceDN w:val="0"/>
        <w:spacing w:after="0" w:line="240" w:lineRule="auto"/>
        <w:ind w:left="567"/>
        <w:jc w:val="both"/>
      </w:pPr>
    </w:p>
    <w:p w14:paraId="7CF19AC0" w14:textId="0AA0DFE8">
      <w:pPr>
        <w:pStyle w:val="P68B1DB1-Normal15"/>
        <w:widowControl w:val="0"/>
        <w:autoSpaceDE w:val="0"/>
        <w:autoSpaceDN w:val="0"/>
        <w:spacing w:after="0" w:line="240" w:lineRule="auto"/>
        <w:ind w:left="567"/>
        <w:jc w:val="both"/>
        <w:rPr>
          <w:iCs/>
        </w:rPr>
      </w:pPr>
      <w:r>
        <w:t xml:space="preserve">76. Jeżeli chodzi natomiast o przepisy umowy w sprawie gier losowych inne niż te dotyczące „usługi społeczeństwa informacyjnego” w rozumieniu art. 1 pkt 2 dyrektywy 98/34, takie jak przepisy wprowadzające obowiązek uzyskania zezwolenia na organizowanie lub przyjmowanie zakładów sportowych, a także brak możliwości wydania takiego zezwolenia podmiotom prywatnym, to nie stanowią one „przepisów technicznych” w rozumieniu art. 1 pkt 11 tejże dyrektywy. Przepisy krajowe, które ograniczają się do ustanowienia warunków zakładania przedsiębiorstw lub świadczenia usług przez przedsiębiorstwa, takie jak przepisy uzależniające wykonywanie działalności od uzyskania uprzedniego zezwolenia, nie stanowią przepisów technicznych w rozumieniu tego przepisu (zob. podobnie wyrok Lindberg, C-267/03, EU:C:2005:246, pkt 87).”</w:t>
      </w:r>
    </w:p>
    <w:p w14:paraId="284BC1DD" w14:textId="77777777">
      <w:pPr>
        <w:spacing w:after="0" w:line="240" w:lineRule="auto"/>
      </w:pPr>
    </w:p>
    <w:p w14:paraId="792D1FCB" w14:textId="5D8C5452">
      <w:pPr>
        <w:pStyle w:val="P68B1DB1-Normal13"/>
        <w:widowControl w:val="0"/>
        <w:autoSpaceDE w:val="0"/>
        <w:autoSpaceDN w:val="0"/>
        <w:spacing w:after="0" w:line="240" w:lineRule="auto"/>
        <w:jc w:val="both"/>
        <w:outlineLvl w:val="1"/>
      </w:pPr>
      <w:hyperlink r:id="rId49" w:history="1">
        <w:r>
          <w:rPr>
            <w:color w:val="0000FF"/>
            <w:u w:val="single"/>
          </w:rPr>
          <w:t xml:space="preserve">Wyrok Trybunału z dnia 13 października 2016 r.</w:t>
        </w:r>
      </w:hyperlink>
      <w:r>
        <w:t xml:space="preserve">, Naczelnik Urzędu Celnego I w., C</w:t>
        <w:noBreakHyphen/>
        <w:t xml:space="preserve">303/15, EU:C:2016:771, pkt 24</w:t>
      </w:r>
      <w:bookmarkEnd w:id="71"/>
    </w:p>
    <w:p w14:paraId="5329A61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0996FF96" w14:textId="3530BD3E">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Przepis uzależniający wykonywanie działalności hazardowej od posiadania zezwolenia na prowadzenie kasyna nie stanowi „zasady dotyczącej usług”, ponieważ nie dotyczy on „usługi społeczeństwa informacyjnego”.</w:t>
      </w:r>
    </w:p>
    <w:p w14:paraId="1E1EAAA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7469D564" w14:textId="52BCBAAC">
      <w:pPr>
        <w:pStyle w:val="P68B1DB1-Normal15"/>
        <w:widowControl w:val="0"/>
        <w:tabs>
          <w:tab w:val="left" w:pos="396"/>
          <w:tab w:val="left" w:pos="399"/>
        </w:tabs>
        <w:autoSpaceDE w:val="0"/>
        <w:autoSpaceDN w:val="0"/>
        <w:spacing w:after="0" w:line="240" w:lineRule="auto"/>
        <w:ind w:left="567" w:hanging="142"/>
        <w:jc w:val="both"/>
        <w:rPr>
          <w:iCs/>
        </w:rPr>
      </w:pPr>
      <w:r>
        <w:t>„</w:t>
      </w:r>
      <w:bookmarkStart w:id="72" w:name="point24"/>
      <w:r>
        <w:t>24</w:t>
      </w:r>
      <w:bookmarkEnd w:id="72"/>
      <w:r>
        <w:t xml:space="preserve">. [...] przepis ten nie może zostać umieszczony w kategorii „zasad dotyczących usług [społeczeństwa informacyjnego]” w rozumieniu art. 1 pkt 5 dyrektywy 98/34, ponieważ nie dotyczy on „usługi społeczeństwa informacyjnego” w rozumieniu art. 1 ust. 2 tej dyrektywy”.</w:t>
      </w:r>
    </w:p>
    <w:p w14:paraId="2022FC13" w14:textId="77777777">
      <w:pPr>
        <w:spacing w:after="0" w:line="240" w:lineRule="auto"/>
      </w:pPr>
    </w:p>
    <w:bookmarkStart w:id="73" w:name="_Hlk202362486"/>
    <w:p w14:paraId="3ED876F3" w14:textId="767BC230">
      <w:pPr>
        <w:pStyle w:val="P68B1DB1-Normal13"/>
        <w:widowControl w:val="0"/>
        <w:autoSpaceDE w:val="0"/>
        <w:autoSpaceDN w:val="0"/>
        <w:spacing w:after="0" w:line="240" w:lineRule="auto"/>
        <w:jc w:val="both"/>
        <w:outlineLvl w:val="1"/>
      </w:pPr>
      <w:r>
        <w:fldChar w:fldCharType="begin"/>
      </w:r>
      <w:r>
        <w:instrText>HYPERLINK "https://curia.europa.eu/juris/document/document.jsf?text=&amp;docid=198051&amp;pageIndex=0&amp;doclang=EN&amp;mode=lst&amp;dir=&amp;occ=first&amp;part=1&amp;cid=10880021"</w:instrText>
      </w:r>
      <w:r>
        <w:fldChar w:fldCharType="separate"/>
      </w:r>
      <w:bookmarkStart w:id="74" w:name="_Toc198043830"/>
      <w:r>
        <w:rPr>
          <w:color w:val="0000FF"/>
          <w:u w:val="single"/>
        </w:rPr>
        <w:t xml:space="preserve">Wyrok z dnia 20 grudnia</w:t>
      </w:r>
      <w:r>
        <w:rPr>
          <w:color w:val="0000FF"/>
          <w:u w:val="single"/>
        </w:rPr>
        <w:fldChar w:fldCharType="end"/>
        <w:t xml:space="preserve">2017 r., Falbert i in.,</w:t>
        <w:noBreakHyphen/>
        <w:t xml:space="preserve">C 255/16, EU:C:2017:983, pkt 27–29, 32, 33</w:t>
      </w:r>
      <w:bookmarkEnd w:id="74"/>
    </w:p>
    <w:bookmarkEnd w:id="73"/>
    <w:p w14:paraId="1158306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227D8B" w14:textId="4F8DA22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Przepisy krajowe dotyczące gier losowych lub usług reklamowych mogą stanowić „zasady dotyczące usług”, jeżeli dotyczą one bezpośrednio usług świadczonych na odległość, drogą elektroniczną i na indywidualne żądanie usługobiorcy. Nawet jeśli brzmienie takich przepisów nie wprowadza rozróżnienia między usługami online i offline, ich cel w odniesieniu do „usług społeczeństwa informacyjnego” można wywieść z ich motywów lub </w:t>
      </w:r>
      <w:r>
        <w:rPr>
          <w:i/>
        </w:rPr>
        <w:t xml:space="preserve">prac przygotowawczych</w:t>
      </w:r>
      <w:r>
        <w:t>.</w:t>
      </w:r>
    </w:p>
    <w:p w14:paraId="7F177100" w14:textId="77777777">
      <w:pPr>
        <w:widowControl w:val="0"/>
        <w:autoSpaceDE w:val="0"/>
        <w:autoSpaceDN w:val="0"/>
        <w:spacing w:after="0" w:line="240" w:lineRule="auto"/>
        <w:jc w:val="both"/>
        <w:rPr>
          <w:rFonts w:ascii="Times New Roman" w:hAnsi="Times New Roman" w:cs="Times New Roman" w:eastAsia="Times New Roman"/>
          <w:szCs w:val="20"/>
        </w:rPr>
      </w:pPr>
    </w:p>
    <w:p w14:paraId="7F9B9A73" w14:textId="7410A16D">
      <w:pPr>
        <w:pStyle w:val="P68B1DB1-Normal15"/>
        <w:widowControl w:val="0"/>
        <w:autoSpaceDE w:val="0"/>
        <w:autoSpaceDN w:val="0"/>
        <w:spacing w:after="0" w:line="240" w:lineRule="auto"/>
        <w:ind w:left="567"/>
        <w:jc w:val="both"/>
      </w:pPr>
      <w:r>
        <w:t xml:space="preserve">„27. Należy przypomnieć, że zgodnie z art. 1 pkt 2 tej dyrektywy wspomniana kategoria „przepisu technicznego” obejmuje wyłącznie przepisy dotyczące usług społeczeństwa informacyjnego, to znaczy każdą usługę świadczoną na odległość drogą elektroniczną i na indywidualne żądanie odbiorcy usług (zob. wyroki: z dnia 13 października 2016 r., M. i S., C-303/15, EU:C:2016:771, pkt 21; z dnia 1 lutego 2017 r., Município de Palmela, C-144/16, EU:C:2017:76, pkt 28).</w:t>
      </w:r>
    </w:p>
    <w:p w14:paraId="0F8135B3" w14:textId="77777777">
      <w:pPr>
        <w:pStyle w:val="P68B1DB1-Normal15"/>
        <w:widowControl w:val="0"/>
        <w:autoSpaceDE w:val="0"/>
        <w:autoSpaceDN w:val="0"/>
        <w:spacing w:after="0" w:line="240" w:lineRule="auto"/>
        <w:ind w:left="567"/>
        <w:jc w:val="both"/>
      </w:pPr>
    </w:p>
    <w:p w14:paraId="6AF5DAAF" w14:textId="403D67A9">
      <w:pPr>
        <w:pStyle w:val="P68B1DB1-Normal15"/>
        <w:widowControl w:val="0"/>
        <w:autoSpaceDE w:val="0"/>
        <w:autoSpaceDN w:val="0"/>
        <w:spacing w:after="0" w:line="240" w:lineRule="auto"/>
        <w:ind w:left="567"/>
        <w:jc w:val="both"/>
      </w:pPr>
      <w:r>
        <w:t xml:space="preserve">28. W tym zakresie należy stwierdzić, że w § 10 ust. 3 pkt 3 ustawy o grach dotyczy co do zasady dwóch rodzajów usług, to znaczy, po pierwsze, usług reklamowych, które są przedmiotem bezpośrednich sankcji przewidzianych przez ten przepis, i po drugie, usług organizowania gier, do których odnosi się zakaz reklamy i które stanowią główny przedmiot ustawy o grach postrzeganych jako całość.</w:t>
      </w:r>
    </w:p>
    <w:p w14:paraId="74D3506D" w14:textId="77777777">
      <w:pPr>
        <w:pStyle w:val="P68B1DB1-Normal15"/>
        <w:widowControl w:val="0"/>
        <w:autoSpaceDE w:val="0"/>
        <w:autoSpaceDN w:val="0"/>
        <w:spacing w:after="0" w:line="240" w:lineRule="auto"/>
        <w:ind w:left="567"/>
        <w:jc w:val="both"/>
      </w:pPr>
    </w:p>
    <w:p w14:paraId="5664402E" w14:textId="11E23D14">
      <w:pPr>
        <w:pStyle w:val="P68B1DB1-Normal15"/>
        <w:widowControl w:val="0"/>
        <w:autoSpaceDE w:val="0"/>
        <w:autoSpaceDN w:val="0"/>
        <w:spacing w:after="0" w:line="240" w:lineRule="auto"/>
        <w:ind w:left="567"/>
        <w:jc w:val="both"/>
        <w:rPr>
          <w:iCs/>
        </w:rPr>
      </w:pPr>
      <w:r>
        <w:t xml:space="preserve">29. Zarówno usługi reklamowe, jak i usługi gier losowych, w zakresie, w jakim są świadczone między innymi drogą elektroniczną (online), stanowią „usługi społeczeństwa informacyjnego” w rozumieniu art. 1 pkt 2 dyrektywy 98/34 i związanych z nimi zasad, które w związku z tym mogą zostać uznane za „zasady dotyczące usług” w rozumieniu art. 1 pkt 5 dyrektywy 98/34”.</w:t>
      </w:r>
    </w:p>
    <w:p w14:paraId="5EFEFCC0" w14:textId="77777777">
      <w:pPr>
        <w:widowControl w:val="0"/>
        <w:autoSpaceDE w:val="0"/>
        <w:autoSpaceDN w:val="0"/>
        <w:spacing w:after="0" w:line="240" w:lineRule="auto"/>
        <w:ind w:left="567"/>
        <w:jc w:val="both"/>
        <w:rPr>
          <w:rFonts w:ascii="Times New Roman" w:hAnsi="Times New Roman" w:cs="Times New Roman" w:eastAsia="Times New Roman"/>
          <w:i/>
          <w:iCs/>
          <w:szCs w:val="20"/>
        </w:rPr>
      </w:pPr>
    </w:p>
    <w:p w14:paraId="41A42BF7" w14:textId="5C64577C">
      <w:pPr>
        <w:pStyle w:val="P68B1DB1-Normal15"/>
        <w:widowControl w:val="0"/>
        <w:autoSpaceDE w:val="0"/>
        <w:autoSpaceDN w:val="0"/>
        <w:spacing w:after="0" w:line="240" w:lineRule="auto"/>
        <w:ind w:left="567"/>
        <w:jc w:val="both"/>
      </w:pPr>
      <w:r>
        <w:t xml:space="preserve">„32. W tym zakresie należy stwierdzić, po pierwsze, że kwestia, czy dana zasada szczególnie odnosi się do usług społeczeństwa informacyjnego, musi zgodnie z postanowieniami art. 1 pkt 5 tiret pierwsze dyrektywy 98/34 zostać ustalona z uwzględnieniem zarówno uzasadnienia, jak i treści dyspozycji tej zasady. Ponadto na podstawie tego przepisu nie wymaga się, aby „szczególnym celem i przedmiotem” danej zasady w całości było uregulowanie usług społeczeństwa informacyjnego, ponieważ wystarcza, aby zasada ta realizowała ten cel lub przedmiot w niektórych jej postanowieniach.</w:t>
      </w:r>
    </w:p>
    <w:p w14:paraId="52376DA8" w14:textId="77777777">
      <w:pPr>
        <w:pStyle w:val="P68B1DB1-Normal15"/>
        <w:widowControl w:val="0"/>
        <w:autoSpaceDE w:val="0"/>
        <w:autoSpaceDN w:val="0"/>
        <w:spacing w:after="0" w:line="240" w:lineRule="auto"/>
        <w:ind w:left="567"/>
        <w:jc w:val="both"/>
      </w:pPr>
    </w:p>
    <w:p w14:paraId="0315D791" w14:textId="4196282E">
      <w:pPr>
        <w:pStyle w:val="P68B1DB1-Normal15"/>
        <w:widowControl w:val="0"/>
        <w:autoSpaceDE w:val="0"/>
        <w:autoSpaceDN w:val="0"/>
        <w:spacing w:after="0" w:line="240" w:lineRule="auto"/>
        <w:ind w:left="567"/>
        <w:jc w:val="both"/>
        <w:rPr>
          <w:iCs/>
        </w:rPr>
      </w:pPr>
      <w:r>
        <w:t xml:space="preserve">33. W związku z tym, jeżeli z samego brzmienia przepisu krajowego nie wynika, że ma on na celu, przynajmniej częściowo, uregulowanie konkretnie usług społeczeństwa informacyjnego – jak w niniejszej sprawie, w której brzmienie nie wprowadza żadnego rozróżnienia między usługami świadczonymi poza internetem a usługami świadczonymi w Internecie – przedmiot ten można jednak łatwo wywieść z uzasadnienia tego przepisu – również w niniejszym przypadku na podstawie właściwych krajowych przepisów interpretacyjnych, które pozwalają między innymi na opracowanie prac przygotowawczych nad tym przepisem”.</w:t>
      </w:r>
    </w:p>
    <w:p w14:paraId="4FC111DB" w14:textId="77777777">
      <w:pPr>
        <w:spacing w:after="0" w:line="240" w:lineRule="auto"/>
      </w:pPr>
    </w:p>
    <w:p w14:paraId="61BC4E90" w14:textId="11306B2B">
      <w:pPr>
        <w:pStyle w:val="P68B1DB1-Normal13"/>
        <w:widowControl w:val="0"/>
        <w:autoSpaceDE w:val="0"/>
        <w:autoSpaceDN w:val="0"/>
        <w:spacing w:after="0" w:line="240" w:lineRule="auto"/>
        <w:jc w:val="both"/>
        <w:outlineLvl w:val="1"/>
      </w:pPr>
      <w:hyperlink r:id="rId50" w:history="1">
        <w:r>
          <w:rPr>
            <w:color w:val="0000FF"/>
            <w:u w:val="single"/>
          </w:rPr>
          <w:t xml:space="preserve">Wyrok z dnia 20 grudnia 2017</w:t>
        </w:r>
      </w:hyperlink>
      <w:r>
        <w:t xml:space="preserve"> r., Asociación Profesional Elite Taxi,</w:t>
        <w:noBreakHyphen/>
        <w:t xml:space="preserve">C 434/15, EU:C:2017:981, pkt 37, 39–41</w:t>
      </w:r>
      <w:bookmarkEnd w:id="75"/>
    </w:p>
    <w:p w14:paraId="101ED87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7072DE" w14:textId="5D866F13">
      <w:pPr>
        <w:widowControl w:val="0"/>
        <w:tabs>
          <w:tab w:val="left" w:pos="446"/>
        </w:tabs>
        <w:autoSpaceDE w:val="0"/>
        <w:autoSpaceDN w:val="0"/>
        <w:spacing w:after="0" w:line="240" w:lineRule="auto"/>
        <w:jc w:val="both"/>
        <w:rPr>
          <w:rFonts w:ascii="Times New Roman" w:hAnsi="Times New Roman" w:cs="Times New Roman" w:eastAsia="Times New Roman"/>
          <w:szCs w:val="20"/>
        </w:rPr>
        <w:pStyle w:val="P68B1DB1-Normal14"/>
      </w:pPr>
      <w:r>
        <w:t xml:space="preserve">Usługę pośrednictwa, która łączy, za pośrednictwem aplikacji na smartfony i za wynagrodzeniem, kierowców niezawodowych korzystających z własnych pojazdów z osobami poszukującymi transportu miejskiego, należy uznać za nierozerwalnie związaną z usługą transportową, a zatem zaklasyfikowaną jako „usługa w dziedzinie transportu” (nie jako „usługa społeczeństwa informacyjnego”).</w:t>
      </w:r>
    </w:p>
    <w:p w14:paraId="39437988" w14:textId="77777777">
      <w:pPr>
        <w:widowControl w:val="0"/>
        <w:tabs>
          <w:tab w:val="left" w:pos="446"/>
        </w:tabs>
        <w:autoSpaceDE w:val="0"/>
        <w:autoSpaceDN w:val="0"/>
        <w:spacing w:after="0" w:line="240" w:lineRule="auto"/>
        <w:jc w:val="both"/>
        <w:rPr>
          <w:rFonts w:ascii="Times New Roman" w:hAnsi="Times New Roman" w:cs="Times New Roman" w:eastAsia="Times New Roman"/>
          <w:szCs w:val="20"/>
        </w:rPr>
      </w:pPr>
    </w:p>
    <w:p w14:paraId="2DF36F50" w14:textId="0FDBA667">
      <w:pPr>
        <w:pStyle w:val="P68B1DB1-Normal15"/>
        <w:widowControl w:val="0"/>
        <w:tabs>
          <w:tab w:val="left" w:pos="446"/>
        </w:tabs>
        <w:autoSpaceDE w:val="0"/>
        <w:autoSpaceDN w:val="0"/>
        <w:spacing w:after="0" w:line="240" w:lineRule="auto"/>
        <w:ind w:left="567"/>
        <w:jc w:val="both"/>
        <w:rPr>
          <w:iCs/>
        </w:rPr>
      </w:pPr>
      <w:r>
        <w:t>„</w:t>
      </w:r>
      <w:bookmarkStart w:id="76" w:name="point37"/>
      <w:r>
        <w:t>37</w:t>
      </w:r>
      <w:bookmarkEnd w:id="76"/>
      <w:r>
        <w:t xml:space="preserve">. Należy jednak zauważyć, że usługa taka jak rozpatrywana w postępowaniu głównym jest czymś więcej niż usługą pośrednictwa polegającą na łączeniu, za pomocą aplikacji na smartfony, kierowcy niezawodowego używającego własnego pojazdu z osobą, która chce odbyć podróż miejską”.</w:t>
      </w:r>
    </w:p>
    <w:p w14:paraId="6F022088" w14:textId="77777777">
      <w:pPr>
        <w:widowControl w:val="0"/>
        <w:tabs>
          <w:tab w:val="left" w:pos="446"/>
        </w:tabs>
        <w:autoSpaceDE w:val="0"/>
        <w:autoSpaceDN w:val="0"/>
        <w:spacing w:after="0" w:line="240" w:lineRule="auto"/>
        <w:ind w:left="567"/>
        <w:jc w:val="both"/>
        <w:rPr>
          <w:rFonts w:ascii="Times New Roman" w:hAnsi="Times New Roman" w:cs="Times New Roman" w:eastAsia="Times New Roman"/>
          <w:i/>
          <w:iCs/>
          <w:sz w:val="20"/>
          <w:szCs w:val="16"/>
        </w:rPr>
      </w:pPr>
    </w:p>
    <w:p w14:paraId="311F194E" w14:textId="26FAB3A7">
      <w:pPr>
        <w:pStyle w:val="P68B1DB1-Normal15"/>
        <w:widowControl w:val="0"/>
        <w:tabs>
          <w:tab w:val="left" w:pos="446"/>
        </w:tabs>
        <w:autoSpaceDE w:val="0"/>
        <w:autoSpaceDN w:val="0"/>
        <w:spacing w:after="0" w:line="240" w:lineRule="auto"/>
        <w:ind w:left="567"/>
        <w:jc w:val="both"/>
      </w:pPr>
      <w:r>
        <w:t xml:space="preserve">„39. Z informacji, którymi dysponuje Trybunał, wynika w tym względzie, że usługa pośrednictwa świadczona przez przedsiębiorstwo Uber polega na selekcjonowaniu właścicieli pojazdów niebędących zawodowymi kierowcami, którym przedsiębiorstwo to dostarcza aplikację, bez której, po pierwsze, kierowcy ci nie świadczyliby usług przewozowych, a po drugie, osoby chcące przebyć trasę miejską nie miałyby dostępu do usług owych kierowców. Co więcej, Uber wywiera decydujący wpływ na warunki, na jakich kierowcy ci świadczą usługi. Co się tyczy tej ostatniej kwestii, okazuje się w szczególności, że Uber określa – za pomocą aplikacji o tej samej nazwie – przynajmniej maksymalną cenę danego przewozu, że przedsiębiorstwo to pobiera tę cenę od klienta, a następnie przekazuje jej część właścicielowi pojazdu niebędącemu zawodowym kierowcą i że sprawuje ono pewną kontrolę w odniesieniu do jakości pojazdów i ich kierowców, a także do zachowania tych ostatnich, przy czym kontrola taka może w stosownym wypadku skutkować wykluczeniem danego kierowcy ze świadczenia usług przewozowych.</w:t>
      </w:r>
    </w:p>
    <w:p w14:paraId="111A8FD1" w14:textId="77777777">
      <w:pPr>
        <w:pStyle w:val="P68B1DB1-Normal15"/>
        <w:widowControl w:val="0"/>
        <w:tabs>
          <w:tab w:val="left" w:pos="446"/>
        </w:tabs>
        <w:autoSpaceDE w:val="0"/>
        <w:autoSpaceDN w:val="0"/>
        <w:spacing w:after="0" w:line="240" w:lineRule="auto"/>
        <w:ind w:left="567"/>
        <w:jc w:val="both"/>
      </w:pPr>
    </w:p>
    <w:p w14:paraId="430C0D88" w14:textId="0D13D8D2">
      <w:pPr>
        <w:pStyle w:val="P68B1DB1-Normal15"/>
        <w:widowControl w:val="0"/>
        <w:tabs>
          <w:tab w:val="left" w:pos="446"/>
        </w:tabs>
        <w:autoSpaceDE w:val="0"/>
        <w:autoSpaceDN w:val="0"/>
        <w:spacing w:after="0" w:line="240" w:lineRule="auto"/>
        <w:ind w:left="567"/>
        <w:jc w:val="both"/>
      </w:pPr>
      <w:r>
        <w:t xml:space="preserve">40. Tę usługę pośrednictwa należy zatem uznać za integralną część złożonej usługi, której głównym elementem jest usługa przewozowa, wobec czego należy zakwalifikować ją nie jako „usługę społeczeństwa informacyjnego” w rozumieniu art. 1 pkt 2 dyrektywy 98/34, do którego odsyła art. 2 lit. a) dyrektywy 2000/31, ale jako „usługę w dziedzinie transportu” w rozumieniu art. 2 ust. 2 lit. d) dyrektywy 2006/123.</w:t>
      </w:r>
    </w:p>
    <w:p w14:paraId="406FF49F" w14:textId="77777777">
      <w:pPr>
        <w:pStyle w:val="P68B1DB1-Normal15"/>
        <w:widowControl w:val="0"/>
        <w:tabs>
          <w:tab w:val="left" w:pos="446"/>
        </w:tabs>
        <w:autoSpaceDE w:val="0"/>
        <w:autoSpaceDN w:val="0"/>
        <w:spacing w:after="0" w:line="240" w:lineRule="auto"/>
        <w:ind w:left="567"/>
        <w:jc w:val="both"/>
      </w:pPr>
    </w:p>
    <w:p w14:paraId="048208D6" w14:textId="0944F089">
      <w:pPr>
        <w:pStyle w:val="P68B1DB1-Normal15"/>
        <w:widowControl w:val="0"/>
        <w:tabs>
          <w:tab w:val="left" w:pos="446"/>
        </w:tabs>
        <w:autoSpaceDE w:val="0"/>
        <w:autoSpaceDN w:val="0"/>
        <w:spacing w:after="0" w:line="240" w:lineRule="auto"/>
        <w:ind w:left="567"/>
        <w:jc w:val="both"/>
        <w:rPr>
          <w:iCs/>
        </w:rPr>
      </w:pPr>
      <w:r>
        <w:t xml:space="preserve">41. Taką kwalifikację potwierdza orzecznictwo Trybunału, zgodnie z którym pojęcie „usług w dziedzinie transportu” obejmuje nie tylko usługi transportowe same w sobie, ale również każdą usługę nierozerwalnie związaną z każdą czynnością fizyczną polegającą na przemieszczaniu osób lub towarów z jednego miejsca do drugiego środkami transportu [zob. podobnie wyrok z dnia 15 października 2015 r., Grupo Itevelesa i in., C-168/14, EU:C:2015:685, pkt 45, 46; a także opinia 2/15 (Umowa o wolnym handlu z Singapurem) z dnia 16 maja 2017 r., EU:C:2017:376, pkt 61].</w:t>
      </w:r>
    </w:p>
    <w:p w14:paraId="058FA7B6" w14:textId="77777777">
      <w:pPr>
        <w:spacing w:after="0" w:line="240" w:lineRule="auto"/>
      </w:pPr>
    </w:p>
    <w:p w14:paraId="21433E65" w14:textId="390C959B">
      <w:pPr>
        <w:pStyle w:val="P68B1DB1-Normal13"/>
        <w:widowControl w:val="0"/>
        <w:autoSpaceDE w:val="0"/>
        <w:autoSpaceDN w:val="0"/>
        <w:spacing w:after="0" w:line="240" w:lineRule="auto"/>
        <w:jc w:val="both"/>
        <w:outlineLvl w:val="1"/>
      </w:pPr>
      <w:hyperlink r:id="rId51" w:history="1">
        <w:r>
          <w:rPr>
            <w:color w:val="0000FF"/>
            <w:u w:val="single"/>
          </w:rPr>
          <w:t xml:space="preserve">Wyrok z dnia 10 kwietnia 2018</w:t>
        </w:r>
      </w:hyperlink>
      <w:r>
        <w:t xml:space="preserve"> r., Uber France,</w:t>
        <w:noBreakHyphen/>
        <w:t xml:space="preserve">C 320/16, EU:C:2018:221, pkt 21, 22</w:t>
      </w:r>
      <w:bookmarkEnd w:id="77"/>
    </w:p>
    <w:p w14:paraId="2BBD650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1778BB" w14:textId="6B5C30AB">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Przepis prawa krajowego, który nakłada sankcje karne za organizację systemu łączącego klientów z kierowcami bez wymaganego zezwolenia, dotyczy „usługi w dziedzinie transportu” (a nie „usługi społeczeństwa informacyjnego”), o ile usługa pośrednictwa, do której ma on zastosowanie, stanowi integralną część ogólnej usługi, której głównym elementem jest usługa transportowa.</w:t>
      </w:r>
    </w:p>
    <w:p w14:paraId="484E7398" w14:textId="77777777">
      <w:pPr>
        <w:widowControl w:val="0"/>
        <w:autoSpaceDE w:val="0"/>
        <w:autoSpaceDN w:val="0"/>
        <w:spacing w:after="0" w:line="240" w:lineRule="auto"/>
        <w:jc w:val="both"/>
        <w:rPr>
          <w:rFonts w:ascii="Times New Roman" w:hAnsi="Times New Roman" w:cs="Times New Roman" w:eastAsia="Times New Roman"/>
          <w:szCs w:val="20"/>
        </w:rPr>
      </w:pPr>
    </w:p>
    <w:p w14:paraId="279EDA7F" w14:textId="32F45CF2">
      <w:pPr>
        <w:pStyle w:val="P68B1DB1-Normal15"/>
        <w:widowControl w:val="0"/>
        <w:autoSpaceDE w:val="0"/>
        <w:autoSpaceDN w:val="0"/>
        <w:spacing w:after="0" w:line="240" w:lineRule="auto"/>
        <w:ind w:left="567"/>
        <w:jc w:val="both"/>
      </w:pPr>
      <w:r>
        <w:t xml:space="preserve">„21. [...] Trybunał stwierdził, że usługa pośrednictwa świadczona przez daną spółkę jest nierozerwalnie związana z ofertą tej spółki dotyczącą niepublicznych usług miejskiego transportu miejskiego, ponieważ, po pierwsze, spółka ta złożyła wniosek, bez którego kierowcy ci nie byliby zmuszeni do świadczenia usług transportowych, a osoby, które chciały odbyć podróż miejską, nie korzystałyby z usług świadczonych przez tych kierowców, a po drugie, spółka ta wywierała decydujący wpływ na warunki świadczenia usług przez tych kierowców, w szczególności poprzez określenie taryfy maksymalnej, pobieranie tej opłaty od klienta przed zapłatą jej części na rzecz niezawodowego kierowcy pojazdu oraz sprawowanie pewnej kontroli nad jakością pojazdów, kierowców i ich zachowania, co może w pewnych okolicznościach prowadzić do ich wykluczenia (zob. podobnie wyrok z dnia 20 grudnia 2017 r., Asociación Profesional Elite Taxi, C-434/15, EU:C:2017:981, pkt 38, 39).</w:t>
      </w:r>
    </w:p>
    <w:p w14:paraId="14310B36" w14:textId="77777777">
      <w:pPr>
        <w:pStyle w:val="P68B1DB1-Normal15"/>
        <w:widowControl w:val="0"/>
        <w:autoSpaceDE w:val="0"/>
        <w:autoSpaceDN w:val="0"/>
        <w:spacing w:after="0" w:line="240" w:lineRule="auto"/>
        <w:ind w:left="567"/>
        <w:jc w:val="both"/>
      </w:pPr>
    </w:p>
    <w:p w14:paraId="5AB6B3C6" w14:textId="7B9B1FC8">
      <w:pPr>
        <w:pStyle w:val="P68B1DB1-Normal15"/>
        <w:widowControl w:val="0"/>
        <w:autoSpaceDE w:val="0"/>
        <w:autoSpaceDN w:val="0"/>
        <w:spacing w:after="0" w:line="240" w:lineRule="auto"/>
        <w:ind w:left="567"/>
        <w:jc w:val="both"/>
        <w:rPr>
          <w:iCs/>
        </w:rPr>
      </w:pPr>
      <w:r>
        <w:t xml:space="preserve">22. Na podstawie tych okoliczności Trybunał stwierdził, że usługę pośrednictwa rozpatrywaną w tej sprawie należy uznać za integralną część całościowej usługi, której głównym elementem jest usługa transportowa, a zatem nie jako „usługę społeczeństwa informacyjnego” w rozumieniu art. 1 pkt 2 dyrektywy 98/34, lecz za „usługę w dziedzinie transportu” w rozumieniu art. 2 ust. 2 lit. d) dyrektywy 2006/123 (zob. podobnie wyrok z dnia 20 grudnia 2017 r., Asociación Profesional Elite Taxi, C-434/15, EU:C:2017:981, pkt 40).”</w:t>
      </w:r>
    </w:p>
    <w:p w14:paraId="061F40AB" w14:textId="77777777">
      <w:pPr>
        <w:spacing w:after="0" w:line="240" w:lineRule="auto"/>
      </w:pPr>
    </w:p>
    <w:p w14:paraId="3262279E" w14:textId="468F0EDF">
      <w:pPr>
        <w:pStyle w:val="P68B1DB1-Normal13"/>
        <w:widowControl w:val="0"/>
        <w:autoSpaceDE w:val="0"/>
        <w:autoSpaceDN w:val="0"/>
        <w:spacing w:after="0" w:line="240" w:lineRule="auto"/>
        <w:jc w:val="both"/>
        <w:outlineLvl w:val="1"/>
      </w:pPr>
      <w:hyperlink r:id="rId52" w:history="1">
        <w:r>
          <w:rPr>
            <w:color w:val="0000FF"/>
            <w:u w:val="single"/>
          </w:rPr>
          <w:t xml:space="preserve">Wyrok z dnia 26 września 2018</w:t>
        </w:r>
      </w:hyperlink>
      <w:r>
        <w:t xml:space="preserve"> r., Van Gennip i in., C-137/17, EU:C:2018:771, pkt 42, 43</w:t>
      </w:r>
      <w:bookmarkEnd w:id="78"/>
    </w:p>
    <w:p w14:paraId="7A96B26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0CD5B8C" w14:textId="4108D99A">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Przepisy krajowe uzależniające wprowadzenie do obrotu produktów od posiadania przez nabywcę zezwolenia nie wchodzą w zakres pojęcia „zasady dotyczącej usług”, ponieważ nie dotyczą one „usług społeczeństwa informacyjnego”.</w:t>
      </w:r>
    </w:p>
    <w:p w14:paraId="5542E2DA"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725B02E1" w14:textId="700F7E6F">
      <w:pPr>
        <w:pStyle w:val="P68B1DB1-Normal15"/>
        <w:widowControl w:val="0"/>
        <w:tabs>
          <w:tab w:val="left" w:pos="404"/>
        </w:tabs>
        <w:autoSpaceDE w:val="0"/>
        <w:autoSpaceDN w:val="0"/>
        <w:spacing w:after="0" w:line="240" w:lineRule="auto"/>
        <w:ind w:left="567"/>
        <w:jc w:val="both"/>
      </w:pPr>
      <w:r>
        <w:t xml:space="preserve">„42. W trzeciej kolejności, w odniesieniu do kategorii „zasady dotyczącej usług” należy przypomnieć, że zgodnie z art. 1 pkt 5 dyrektywy 98/34 taką zasadę stanowi każdy wymóg o charakterze ogólnym odnoszący się do podejmowania działalności usługowych, wskazanych w art. 1 pkt 2 tejże dyrektywy, które oznaczają „każdą usługę społeczeństwa informacyjnego, to znaczy każdą usługę normalnie świadczoną za wynagrodzeniem, na odległość, drogą elektroniczną i na indywidualne żądanie odbiorcy” (wyrok z dnia 4 lutego 2016 r., Ince, C-336/14, EU:C:2016:72, pkt 74).</w:t>
      </w:r>
    </w:p>
    <w:p w14:paraId="288A6CC6" w14:textId="77777777">
      <w:pPr>
        <w:pStyle w:val="P68B1DB1-Normal15"/>
        <w:widowControl w:val="0"/>
        <w:tabs>
          <w:tab w:val="left" w:pos="404"/>
        </w:tabs>
        <w:autoSpaceDE w:val="0"/>
        <w:autoSpaceDN w:val="0"/>
        <w:spacing w:after="0" w:line="240" w:lineRule="auto"/>
        <w:ind w:left="567"/>
        <w:jc w:val="both"/>
      </w:pPr>
    </w:p>
    <w:p w14:paraId="3C78C196" w14:textId="64CBA9D2">
      <w:pPr>
        <w:pStyle w:val="P68B1DB1-Normal15"/>
        <w:widowControl w:val="0"/>
        <w:tabs>
          <w:tab w:val="left" w:pos="404"/>
        </w:tabs>
        <w:autoSpaceDE w:val="0"/>
        <w:autoSpaceDN w:val="0"/>
        <w:spacing w:after="0" w:line="240" w:lineRule="auto"/>
        <w:ind w:left="567"/>
        <w:jc w:val="both"/>
        <w:rPr>
          <w:iCs/>
        </w:rPr>
      </w:pPr>
      <w:r>
        <w:t xml:space="preserve">43. W niniejszym przypadku należy stwierdzić, jak zauważył rzecznik generalny w pkt 73 opinii, że rozpatrywane w postępowaniu głównym uregulowanie nie dotyczy usług społeczeństwa informacyjnego w rozumieniu art. 1 pkt 2 dyrektywy 98/34. W związku z tym przepisy te nie mogą wchodzić w zakres kategorii „zasady dotyczącej usług” społeczeństwa informacyjnego w rozumieniu art. 1 pkt 5 tej dyrektywy”.</w:t>
      </w:r>
    </w:p>
    <w:p w14:paraId="09A4A6F8" w14:textId="77777777">
      <w:pPr>
        <w:spacing w:after="0" w:line="240" w:lineRule="auto"/>
      </w:pPr>
    </w:p>
    <w:p w14:paraId="037D644A" w14:textId="0A9F4072">
      <w:pPr>
        <w:pStyle w:val="P68B1DB1-Normal13"/>
        <w:widowControl w:val="0"/>
        <w:autoSpaceDE w:val="0"/>
        <w:autoSpaceDN w:val="0"/>
        <w:spacing w:after="0" w:line="240" w:lineRule="auto"/>
        <w:jc w:val="both"/>
        <w:outlineLvl w:val="1"/>
      </w:pPr>
      <w:hyperlink r:id="rId53" w:history="1">
        <w:r>
          <w:rPr>
            <w:color w:val="0000FF"/>
            <w:u w:val="single"/>
          </w:rPr>
          <w:t xml:space="preserve">Wyrok z dnia 12 września 2019</w:t>
        </w:r>
      </w:hyperlink>
      <w:r>
        <w:t xml:space="preserve"> r., VG Media, C-299/17, EU:C:2019:716, pkt 32, 33, 36</w:t>
      </w:r>
      <w:bookmarkEnd w:id="79"/>
    </w:p>
    <w:p w14:paraId="7C7D0A2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D8C5548"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Przepis krajowy zakazujący komercyjnym operatorom wyszukiwarek i dostawcom usług w zakresie treści komercyjnych publicznego udostępniania gazet stanowi „przepis techniczny” i musi zostać zgłoszony Komisji.</w:t>
      </w:r>
    </w:p>
    <w:p w14:paraId="0BB0ABF6" w14:textId="77777777">
      <w:pPr>
        <w:widowControl w:val="0"/>
        <w:autoSpaceDE w:val="0"/>
        <w:autoSpaceDN w:val="0"/>
        <w:spacing w:after="0" w:line="240" w:lineRule="auto"/>
        <w:jc w:val="both"/>
        <w:rPr>
          <w:rFonts w:ascii="Times New Roman" w:hAnsi="Times New Roman" w:cs="Times New Roman" w:eastAsia="Times New Roman"/>
          <w:szCs w:val="20"/>
        </w:rPr>
      </w:pPr>
    </w:p>
    <w:p w14:paraId="358DF62E" w14:textId="3E77F068">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Uznaje się, że przepis dotyczy konkretnie „usług społeczeństwa informacyjnego”, jeżeli niektóre przepisy służą temu celowi, nawet jeśli nie jest to cel wyłączny. Cel ten można wywieść z uzasadnienia wskazanego przepisu, które może znaleźć się w pracach przygotowawczych, nawet jeśli nie wynikają one wyraźnie z samego brzmienia normy.</w:t>
      </w:r>
    </w:p>
    <w:p w14:paraId="2BFD5FE9" w14:textId="77777777">
      <w:pPr>
        <w:widowControl w:val="0"/>
        <w:autoSpaceDE w:val="0"/>
        <w:autoSpaceDN w:val="0"/>
        <w:spacing w:after="0" w:line="240" w:lineRule="auto"/>
        <w:jc w:val="both"/>
        <w:rPr>
          <w:rFonts w:ascii="Times New Roman" w:hAnsi="Times New Roman" w:cs="Times New Roman" w:eastAsia="Times New Roman"/>
          <w:szCs w:val="20"/>
        </w:rPr>
      </w:pPr>
    </w:p>
    <w:p w14:paraId="2032E553" w14:textId="2A9A7661">
      <w:pPr>
        <w:pStyle w:val="P68B1DB1-Normal15"/>
        <w:widowControl w:val="0"/>
        <w:autoSpaceDE w:val="0"/>
        <w:autoSpaceDN w:val="0"/>
        <w:spacing w:after="0" w:line="240" w:lineRule="auto"/>
        <w:ind w:left="567"/>
        <w:jc w:val="both"/>
      </w:pPr>
      <w:r>
        <w:t xml:space="preserve">„32. W tym względzie należy zauważyć, że zgodnie z art. 1 pkt 5 akapit piąty tiret pierwsze tej dyrektywy zasadę uznaje się za dotyczącą konkretnie usług społeczeństwa informacyjnego w świetle zarówno jej uzasadnienia, jak i treści jej dyspozycji. Ponadto na podstawie tego przepisu nie jest wymagane, aby „konkretnym celem i przedmiotem” danej zasady w całości było uregulowanie usług społeczeństwa informacyjnego, ponieważ wystarcza, aby zasada ta realizowała ten cel lub przedmiot w niektórych jej postanowieniach (wyrok z dnia 20 grudnia 2017 r., Falbert i in., C-255/16, EU:C:2017:983, pkt 32).</w:t>
      </w:r>
    </w:p>
    <w:p w14:paraId="5B946C01" w14:textId="77777777">
      <w:pPr>
        <w:pStyle w:val="P68B1DB1-Normal15"/>
        <w:widowControl w:val="0"/>
        <w:autoSpaceDE w:val="0"/>
        <w:autoSpaceDN w:val="0"/>
        <w:spacing w:after="0" w:line="240" w:lineRule="auto"/>
        <w:ind w:left="567"/>
        <w:jc w:val="both"/>
      </w:pPr>
    </w:p>
    <w:p w14:paraId="6C09ADB6" w14:textId="15077D61">
      <w:pPr>
        <w:pStyle w:val="P68B1DB1-Normal15"/>
        <w:widowControl w:val="0"/>
        <w:autoSpaceDE w:val="0"/>
        <w:autoSpaceDN w:val="0"/>
        <w:spacing w:after="0" w:line="240" w:lineRule="auto"/>
        <w:ind w:left="567"/>
        <w:jc w:val="both"/>
        <w:rPr>
          <w:iCs/>
        </w:rPr>
      </w:pPr>
      <w:r>
        <w:t xml:space="preserve">33. Ponadto, nawet jeśli z samego brzmienia przepisu krajowego nie wynika, że jego celem jest, przynajmniej częściowo, szczególne uregulowanie usług społeczeństwa informacyjnego, cel ten może jednak wynikać dość łatwo z uzasadnienia wskazanego przepisu, jak wynika z właściwych krajowych przepisów interpretacyjnych w tym względzie, w szczególności z prac przygotowawczych nad tą zasadą (zob. podobnie wyrok z dnia 20 grudnia 2017 r., Falbert i in., C-255/16, EU:C:2017:983, pkt 33).”</w:t>
      </w:r>
    </w:p>
    <w:p w14:paraId="4A5A1EDF"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7E5F1F4F" w14:textId="288395A0">
      <w:pPr>
        <w:pStyle w:val="P68B1DB1-Normal15"/>
        <w:widowControl w:val="0"/>
        <w:autoSpaceDE w:val="0"/>
        <w:autoSpaceDN w:val="0"/>
        <w:spacing w:after="0" w:line="240" w:lineRule="auto"/>
        <w:ind w:left="567"/>
        <w:jc w:val="both"/>
        <w:rPr>
          <w:iCs/>
        </w:rPr>
      </w:pPr>
      <w:r>
        <w:t>„</w:t>
      </w:r>
      <w:bookmarkStart w:id="80" w:name="point36"/>
      <w:r>
        <w:t>36</w:t>
      </w:r>
      <w:bookmarkEnd w:id="80"/>
      <w:r>
        <w:t xml:space="preserve">. Choć bowiem sąd odsyłający nie dostarcza jasnych wskazówek co do konkretnego celu i przedmiotu uregulowania krajowego rozpatrywanego w postępowaniu głównym, to z uwag przedstawionych przez rząd niemiecki na rozprawie przed Trybunałem wynika, że początkowo zmiana UrhG dotyczyła konkretnie operatorów wyszukiwarek internetowych. Ponadto strony w postępowaniu głównym oraz Komisja wskazują w uwagach na piśmie, że celem tego uregulowania była ochrona uzasadnionych interesów wydawców prasy w przestrzeni cyfrowej. W związku z tym jest widoczne, że głównym przedmiotem i celem rozpatrywanego w postępowaniu głównym przepisu krajowego była ochrona tych wydawców przed naruszeniami prawa autorskiego przez wyszukiwarki internetowe. W tym kontekście ochrona wydaje się konieczna jedynie w przypadku systematycznych naruszeń utworów wydawców internetowych przez dostawców usług społeczeństwa informacyjnego”.</w:t>
      </w:r>
    </w:p>
    <w:p w14:paraId="5918FFD9" w14:textId="77777777">
      <w:pPr>
        <w:spacing w:after="0" w:line="240" w:lineRule="auto"/>
      </w:pPr>
    </w:p>
    <w:p w14:paraId="76F47905" w14:textId="651D9AB2">
      <w:pPr>
        <w:pStyle w:val="P68B1DB1-Normal13"/>
        <w:spacing w:after="0" w:line="240" w:lineRule="auto"/>
      </w:pPr>
      <w:hyperlink r:id="rId54" w:history="1">
        <w:r>
          <w:rPr>
            <w:color w:val="0000FF"/>
            <w:u w:val="single"/>
          </w:rPr>
          <w:t xml:space="preserve">Wyrok z dnia 19 grudnia 2019</w:t>
        </w:r>
      </w:hyperlink>
      <w:r>
        <w:t xml:space="preserve"> r., Airbnb Ireland,</w:t>
        <w:noBreakHyphen/>
        <w:t xml:space="preserve">C 390/18, EU:C:2019:1112, pkt 64–68 i 99.</w:t>
      </w:r>
    </w:p>
    <w:p w14:paraId="1BD3BE16" w14:textId="77777777">
      <w:pPr>
        <w:widowControl w:val="0"/>
        <w:autoSpaceDE w:val="0"/>
        <w:autoSpaceDN w:val="0"/>
        <w:spacing w:after="0" w:line="240" w:lineRule="auto"/>
        <w:jc w:val="both"/>
        <w:rPr>
          <w:rFonts w:ascii="Times New Roman" w:hAnsi="Times New Roman" w:cs="Times New Roman" w:eastAsia="Times New Roman"/>
          <w:szCs w:val="20"/>
        </w:rPr>
      </w:pPr>
    </w:p>
    <w:p w14:paraId="5CA625E2"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Usługa pośrednictwa łącząca klientów z wynajmującymi oferującymi krótkoterminowe zakwaterowanie za pośrednictwem platformy elektronicznej, podczas gdy świadczy usługi pomocnicze, stanowi „usługę społeczeństwa informacyjnego”, ponieważ usługi dodatkowe nie wywierają znaczącego wpływu na świadczenie usług zakwaterowania.</w:t>
      </w:r>
    </w:p>
    <w:p w14:paraId="6D083E5E" w14:textId="77777777">
      <w:pPr>
        <w:widowControl w:val="0"/>
        <w:autoSpaceDE w:val="0"/>
        <w:autoSpaceDN w:val="0"/>
        <w:spacing w:after="0" w:line="240" w:lineRule="auto"/>
        <w:jc w:val="both"/>
        <w:rPr>
          <w:rFonts w:ascii="Times New Roman" w:hAnsi="Times New Roman" w:cs="Times New Roman" w:eastAsia="Times New Roman"/>
          <w:szCs w:val="20"/>
        </w:rPr>
      </w:pPr>
    </w:p>
    <w:p w14:paraId="42B56B92" w14:textId="704D923C">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Aby usługę można było zakwalifikować jako „usługę społeczeństwa informacyjnego”, musi ona spełniać łącznie cztery warunki: należy je zapewnić za wynagrodzeniem, na odległość, drogą elektroniczną i na indywidualne żądanie odbiorcy.</w:t>
      </w:r>
    </w:p>
    <w:p w14:paraId="1136EA60" w14:textId="77777777">
      <w:pPr>
        <w:widowControl w:val="0"/>
        <w:autoSpaceDE w:val="0"/>
        <w:autoSpaceDN w:val="0"/>
        <w:spacing w:after="0" w:line="240" w:lineRule="auto"/>
        <w:jc w:val="both"/>
        <w:rPr>
          <w:rFonts w:ascii="Times New Roman" w:hAnsi="Times New Roman" w:cs="Times New Roman" w:eastAsia="Times New Roman"/>
          <w:szCs w:val="20"/>
        </w:rPr>
      </w:pPr>
    </w:p>
    <w:p w14:paraId="6389A1A6" w14:textId="0A8C6391">
      <w:pPr>
        <w:pStyle w:val="P68B1DB1-Normal15"/>
        <w:widowControl w:val="0"/>
        <w:autoSpaceDE w:val="0"/>
        <w:autoSpaceDN w:val="0"/>
        <w:spacing w:after="0" w:line="240" w:lineRule="auto"/>
        <w:ind w:left="567"/>
        <w:jc w:val="both"/>
      </w:pPr>
      <w:r>
        <w:t xml:space="preserve">„64. Nawet rozpatrywane łącznie świadczenia (opcjonalne lub nie) świadczone przez Airbnb Ireland i przywołane w pkt 59–63 do niniejszego wyroku, nie pozwalają podważyć możliwości oddzielenia świadczonej przez tę spółkę usługi pośrednictwa i, w związku z tym, jej kwalifikacji jako „usługa społeczeństwa informacyjnego”, ponieważ zanegowanie tej możliwości spowodowałoby istotną zmianę charakterystycznych cech tej usługi. Paradoksalne byłoby również gdyby tego rodzaju dodatkowe usługi, stanowiące wartość dodaną i świadczone przez platformę elektroniczną na rzecz jej klientów, w szczególności w celu odróżnienia się od konkurentów, mogłyby, przy braku dodatkowych elementów, prowadzić do zmiany charakteru, a w konsekwencji kwalifikacji prawnej działalności tych ostatnich, jak zauważył rzecznik generalny w pkt 46 jego opinii.</w:t>
      </w:r>
    </w:p>
    <w:p w14:paraId="320B5232" w14:textId="77777777">
      <w:pPr>
        <w:pStyle w:val="P68B1DB1-Normal15"/>
        <w:widowControl w:val="0"/>
        <w:autoSpaceDE w:val="0"/>
        <w:autoSpaceDN w:val="0"/>
        <w:spacing w:after="0" w:line="240" w:lineRule="auto"/>
        <w:ind w:left="567"/>
        <w:jc w:val="both"/>
      </w:pPr>
    </w:p>
    <w:p w14:paraId="775D096C" w14:textId="35786B0F">
      <w:pPr>
        <w:pStyle w:val="P68B1DB1-Normal15"/>
        <w:widowControl w:val="0"/>
        <w:autoSpaceDE w:val="0"/>
        <w:autoSpaceDN w:val="0"/>
        <w:spacing w:after="0" w:line="240" w:lineRule="auto"/>
        <w:ind w:left="567"/>
        <w:jc w:val="both"/>
      </w:pPr>
      <w:r>
        <w:t xml:space="preserve">65. Ponadto, wbrew twierdzeniu AHTOP i rządu francuskiego, zasady funkcjonowania usługi pośrednictwa, takiej jak usługa świadczona przez Airbnb Ireland, nie mogą być porównywane z zasadami funkcjonowania usługi pośrednictwa, której dotyczyły wyroki z dnia 20 grudnia 2017 r., Asociación Profesional Elite Taxi (C-434/15, EU:C:2017:981, pkt 39) i z dnia 10 kwietnia 2018 r., Uber France (C-320/16, EU:C:2018:221, pkt 21).</w:t>
      </w:r>
    </w:p>
    <w:p w14:paraId="473F7C74" w14:textId="77777777">
      <w:pPr>
        <w:pStyle w:val="P68B1DB1-Normal15"/>
        <w:widowControl w:val="0"/>
        <w:autoSpaceDE w:val="0"/>
        <w:autoSpaceDN w:val="0"/>
        <w:spacing w:after="0" w:line="240" w:lineRule="auto"/>
        <w:ind w:left="567"/>
        <w:jc w:val="both"/>
      </w:pPr>
    </w:p>
    <w:p w14:paraId="699650AB" w14:textId="336149BD">
      <w:pPr>
        <w:pStyle w:val="P68B1DB1-Normal15"/>
        <w:widowControl w:val="0"/>
        <w:autoSpaceDE w:val="0"/>
        <w:autoSpaceDN w:val="0"/>
        <w:spacing w:after="0" w:line="240" w:lineRule="auto"/>
        <w:ind w:left="567"/>
        <w:jc w:val="both"/>
      </w:pPr>
      <w:r>
        <w:t xml:space="preserve">66. Poza tym, że wyroki te zostały wydane w specyficznym kontekście miejskiego transportu pasażerskiego, do którego zastosowanie ma art. 58 ust. 1 TFUE, oraz że usługi świadczone przez Airbnb Ireland nie są porównywalne z usługami, których dotyczyły rzeczone wyroki, usługi dodatkowe, o których mowa w pkt 59–63 niniejszego wyroku, nie pozwalają na wykazanie poziomu kontroli stwierdzonego przez Trybunał w przywołanych wyrokach.</w:t>
      </w:r>
    </w:p>
    <w:p w14:paraId="46A1AADB" w14:textId="77777777">
      <w:pPr>
        <w:pStyle w:val="P68B1DB1-Normal15"/>
        <w:widowControl w:val="0"/>
        <w:autoSpaceDE w:val="0"/>
        <w:autoSpaceDN w:val="0"/>
        <w:spacing w:after="0" w:line="240" w:lineRule="auto"/>
        <w:ind w:left="567"/>
        <w:jc w:val="both"/>
      </w:pPr>
    </w:p>
    <w:p w14:paraId="43245B44" w14:textId="73F9E124">
      <w:pPr>
        <w:pStyle w:val="P68B1DB1-Normal15"/>
        <w:widowControl w:val="0"/>
        <w:autoSpaceDE w:val="0"/>
        <w:autoSpaceDN w:val="0"/>
        <w:spacing w:after="0" w:line="240" w:lineRule="auto"/>
        <w:ind w:left="567"/>
        <w:jc w:val="both"/>
      </w:pPr>
      <w:r>
        <w:t xml:space="preserve">67. Trybunał stwierdził w tym względzie, że Uber wywiera decydujący wpływ na warunki świadczenia usługi transportu przez kierowców niebędących kierowcami zawodowymi korzystając z aplikacji udostępnianej im przez to przedsiębiorstwo (wyroki: z dnia 20 grudnia 2017 r., Asociación Profesional Elite Taxi, C-434/15, EU:C:2017:981, pkt 39 oraz z dnia 10 kwietnia 2018 r., Uber France, C-320/16, EU:C:2018:221, pkt 21).</w:t>
      </w:r>
    </w:p>
    <w:p w14:paraId="64CE1305" w14:textId="77777777">
      <w:pPr>
        <w:pStyle w:val="P68B1DB1-Normal15"/>
        <w:widowControl w:val="0"/>
        <w:autoSpaceDE w:val="0"/>
        <w:autoSpaceDN w:val="0"/>
        <w:spacing w:after="0" w:line="240" w:lineRule="auto"/>
        <w:ind w:left="567"/>
        <w:jc w:val="both"/>
      </w:pPr>
    </w:p>
    <w:p w14:paraId="44EC953C" w14:textId="0BF6EC00">
      <w:pPr>
        <w:pStyle w:val="P68B1DB1-Normal15"/>
        <w:widowControl w:val="0"/>
        <w:autoSpaceDE w:val="0"/>
        <w:autoSpaceDN w:val="0"/>
        <w:spacing w:after="0" w:line="240" w:lineRule="auto"/>
        <w:ind w:left="567"/>
        <w:jc w:val="both"/>
      </w:pPr>
      <w:r>
        <w:t xml:space="preserve">68. Okoliczności przywołane przez sąd odsyłający i przypomniane w pkt 19 niniejszego wyroku nie pozwalają na ustalenie, że Airbnb Ireland wywiera tak decydujący wpływ na warunki świadczenia usług zakwaterowania, do których odnosi się jej usługa pośrednictwa, tym bardziej że Airbnb Ireland nie określa, bezpośrednio ani pośrednio, ceny najmu ustalonej w pkt 56 i 62 niniejszego wyroku, tym bardziej że wybiera ona wynajmujących lub wynajmowanych na jej platformie lokali mieszkalnych”.</w:t>
      </w:r>
    </w:p>
    <w:p w14:paraId="4325E66E"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2005D651" w14:textId="190F88B2">
      <w:pPr>
        <w:pStyle w:val="P68B1DB1-Normal15"/>
        <w:widowControl w:val="0"/>
        <w:autoSpaceDE w:val="0"/>
        <w:autoSpaceDN w:val="0"/>
        <w:spacing w:after="0" w:line="240" w:lineRule="auto"/>
        <w:ind w:left="567"/>
        <w:jc w:val="both"/>
        <w:rPr>
          <w:iCs/>
        </w:rPr>
      </w:pPr>
      <w:r>
        <w:t>„</w:t>
      </w:r>
      <w:bookmarkStart w:id="81" w:name="point99"/>
      <w:r>
        <w:t>99</w:t>
      </w:r>
      <w:bookmarkEnd w:id="81"/>
      <w:r>
        <w:t xml:space="preserve">. Mając na uwadze, że Republika Francuska nie notyfikowała ustawy Hoguet i biorąc pod uwagę kumulatywny charakter przesłanek przewidzianych w art. 3 ust. 4 dyrektywy 2000/31, przypomnianych w pkt 84 i 85 niniejszego wyroku, należy stwierdzić, że ustawa ta nie może w żadnym razie mieć zastosowania do jednostki znajdującej się w sytuacji takiej jak sytuacja Airbnb Ireland w postępowaniu głównym, niezależnie od tego, czy ustawa ta spełnia pozostałe przesłanki przewidziane w tym przepisie”.</w:t>
      </w:r>
    </w:p>
    <w:p w14:paraId="261461B1" w14:textId="77777777">
      <w:pPr>
        <w:spacing w:after="0" w:line="240" w:lineRule="auto"/>
      </w:pPr>
    </w:p>
    <w:p w14:paraId="602C58A9" w14:textId="0E3EBA31">
      <w:pPr>
        <w:pStyle w:val="P68B1DB1-Normal13"/>
        <w:widowControl w:val="0"/>
        <w:autoSpaceDE w:val="0"/>
        <w:autoSpaceDN w:val="0"/>
        <w:spacing w:after="0" w:line="240" w:lineRule="auto"/>
        <w:jc w:val="both"/>
        <w:outlineLvl w:val="1"/>
      </w:pPr>
      <w:hyperlink r:id="rId55" w:history="1">
        <w:r>
          <w:rPr>
            <w:color w:val="0000FF"/>
            <w:u w:val="single"/>
          </w:rPr>
          <w:t xml:space="preserve">Wyrok z dnia 22 października 2020</w:t>
        </w:r>
      </w:hyperlink>
      <w:r>
        <w:t xml:space="preserve"> r., Sportingbet i Internet Opportunity Entertainment,</w:t>
        <w:noBreakHyphen/>
        <w:t xml:space="preserve">C 275/19, EU:C:2020:856, pkt 47–49</w:t>
      </w:r>
      <w:bookmarkEnd w:id="82"/>
    </w:p>
    <w:p w14:paraId="2052450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2E09A3" w14:textId="049CB57F">
      <w:pPr>
        <w:pStyle w:val="P68B1DB1-Normal14"/>
        <w:widowControl w:val="0"/>
        <w:autoSpaceDE w:val="0"/>
        <w:autoSpaceDN w:val="0"/>
        <w:spacing w:after="0" w:line="240" w:lineRule="auto"/>
        <w:jc w:val="both"/>
        <w:outlineLvl w:val="1"/>
      </w:pPr>
      <w:bookmarkStart w:id="83" w:name="_Toc198043836"/>
      <w:r>
        <w:t xml:space="preserve">Uregulowanie przyznające podmiotowi publicznemu wyłączne prawo do prowadzenia określonych gier losowych, w tym w Internecie, wchodzi w zakres definicji „przepisów dotyczących usług” w zakresie, w jakim dotyczą one usługi społeczeństwa informacyjnego.</w:t>
      </w:r>
      <w:bookmarkEnd w:id="83"/>
    </w:p>
    <w:p w14:paraId="7434769F"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312EA22E" w14:textId="5FE50AED">
      <w:pPr>
        <w:pStyle w:val="P68B1DB1-Normal15"/>
        <w:widowControl w:val="0"/>
        <w:autoSpaceDE w:val="0"/>
        <w:autoSpaceDN w:val="0"/>
        <w:spacing w:after="0" w:line="240" w:lineRule="auto"/>
        <w:ind w:left="567"/>
        <w:jc w:val="both"/>
        <w:outlineLvl w:val="1"/>
        <w:rPr>
          <w:bCs/>
        </w:rPr>
      </w:pPr>
      <w:bookmarkStart w:id="84" w:name="_Toc198043837"/>
      <w:r>
        <w:t xml:space="preserve">„47. Zgodnie z art. 1 pkt 5 wskazanej dyrektywy „zasada dotycząca usług” oznacza wszelki wymóg o charakterze ogólnym odnoszący się do podejmowania i wykonywania działalności usługowych, wskazanych w art. 1 pkt 2 tejże dyrektywy, które oznaczają „każdą usługę społeczeństwa informacyjnego, to znaczy każdą usługę normalnie świadczoną za wynagrodzeniem, na odległość, drogą elektroniczną i na indywidualne żądanie odbiorcy”.</w:t>
      </w:r>
      <w:bookmarkEnd w:id="84"/>
    </w:p>
    <w:p w14:paraId="65107F99" w14:textId="77777777">
      <w:pPr>
        <w:pStyle w:val="P68B1DB1-Normal15"/>
        <w:widowControl w:val="0"/>
        <w:autoSpaceDE w:val="0"/>
        <w:autoSpaceDN w:val="0"/>
        <w:spacing w:after="0" w:line="240" w:lineRule="auto"/>
        <w:ind w:left="567"/>
        <w:jc w:val="both"/>
        <w:outlineLvl w:val="1"/>
        <w:rPr>
          <w:bCs/>
        </w:rPr>
      </w:pPr>
    </w:p>
    <w:p w14:paraId="44FBF5F6" w14:textId="02996DEF">
      <w:pPr>
        <w:pStyle w:val="P68B1DB1-Normal15"/>
        <w:widowControl w:val="0"/>
        <w:autoSpaceDE w:val="0"/>
        <w:autoSpaceDN w:val="0"/>
        <w:spacing w:after="0" w:line="240" w:lineRule="auto"/>
        <w:ind w:left="567"/>
        <w:jc w:val="both"/>
        <w:outlineLvl w:val="1"/>
        <w:rPr>
          <w:bCs/>
        </w:rPr>
      </w:pPr>
      <w:bookmarkStart w:id="85" w:name="_Toc198043838"/>
      <w:r>
        <w:t xml:space="preserve">48. W tym względzie Trybunał orzekł już, że przepisy dotyczące zakazu oferowania gier losowych przez internet, wyjątki od tego zakazu, ograniczenia możliwości oferowania zakładów sportowych przez internet oraz zakaz rozpowszechniania reklamy gier losowych przez internet mogą zostać zakwalifikowane jako „zasady dotyczące usług” w rozumieniu art. 1 pkt 5 dyrektywy 98/34 w zakresie, w jakim dotyczą one „usługi społeczeństwa informacyjnego” w rozumieniu art. 1 pkt 2 tej dyrektywy (zob. analogicznie wyrok z dnia 4 lutego 2016 r., Ince, C-336/14, EU:C:2016:72, pkt 75).</w:t>
      </w:r>
      <w:bookmarkEnd w:id="85"/>
    </w:p>
    <w:p w14:paraId="1117AEFE" w14:textId="77777777">
      <w:pPr>
        <w:pStyle w:val="P68B1DB1-Normal15"/>
        <w:widowControl w:val="0"/>
        <w:autoSpaceDE w:val="0"/>
        <w:autoSpaceDN w:val="0"/>
        <w:spacing w:after="0" w:line="240" w:lineRule="auto"/>
        <w:ind w:left="567"/>
        <w:jc w:val="both"/>
        <w:outlineLvl w:val="1"/>
        <w:rPr>
          <w:bCs/>
        </w:rPr>
      </w:pPr>
    </w:p>
    <w:p w14:paraId="6626E676" w14:textId="509677C9">
      <w:pPr>
        <w:pStyle w:val="P68B1DB1-Normal15"/>
        <w:widowControl w:val="0"/>
        <w:autoSpaceDE w:val="0"/>
        <w:autoSpaceDN w:val="0"/>
        <w:spacing w:after="0" w:line="240" w:lineRule="auto"/>
        <w:ind w:left="567"/>
        <w:jc w:val="both"/>
        <w:outlineLvl w:val="1"/>
        <w:rPr>
          <w:bCs/>
        </w:rPr>
      </w:pPr>
      <w:bookmarkStart w:id="86" w:name="_Toc198043839"/>
      <w:r>
        <w:t xml:space="preserve">49. Tymczasem w niniejszej sprawie zasady przewidziane w art. 2 i 3 dekretu z mocą ustawy nr 282/2003 dotyczą dokładnie usług społeczeństwa informacyjnego. Ponadto w wyniku przyznania Santa Casa wyłącznego prawa do prowadzenia gier losowych w Internecie przepisy te zakazują wszystkim podmiotom gospodarczym świadczenia tych usług, z wyjątkiem Santa Casa”.</w:t>
      </w:r>
      <w:bookmarkEnd w:id="86"/>
    </w:p>
    <w:p w14:paraId="4D056F67" w14:textId="77777777">
      <w:pPr>
        <w:spacing w:after="0" w:line="240" w:lineRule="auto"/>
      </w:pPr>
    </w:p>
    <w:p w14:paraId="07196289" w14:textId="29A89F4E">
      <w:pPr>
        <w:pStyle w:val="P68B1DB1-Normal13"/>
        <w:widowControl w:val="0"/>
        <w:autoSpaceDE w:val="0"/>
        <w:autoSpaceDN w:val="0"/>
        <w:spacing w:after="0" w:line="240" w:lineRule="auto"/>
        <w:jc w:val="both"/>
        <w:outlineLvl w:val="1"/>
      </w:pPr>
      <w:hyperlink r:id="rId56" w:history="1">
        <w:r>
          <w:rPr>
            <w:color w:val="0000FF"/>
            <w:u w:val="single"/>
          </w:rPr>
          <w:t xml:space="preserve">Wyrok z dnia 3 grudnia 2020</w:t>
        </w:r>
      </w:hyperlink>
      <w:r>
        <w:t xml:space="preserve"> r., Star Taxi App,</w:t>
        <w:noBreakHyphen/>
        <w:t xml:space="preserve">C 62/19, EU:C:2020:980, pkt 52–54 i 64–66</w:t>
      </w:r>
      <w:bookmarkEnd w:id="87"/>
    </w:p>
    <w:p w14:paraId="73E5D15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B75F1E" w14:textId="4E123154">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Usługa pośrednictwa, która ogranicza się do łączenia klientów z już upoważnionymi kierowcami taksówek – bez organizowania samej usługi transportowej, wyboru kierowców, ustalania taryf lub sprawowania kontroli nad pojazdami lub kierowcami – należy do kategorii „usług społeczeństwa informacyjnego”.</w:t>
      </w:r>
    </w:p>
    <w:p w14:paraId="53C8E268" w14:textId="77777777">
      <w:pPr>
        <w:widowControl w:val="0"/>
        <w:tabs>
          <w:tab w:val="left" w:pos="437"/>
        </w:tabs>
        <w:autoSpaceDE w:val="0"/>
        <w:autoSpaceDN w:val="0"/>
        <w:spacing w:after="0" w:line="240" w:lineRule="auto"/>
        <w:ind w:hanging="142"/>
        <w:jc w:val="both"/>
        <w:rPr>
          <w:rFonts w:ascii="Times New Roman" w:hAnsi="Times New Roman" w:cs="Times New Roman" w:eastAsia="Times New Roman"/>
          <w:szCs w:val="20"/>
        </w:rPr>
      </w:pPr>
    </w:p>
    <w:p w14:paraId="6B04D4DF" w14:textId="22C1A495">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Ponadto przepisy, które nie dotyczą konkretnie takich usług, lecz mają zastosowanie bez rozróżnienia do wszystkich form wysyłania, w tym drogą telefoniczną lub aplikacyjną, nie mogą zostać zakwalifikowane jako „zasada dotycząca usług”.</w:t>
      </w:r>
    </w:p>
    <w:p w14:paraId="03141058"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7BBE402" w14:textId="02641065">
      <w:pPr>
        <w:pStyle w:val="P68B1DB1-Normal15"/>
        <w:widowControl w:val="0"/>
        <w:tabs>
          <w:tab w:val="left" w:pos="437"/>
        </w:tabs>
        <w:autoSpaceDE w:val="0"/>
        <w:autoSpaceDN w:val="0"/>
        <w:spacing w:after="0" w:line="240" w:lineRule="auto"/>
        <w:ind w:left="567"/>
        <w:jc w:val="both"/>
      </w:pPr>
      <w:r>
        <w:t xml:space="preserve">„52. Po pierwsze, z postanowienia odsyłającego wynika, że w przeciwieństwie do usługi pośrednictwa rozpatrywanej w sprawie, w której zapadł wyrok z dnia 20 grudnia 2017 r., Asociación Profesional Elite Taxi (C-434/15, EU:C:2017:981), w ramach której stworzono i udostępniono świadczenie usług przewozu miejskiego wykonywanych przez kierowców niezawodowych uprzednio nieobecnych na rynku, usługa rozpatrywana w postępowaniu głównym ogranicza się do umożliwienia, jak zauważył rzecznik generalny w pkt 49 opinii, nawiązania kontaktu między osobami chcącymi przebyć trasę miejską a jedynie kierowcami taksówek posiadającymi zezwolenie, których działalność istniała wcześniej i dla których owa usługa pośrednictwa stanowi wyłącznie jeden ze sposobów przyciągnięcia klientów, z którego nie muszą ponadto korzystać.</w:t>
      </w:r>
    </w:p>
    <w:p w14:paraId="0E270EA6" w14:textId="77777777">
      <w:pPr>
        <w:pStyle w:val="P68B1DB1-Normal15"/>
        <w:widowControl w:val="0"/>
        <w:tabs>
          <w:tab w:val="left" w:pos="437"/>
        </w:tabs>
        <w:autoSpaceDE w:val="0"/>
        <w:autoSpaceDN w:val="0"/>
        <w:spacing w:after="0" w:line="240" w:lineRule="auto"/>
        <w:ind w:left="567"/>
        <w:jc w:val="both"/>
      </w:pPr>
    </w:p>
    <w:p w14:paraId="0B69BBB1" w14:textId="47B62163">
      <w:pPr>
        <w:pStyle w:val="P68B1DB1-Normal15"/>
        <w:widowControl w:val="0"/>
        <w:tabs>
          <w:tab w:val="left" w:pos="437"/>
        </w:tabs>
        <w:autoSpaceDE w:val="0"/>
        <w:autoSpaceDN w:val="0"/>
        <w:spacing w:after="0" w:line="240" w:lineRule="auto"/>
        <w:ind w:left="567"/>
        <w:jc w:val="both"/>
      </w:pPr>
      <w:r>
        <w:t xml:space="preserve">53. Po drugie, taka usługa pośrednictwa nie może zostać uznana za organizującą ogólne funkcjonowanie dalszej usługi przewozu miejskiego, ponieważ usługodawca nie wybiera kierowców taksówek ani nie ustala i nie pobiera ceny za kurs, a ponadto nie sprawuje kontroli nad jakością pojazdów i ich kierowców ani nad ich zachowaniem.</w:t>
      </w:r>
    </w:p>
    <w:p w14:paraId="7252306B" w14:textId="77777777">
      <w:pPr>
        <w:pStyle w:val="P68B1DB1-Normal15"/>
        <w:widowControl w:val="0"/>
        <w:tabs>
          <w:tab w:val="left" w:pos="437"/>
        </w:tabs>
        <w:autoSpaceDE w:val="0"/>
        <w:autoSpaceDN w:val="0"/>
        <w:spacing w:after="0" w:line="240" w:lineRule="auto"/>
        <w:ind w:left="567"/>
        <w:jc w:val="both"/>
      </w:pPr>
    </w:p>
    <w:p w14:paraId="40C8D3C8" w14:textId="75B913AD">
      <w:pPr>
        <w:pStyle w:val="P68B1DB1-Normal15"/>
        <w:widowControl w:val="0"/>
        <w:tabs>
          <w:tab w:val="left" w:pos="437"/>
        </w:tabs>
        <w:autoSpaceDE w:val="0"/>
        <w:autoSpaceDN w:val="0"/>
        <w:spacing w:after="0" w:line="240" w:lineRule="auto"/>
        <w:ind w:left="567"/>
        <w:jc w:val="both"/>
        <w:rPr>
          <w:iCs/>
        </w:rPr>
      </w:pPr>
      <w:r>
        <w:t xml:space="preserve">54. Wynika z tego, że usługa pośrednictwa taka jak świadczona przez Star Taxi App nie może być uznana za integralną część całościowej usługi, której głównym elementem jest usługa transportowa, i w związku z tym należy ją zakwalifikować jako »usługę społeczeństwa informacyjnego« w rozumieniu art. 2 lit. a) dyrektywy 2000/31”.</w:t>
      </w:r>
    </w:p>
    <w:p w14:paraId="737174FF" w14:textId="77777777">
      <w:pPr>
        <w:widowControl w:val="0"/>
        <w:tabs>
          <w:tab w:val="left" w:pos="437"/>
        </w:tabs>
        <w:autoSpaceDE w:val="0"/>
        <w:autoSpaceDN w:val="0"/>
        <w:spacing w:after="0" w:line="240" w:lineRule="auto"/>
        <w:ind w:left="567" w:hanging="142"/>
        <w:jc w:val="both"/>
        <w:rPr>
          <w:rFonts w:ascii="Times New Roman" w:hAnsi="Times New Roman" w:cs="Times New Roman" w:eastAsia="Times New Roman"/>
          <w:i/>
          <w:iCs/>
          <w:sz w:val="20"/>
          <w:szCs w:val="16"/>
        </w:rPr>
      </w:pPr>
    </w:p>
    <w:p w14:paraId="2D6C8DFE" w14:textId="7A0EB2A0">
      <w:pPr>
        <w:pStyle w:val="P68B1DB1-Normal15"/>
        <w:widowControl w:val="0"/>
        <w:tabs>
          <w:tab w:val="left" w:pos="437"/>
        </w:tabs>
        <w:autoSpaceDE w:val="0"/>
        <w:autoSpaceDN w:val="0"/>
        <w:spacing w:after="0" w:line="240" w:lineRule="auto"/>
        <w:ind w:left="567"/>
        <w:jc w:val="both"/>
      </w:pPr>
      <w:r>
        <w:t xml:space="preserve">„64. W niniejszej sprawie z postanowienia odsyłającego wynika, że przepisy rumuńskie będące przedmiotem postępowania głównego – zarówno ustawa nr 38/2003, jak również uchwała nr 178/2008 – w żaden sposób nie wspominają o usługach społeczeństwa informacyjnego. Ponadto art. 3, art. 21 ust. 1 i 31, a także art. 41 ust. 21 załącznika 1 do uchwały nr 178/2008 dotyczą w sposób jednakowy wszystkich rodzajów usług dyspozytorskich, niezależnie od tego, czy są one świadczone przez telefon, czy w jakikolwiek inny sposób, na przykład poprzez aplikację informatyczną.</w:t>
      </w:r>
    </w:p>
    <w:p w14:paraId="38902729" w14:textId="77777777">
      <w:pPr>
        <w:pStyle w:val="P68B1DB1-Normal15"/>
        <w:widowControl w:val="0"/>
        <w:tabs>
          <w:tab w:val="left" w:pos="437"/>
        </w:tabs>
        <w:autoSpaceDE w:val="0"/>
        <w:autoSpaceDN w:val="0"/>
        <w:spacing w:after="0" w:line="240" w:lineRule="auto"/>
        <w:ind w:left="567"/>
        <w:jc w:val="both"/>
      </w:pPr>
    </w:p>
    <w:p w14:paraId="0D3B1A3A" w14:textId="72AECFA4">
      <w:pPr>
        <w:pStyle w:val="P68B1DB1-Normal15"/>
        <w:widowControl w:val="0"/>
        <w:tabs>
          <w:tab w:val="left" w:pos="437"/>
        </w:tabs>
        <w:autoSpaceDE w:val="0"/>
        <w:autoSpaceDN w:val="0"/>
        <w:spacing w:after="0" w:line="240" w:lineRule="auto"/>
        <w:ind w:left="567"/>
        <w:jc w:val="both"/>
      </w:pPr>
      <w:r>
        <w:t xml:space="preserve">65. Ponadto, jak zauważył rzecznik generalny w pkt 108 opinii, ustawa nr 38/2003 nakłada na podmioty świadczące usługi dyspozytorskie, które prowadzą działalność przy wykorzystaniu aplikacji na smartfony, w taki sam sposób jak na inne podmioty świadczące usługi dyspozytorskie, obowiązek posiadania wyposażenia – w tym przypadku radiowych stacji nadawczo-odbiorczych – pozbawionego jakiejkolwiek użyteczności w kontekście technicznych warunków świadczenia tej usługi.</w:t>
      </w:r>
    </w:p>
    <w:p w14:paraId="2F69DDBE" w14:textId="77777777">
      <w:pPr>
        <w:pStyle w:val="P68B1DB1-Normal15"/>
        <w:widowControl w:val="0"/>
        <w:tabs>
          <w:tab w:val="left" w:pos="437"/>
        </w:tabs>
        <w:autoSpaceDE w:val="0"/>
        <w:autoSpaceDN w:val="0"/>
        <w:spacing w:after="0" w:line="240" w:lineRule="auto"/>
        <w:ind w:left="567"/>
        <w:jc w:val="both"/>
      </w:pPr>
    </w:p>
    <w:p w14:paraId="7495A598" w14:textId="143B7510">
      <w:pPr>
        <w:pStyle w:val="P68B1DB1-Normal15"/>
        <w:widowControl w:val="0"/>
        <w:tabs>
          <w:tab w:val="left" w:pos="437"/>
        </w:tabs>
        <w:autoSpaceDE w:val="0"/>
        <w:autoSpaceDN w:val="0"/>
        <w:spacing w:after="0" w:line="240" w:lineRule="auto"/>
        <w:ind w:left="567"/>
        <w:jc w:val="both"/>
        <w:rPr>
          <w:iCs/>
        </w:rPr>
      </w:pPr>
      <w:r>
        <w:t xml:space="preserve">66. A zatem, ponieważ uregulowanie takie jak rozpatrywane w postępowaniu głównym nie dotyczy konkretnie usług społeczeństwa informacyjnego, należy stwierdzić, że dotyczy ono tych usług jedynie w sposób dorozumiany lub marginalny. Takiej zasady nie można zatem uznać za „zasadę dotyczącą usług” w rozumieniu art. 1 ust. 1 lit. e) dyrektywy 2015/1535, a w konsekwencji za „przepis techniczny” w rozumieniu art. 1 ust. 1 lit. f) tej dyrektywy”.</w:t>
      </w:r>
    </w:p>
    <w:p w14:paraId="74769673" w14:textId="77777777">
      <w:pPr>
        <w:widowControl w:val="0"/>
        <w:tabs>
          <w:tab w:val="left" w:pos="437"/>
        </w:tabs>
        <w:autoSpaceDE w:val="0"/>
        <w:autoSpaceDN w:val="0"/>
        <w:spacing w:after="0" w:line="240" w:lineRule="auto"/>
        <w:jc w:val="both"/>
        <w:rPr>
          <w:rFonts w:ascii="Times New Roman" w:hAnsi="Times New Roman" w:cs="Times New Roman" w:eastAsia="Times New Roman"/>
          <w:i/>
          <w:iCs/>
          <w:sz w:val="20"/>
          <w:szCs w:val="16"/>
        </w:rPr>
      </w:pPr>
    </w:p>
    <w:p w14:paraId="4ECE591C" w14:textId="291CA601">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7" w:history="1">
        <w:r>
          <w:rPr>
            <w:rStyle w:val="Hyperlink"/>
            <w:rFonts w:ascii="Times New Roman" w:hAnsi="Times New Roman" w:cs="Times New Roman" w:eastAsia="Times New Roman"/>
            <w:b/>
            <w:i/>
            <w:color w:val="0000FF"/>
            <w:szCs w:val="20"/>
          </w:rPr>
          <w:t xml:space="preserve">Wyrok z dnia 29 lutego 2024</w:t>
        </w:r>
      </w:hyperlink>
      <w:r>
        <w:rPr>
          <w:rFonts w:ascii="Times New Roman" w:hAnsi="Times New Roman" w:cs="Times New Roman" w:eastAsia="Times New Roman"/>
          <w:b/>
          <w:i/>
          <w:szCs w:val="20"/>
        </w:rPr>
        <w:t xml:space="preserve"> r., Doctipharma SAS, C-606/21, EU:C:2024:179, pkt 26–30 i 34–36</w:t>
      </w:r>
      <w:bookmarkEnd w:id="88"/>
    </w:p>
    <w:p w14:paraId="5D3D60EF"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3D0A5D9F" w14:textId="5B25CF88">
      <w:pPr>
        <w:pStyle w:val="P68B1DB1-BodyText22"/>
      </w:pPr>
      <w:r>
        <w:t xml:space="preserve">Wynagrodzenie za usługę świadczoną przez usługodawcę w ramach działalności gospodarczej niekoniecznie musi być wypłacane przez osoby będące beneficjentami. Dotyczy to usługi świadczonej na stronie internetowej polegającej na łączeniu farmaceutów i klientów w celu sprzedaży produktów leczniczych, w przypadku gdy wynagrodzenie za usługę otrzymują farmaceuci, którzy wykupili abonament na jej platformę, na podstawie stałej opłaty.</w:t>
      </w:r>
    </w:p>
    <w:p w14:paraId="60E238C1" w14:textId="77777777">
      <w:pPr>
        <w:pStyle w:val="P68B1DB1-BodyText22"/>
      </w:pPr>
    </w:p>
    <w:p w14:paraId="16BCA1E5" w14:textId="5221BD03">
      <w:pPr>
        <w:pStyle w:val="P68B1DB1-BodyText22"/>
      </w:pPr>
      <w:r>
        <w:t xml:space="preserve">Usługa taka nie stanowi części usługi ogólnej, której główny element podlega innej kwalifikacji prawnej niż „usługa społeczeństwa informacyjnego”.</w:t>
      </w:r>
    </w:p>
    <w:p w14:paraId="5D9B8556" w14:textId="77777777">
      <w:pPr>
        <w:pStyle w:val="BodyText"/>
      </w:pPr>
      <w:r>
        <w:t xml:space="preserve"> </w:t>
      </w:r>
    </w:p>
    <w:p w14:paraId="06EE7590" w14:textId="40E0F47A">
      <w:pPr>
        <w:pStyle w:val="P68B1DB1-Normal20"/>
        <w:widowControl w:val="0"/>
        <w:autoSpaceDE w:val="0"/>
        <w:autoSpaceDN w:val="0"/>
        <w:spacing w:after="0" w:line="240" w:lineRule="auto"/>
        <w:ind w:left="567"/>
        <w:jc w:val="both"/>
        <w:outlineLvl w:val="1"/>
        <w:rPr>
          <w:iCs/>
        </w:rPr>
      </w:pPr>
      <w:bookmarkStart w:id="89" w:name="_Toc198043843"/>
      <w:r>
        <w:t xml:space="preserve">„26. [...] Art. 1 pkt 2 dyrektywy 98/34 i art. 1 ust. 1 lit. b) dyrektywy 2015/1535 definiują pojęcie „usługi społeczeństwa informacyjnego” jako oznaczające „każdą usługę normalnie świadczoną za wynagrodzeniem, na odległość, drogą elektroniczną i na indywidualne żądanie odbiorcy usług”.</w:t>
      </w:r>
      <w:bookmarkEnd w:id="89"/>
    </w:p>
    <w:p w14:paraId="0520C499" w14:textId="77777777">
      <w:pPr>
        <w:pStyle w:val="P68B1DB1-Normal20"/>
        <w:widowControl w:val="0"/>
        <w:autoSpaceDE w:val="0"/>
        <w:autoSpaceDN w:val="0"/>
        <w:spacing w:after="0" w:line="240" w:lineRule="auto"/>
        <w:ind w:left="567"/>
        <w:jc w:val="both"/>
        <w:outlineLvl w:val="1"/>
        <w:rPr>
          <w:iCs/>
        </w:rPr>
      </w:pPr>
    </w:p>
    <w:p w14:paraId="5522C64C" w14:textId="2B939575">
      <w:pPr>
        <w:pStyle w:val="P68B1DB1-Normal20"/>
        <w:widowControl w:val="0"/>
        <w:autoSpaceDE w:val="0"/>
        <w:autoSpaceDN w:val="0"/>
        <w:spacing w:after="0" w:line="240" w:lineRule="auto"/>
        <w:ind w:left="567"/>
        <w:jc w:val="both"/>
        <w:outlineLvl w:val="1"/>
        <w:rPr>
          <w:iCs/>
        </w:rPr>
      </w:pPr>
      <w:bookmarkStart w:id="90" w:name="_Toc198043844"/>
      <w:r>
        <w:t xml:space="preserve">27. W niniejszej sprawie należy przypomnieć, w odniesieniu do pierwszej przesłanki ustanowionej w tych przepisach, że zgodnie z utrwalonym orzecznictwem wynagrodzenie za usługę świadczoną przez usługodawcę w ramach działalności gospodarczej niekoniecznie musi być wypłacane przez osoby, które z niej korzystają (zob. podobnie wyroki: z dnia 15 września 2016 r., Mc Fadden, C-484/14, EU:C:2016:689, pkt 41; z dnia 4 maja 2017 r., Vanderborght, C-339/15, EU:C:2017:335, pkt 36).</w:t>
      </w:r>
      <w:bookmarkEnd w:id="90"/>
    </w:p>
    <w:p w14:paraId="321E2B99" w14:textId="77777777">
      <w:pPr>
        <w:pStyle w:val="P68B1DB1-Normal20"/>
        <w:widowControl w:val="0"/>
        <w:autoSpaceDE w:val="0"/>
        <w:autoSpaceDN w:val="0"/>
        <w:spacing w:after="0" w:line="240" w:lineRule="auto"/>
        <w:ind w:left="567"/>
        <w:jc w:val="both"/>
        <w:outlineLvl w:val="1"/>
        <w:rPr>
          <w:iCs/>
        </w:rPr>
      </w:pPr>
    </w:p>
    <w:p w14:paraId="4A7B6C31" w14:textId="12F86ADD">
      <w:pPr>
        <w:pStyle w:val="P68B1DB1-Normal20"/>
        <w:widowControl w:val="0"/>
        <w:autoSpaceDE w:val="0"/>
        <w:autoSpaceDN w:val="0"/>
        <w:spacing w:after="0" w:line="240" w:lineRule="auto"/>
        <w:ind w:left="567"/>
        <w:jc w:val="both"/>
        <w:outlineLvl w:val="1"/>
        <w:rPr>
          <w:iCs/>
        </w:rPr>
      </w:pPr>
      <w:bookmarkStart w:id="91" w:name="_Toc198043845"/>
      <w:r>
        <w:t xml:space="preserve">28. Zatem do celów zakwalifikowania usługi takiej jak rozpatrywana w postępowaniu głównym jako wchodzącej w zakres pojęcia „usługi społeczeństwa informacyjnego” w rozumieniu art. 1 pkt 2 dyrektywy 98/34 i art. 1 ust. 1 lit. b) dyrektywy 2015/1535 nie ma znaczenia, czy usługa ta jest świadczona nieodpłatnie na rzecz osoby nabywającej produkt leczniczy wydawany bez recepty lekarskiej, skoro prowadzi ona do zawarcia między dostawcą tej usługi a każdym farmaceutą korzystającym z tej usługi umowy o odpłatne świadczenie usług.</w:t>
      </w:r>
      <w:bookmarkEnd w:id="91"/>
    </w:p>
    <w:p w14:paraId="7BF264F2" w14:textId="77777777">
      <w:pPr>
        <w:pStyle w:val="P68B1DB1-Normal20"/>
        <w:widowControl w:val="0"/>
        <w:autoSpaceDE w:val="0"/>
        <w:autoSpaceDN w:val="0"/>
        <w:spacing w:after="0" w:line="240" w:lineRule="auto"/>
        <w:ind w:left="567"/>
        <w:jc w:val="both"/>
        <w:outlineLvl w:val="1"/>
        <w:rPr>
          <w:iCs/>
        </w:rPr>
      </w:pPr>
    </w:p>
    <w:p w14:paraId="1D178D41" w14:textId="602A287A">
      <w:pPr>
        <w:pStyle w:val="P68B1DB1-Normal20"/>
        <w:widowControl w:val="0"/>
        <w:autoSpaceDE w:val="0"/>
        <w:autoSpaceDN w:val="0"/>
        <w:spacing w:after="0" w:line="240" w:lineRule="auto"/>
        <w:ind w:left="567"/>
        <w:jc w:val="both"/>
        <w:outlineLvl w:val="1"/>
        <w:rPr>
          <w:iCs/>
        </w:rPr>
      </w:pPr>
      <w:bookmarkStart w:id="92" w:name="_Toc198043846"/>
      <w:r>
        <w:t xml:space="preserve">29. Podobnie bez znaczenia jest w tym względzie okoliczność, że – jak wskazała Doctipharma – zgodnie z ogólnymi warunkami sprzedaży otrzymywała ona wynagrodzenie od farmaceutów, którzy wykupili dostęp do jej platformy, w formie ryczałtu, czy też, jak wskazał rząd francuski, okoliczność, że usługa świadczona przez Doctipharmę była przedmiotem miesięcznego abonamentu uiszczanego na rzecz Doctipharmy przez farmaceutów będących klientami oraz zwrotu określonego procentowo od wielkości sprzedaży, pobieranego przez platformę.</w:t>
      </w:r>
      <w:bookmarkEnd w:id="92"/>
    </w:p>
    <w:p w14:paraId="2B92BB79" w14:textId="77777777">
      <w:pPr>
        <w:pStyle w:val="P68B1DB1-Normal20"/>
        <w:widowControl w:val="0"/>
        <w:autoSpaceDE w:val="0"/>
        <w:autoSpaceDN w:val="0"/>
        <w:spacing w:after="0" w:line="240" w:lineRule="auto"/>
        <w:ind w:left="567"/>
        <w:jc w:val="both"/>
        <w:outlineLvl w:val="1"/>
        <w:rPr>
          <w:iCs/>
        </w:rPr>
      </w:pPr>
    </w:p>
    <w:p w14:paraId="7E01A0AB" w14:textId="05C25972">
      <w:pPr>
        <w:pStyle w:val="P68B1DB1-Normal20"/>
        <w:widowControl w:val="0"/>
        <w:autoSpaceDE w:val="0"/>
        <w:autoSpaceDN w:val="0"/>
        <w:spacing w:after="0" w:line="240" w:lineRule="auto"/>
        <w:ind w:left="567"/>
        <w:jc w:val="both"/>
        <w:outlineLvl w:val="1"/>
        <w:rPr>
          <w:iCs/>
        </w:rPr>
      </w:pPr>
      <w:bookmarkStart w:id="93" w:name="_Toc198043847"/>
      <w:r>
        <w:t xml:space="preserve">30. Wynika z tego, że z zastrzeżeniem ustaleń, których powinien dokonać sąd odsyłający, usługę rozpatrywaną w postępowaniu głównym należy w każdym razie uznać za wykonaną za wynagrodzeniem”.</w:t>
      </w:r>
      <w:bookmarkEnd w:id="93"/>
    </w:p>
    <w:p w14:paraId="1F7DABA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01B24EB0" w14:textId="2D56DEB8">
      <w:pPr>
        <w:pStyle w:val="P68B1DB1-Normal20"/>
        <w:widowControl w:val="0"/>
        <w:autoSpaceDE w:val="0"/>
        <w:autoSpaceDN w:val="0"/>
        <w:spacing w:after="0" w:line="240" w:lineRule="auto"/>
        <w:ind w:left="567"/>
        <w:jc w:val="both"/>
        <w:outlineLvl w:val="1"/>
      </w:pPr>
      <w:bookmarkStart w:id="94" w:name="_Toc198043848"/>
      <w:r>
        <w:t xml:space="preserve">„34. Wniosku tego nie podważa orzecznictwo wypracowane przez Trybunał w wyrokach z dnia 20 grudnia 2017 r., Asociación Profesional Elite Taxi (C-434/15, EU:C:2017:981), z dnia 19 grudnia 2019 r., Airbnb Ireland (C-390/18, EU:C:2019:1112), i z dnia 3 grudnia 2020 r., Star Taxi App (C-62/19, EU:C:2020:980).</w:t>
      </w:r>
      <w:bookmarkEnd w:id="94"/>
    </w:p>
    <w:p w14:paraId="30816B83" w14:textId="77777777">
      <w:pPr>
        <w:pStyle w:val="P68B1DB1-Normal20"/>
        <w:widowControl w:val="0"/>
        <w:autoSpaceDE w:val="0"/>
        <w:autoSpaceDN w:val="0"/>
        <w:spacing w:after="0" w:line="240" w:lineRule="auto"/>
        <w:ind w:left="567"/>
        <w:jc w:val="both"/>
        <w:outlineLvl w:val="1"/>
      </w:pPr>
    </w:p>
    <w:p w14:paraId="7006558F" w14:textId="15BDEB5C">
      <w:pPr>
        <w:pStyle w:val="P68B1DB1-Normal20"/>
        <w:widowControl w:val="0"/>
        <w:autoSpaceDE w:val="0"/>
        <w:autoSpaceDN w:val="0"/>
        <w:spacing w:after="0" w:line="240" w:lineRule="auto"/>
        <w:ind w:left="567"/>
        <w:jc w:val="both"/>
        <w:outlineLvl w:val="1"/>
      </w:pPr>
      <w:bookmarkStart w:id="95" w:name="_Toc198043849"/>
      <w:r>
        <w:t xml:space="preserve">35. Z orzecznictwa tego wynika bowiem, że usługę mającą na celu kojarzenie klientów z dostawcami innej usługi o odmiennym charakterze i spełniającą wszystkie przesłanki przewidziane w art. 1 pkt 2 dyrektywy 98/34 i w art. 1 ust. 1 lit. b) dyrektywy 2015/1535 należy uznać za „usługę społeczeństwa informacyjnego”, jeżeli taka usługa jest usługą odrębną od usługi o odmiennym charakterze świadczonej przez tych dostawców. Jednakże inna sytuacja ma miejsce wówczas, gdy okaże się, że owa usługa umożliwiająca nawiązywanie kontaktu stanowi integralną część złożonej usługi, której główny element jest objęty inną kwalifikacją prawną niż „usługa społeczeństwa informacyjnego” (wyrok z dnia 3 grudnia 2020 r., Star Taxi App, C-62/19, EU:C:2020:980, pkt 49 i przytoczone tam orzecznictwo).</w:t>
      </w:r>
      <w:bookmarkEnd w:id="95"/>
    </w:p>
    <w:p w14:paraId="3E0D3F0B" w14:textId="77777777">
      <w:pPr>
        <w:pStyle w:val="P68B1DB1-Normal20"/>
        <w:widowControl w:val="0"/>
        <w:autoSpaceDE w:val="0"/>
        <w:autoSpaceDN w:val="0"/>
        <w:spacing w:after="0" w:line="240" w:lineRule="auto"/>
        <w:ind w:left="567"/>
        <w:jc w:val="both"/>
        <w:outlineLvl w:val="1"/>
      </w:pPr>
    </w:p>
    <w:p w14:paraId="236402DB" w14:textId="039485E5">
      <w:pPr>
        <w:pStyle w:val="P68B1DB1-Normal20"/>
        <w:widowControl w:val="0"/>
        <w:autoSpaceDE w:val="0"/>
        <w:autoSpaceDN w:val="0"/>
        <w:spacing w:after="0" w:line="240" w:lineRule="auto"/>
        <w:ind w:left="567"/>
        <w:jc w:val="both"/>
        <w:outlineLvl w:val="1"/>
      </w:pPr>
      <w:bookmarkStart w:id="96" w:name="_Toc198043850"/>
      <w:r>
        <w:t xml:space="preserve">36. Jak wskazał rzecznik generalny w pkt 28 i 29 opinii, usługa łączenia farmaceutów i klientów w celu sprzedaży produktów leczniczych wydawanych bez recepty ze stron internetowych aptek, które podpisały tę usługę, nie może stanowić integralnej części całościowej usługi, której główny element nie kwalifikuje się jako »usługa społeczeństwa informacyjnego«”.</w:t>
      </w:r>
      <w:bookmarkEnd w:id="96"/>
    </w:p>
    <w:p w14:paraId="066794C6" w14:textId="77777777">
      <w:pPr>
        <w:pStyle w:val="P68B1DB1-Normal20"/>
        <w:widowControl w:val="0"/>
        <w:autoSpaceDE w:val="0"/>
        <w:autoSpaceDN w:val="0"/>
        <w:spacing w:after="0" w:line="240" w:lineRule="auto"/>
        <w:jc w:val="both"/>
        <w:outlineLvl w:val="1"/>
      </w:pPr>
    </w:p>
    <w:p w14:paraId="3456AF7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8" w:history="1">
        <w:r>
          <w:rPr>
            <w:rStyle w:val="Hyperlink"/>
            <w:rFonts w:ascii="Times New Roman" w:hAnsi="Times New Roman" w:cs="Times New Roman" w:eastAsia="Times New Roman"/>
            <w:b/>
            <w:i/>
            <w:color w:val="0000FF"/>
            <w:szCs w:val="20"/>
          </w:rPr>
          <w:t xml:space="preserve">Wyrok z dnia 13 marca 2025</w:t>
        </w:r>
      </w:hyperlink>
      <w:r>
        <w:rPr>
          <w:rFonts w:ascii="Times New Roman" w:hAnsi="Times New Roman" w:cs="Times New Roman" w:eastAsia="Times New Roman"/>
          <w:b/>
          <w:i/>
          <w:szCs w:val="20"/>
        </w:rPr>
        <w:t xml:space="preserve"> r., Unigames UAB,</w:t>
        <w:noBreakHyphen/>
        <w:t xml:space="preserve">C 120/24, EU:C:2025:174, pkt 38–42</w:t>
      </w:r>
      <w:bookmarkEnd w:id="97"/>
    </w:p>
    <w:p w14:paraId="7C95759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0CCCFF25"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Zakaz reklamy gier losowych na stronach internetowych nie dotyczy usługi reklamowej niezależnej od usługi hazardowej, lecz usługi nierozerwalnie związanej z usługą hazardową online. W związku z tym w celu ustalenia, czy stanowi ona „zasadę dotyczącą usług”, należy najpierw rozważyć zakwalifikowanie usług gier hazardowych online jako „usług społeczeństwa informacyjnego”.</w:t>
      </w:r>
    </w:p>
    <w:p w14:paraId="2F64E777"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D107C79" w14:textId="74EE0F8E">
      <w:pPr>
        <w:pStyle w:val="P68B1DB1-Normal15"/>
        <w:widowControl w:val="0"/>
        <w:tabs>
          <w:tab w:val="left" w:pos="437"/>
        </w:tabs>
        <w:autoSpaceDE w:val="0"/>
        <w:autoSpaceDN w:val="0"/>
        <w:spacing w:after="0" w:line="240" w:lineRule="auto"/>
        <w:ind w:left="567"/>
        <w:jc w:val="both"/>
        <w:rPr>
          <w:iCs/>
        </w:rPr>
      </w:pPr>
      <w:r>
        <w:t xml:space="preserve">„38. Rozważań przedstawionych w pkt 36 i 37 niniejszego wyroku</w:t>
      </w:r>
      <w:r>
        <w:rPr>
          <w:i w:val="0"/>
        </w:rPr>
        <w:t xml:space="preserve"> [zgodnie z którymi usługi hazardowe online należy uznać za »usługi społeczeństwa informacyjnego« nie podważa okoliczność, że informacje o grach hazardowych publikowane przez podmiot urządzający gry hazardowe na jego stronie internetowej niekoniecznie są </w:t>
      </w:r>
      <w:r>
        <w:t xml:space="preserve">dostarczane „na indywidualne żądanie usługobiorcy”. Tego rodzaju publikacja informacji nie może w okolicznościach takich jak rozpatrywane w postępowaniu głównym zostać uznana za usługę reklamową lub inną usługę świadczoną usługobiorcom usług w zakresie gier hazardowych na odległość, lecz stanowi działalność dodatkową i nierozerwalnie związaną z rozpatrywanymi usługami gier hazardowych na odległość, z której ma ona całe znaczenie gospodarcze [zob. analogicznie wyrok z dnia 1 października 2020 r., A (Reklama i sprzedaż produktów leczniczych online), C-649/18, EU:C:2020:764, pkt 56]. W związku z tym jedynie usługi hazardowe same w sobie muszą spełniać odpowiednie warunki, aby wchodzić w zakres pojęcia „usługi” w rozumieniu art. 1 ust. 1 lit. b) dyrektywy 2015/1535, a rozpatrywany w postępowaniu głównym zakaz, który dotyczy takiej publikacji informacji, musi ze swej strony spełniać szczególne kryteria przewidziane w art. 1 ust. 1 lit. e) tej dyrektywy, aby można je było uznać za „zasadę dotyczącą” tych usług w rozumieniu tego ostatniego przepisu.</w:t>
      </w:r>
    </w:p>
    <w:p w14:paraId="0C84094C" w14:textId="77777777">
      <w:pPr>
        <w:pStyle w:val="P68B1DB1-Normal15"/>
        <w:widowControl w:val="0"/>
        <w:tabs>
          <w:tab w:val="left" w:pos="437"/>
        </w:tabs>
        <w:autoSpaceDE w:val="0"/>
        <w:autoSpaceDN w:val="0"/>
        <w:spacing w:after="0" w:line="240" w:lineRule="auto"/>
        <w:ind w:left="567"/>
        <w:jc w:val="both"/>
        <w:rPr>
          <w:iCs/>
        </w:rPr>
      </w:pPr>
    </w:p>
    <w:p w14:paraId="40656C32" w14:textId="179B1E83">
      <w:pPr>
        <w:pStyle w:val="P68B1DB1-Normal15"/>
        <w:widowControl w:val="0"/>
        <w:tabs>
          <w:tab w:val="left" w:pos="437"/>
        </w:tabs>
        <w:autoSpaceDE w:val="0"/>
        <w:autoSpaceDN w:val="0"/>
        <w:spacing w:after="0" w:line="240" w:lineRule="auto"/>
        <w:ind w:left="567"/>
        <w:jc w:val="both"/>
        <w:rPr>
          <w:iCs/>
        </w:rPr>
      </w:pPr>
      <w:r>
        <w:t xml:space="preserve">39. W tym ostatnim względzie, o ile bezsporne jest, że zakaz będący przedmiotem postępowania głównego stanowi „wymóg o charakterze ogólnym” w rozumieniu art. 1 ust. 1 lit. e) dyrektywy 2015/1535, o tyle należy jeszcze zbadać, po pierwsze, czy można go uznać za „związany z podejmowaniem i prowadzeniem działalności usługowej”, przy czym przepis ten wskazuje, że ma to miejsce w szczególności w odniesieniu do przepisów dotyczących usługodawcy, usług i usługobiorcy.</w:t>
      </w:r>
    </w:p>
    <w:p w14:paraId="0DF48DDD" w14:textId="77777777">
      <w:pPr>
        <w:pStyle w:val="P68B1DB1-Normal15"/>
        <w:widowControl w:val="0"/>
        <w:tabs>
          <w:tab w:val="left" w:pos="437"/>
        </w:tabs>
        <w:autoSpaceDE w:val="0"/>
        <w:autoSpaceDN w:val="0"/>
        <w:spacing w:after="0" w:line="240" w:lineRule="auto"/>
        <w:ind w:left="567"/>
        <w:jc w:val="both"/>
        <w:rPr>
          <w:iCs/>
        </w:rPr>
      </w:pPr>
    </w:p>
    <w:p w14:paraId="79F306A3" w14:textId="7430EFC3">
      <w:pPr>
        <w:pStyle w:val="P68B1DB1-Normal15"/>
        <w:widowControl w:val="0"/>
        <w:tabs>
          <w:tab w:val="left" w:pos="437"/>
        </w:tabs>
        <w:autoSpaceDE w:val="0"/>
        <w:autoSpaceDN w:val="0"/>
        <w:spacing w:after="0" w:line="240" w:lineRule="auto"/>
        <w:ind w:left="567"/>
        <w:jc w:val="both"/>
        <w:rPr>
          <w:iCs/>
        </w:rPr>
      </w:pPr>
      <w:r>
        <w:t xml:space="preserve">40. W tym względzie należy uściślić, że art. 10 ust. 19 ustawy o grach hazardowych może wchodzić w zakres pojęcia „zasady dotyczącej usług”, ponieważ wprowadza zakaz zachęcania w szczególności do udziału w grach hazardowych na odległość, a w szczególności do publikowania informacji dotyczących gier hazardowych na stronie internetowej podmiotu urządzającego gry hazardowe lub do podejmowania działań zachęcających do udziału w grach (zob. podobnie wyrok z dnia 22 października 2020 r., Sportingbet i Internet Opportunity Entertainment, C-275/19, EU:C:2020:856, pkt 48 i przytoczone tam orzecznictwo).</w:t>
      </w:r>
    </w:p>
    <w:p w14:paraId="7B52939F" w14:textId="77777777">
      <w:pPr>
        <w:pStyle w:val="P68B1DB1-Normal15"/>
        <w:widowControl w:val="0"/>
        <w:tabs>
          <w:tab w:val="left" w:pos="437"/>
        </w:tabs>
        <w:autoSpaceDE w:val="0"/>
        <w:autoSpaceDN w:val="0"/>
        <w:spacing w:after="0" w:line="240" w:lineRule="auto"/>
        <w:ind w:left="567"/>
        <w:jc w:val="both"/>
        <w:rPr>
          <w:iCs/>
        </w:rPr>
      </w:pPr>
    </w:p>
    <w:p w14:paraId="29F63712" w14:textId="4449F712">
      <w:pPr>
        <w:pStyle w:val="P68B1DB1-Normal15"/>
        <w:widowControl w:val="0"/>
        <w:tabs>
          <w:tab w:val="left" w:pos="437"/>
        </w:tabs>
        <w:autoSpaceDE w:val="0"/>
        <w:autoSpaceDN w:val="0"/>
        <w:spacing w:after="0" w:line="240" w:lineRule="auto"/>
        <w:ind w:left="567"/>
        <w:jc w:val="both"/>
        <w:rPr>
          <w:iCs/>
        </w:rPr>
      </w:pPr>
      <w:r>
        <w:t xml:space="preserve">41. Po drugie, jak wynika z samego brzmienia art. 1 ust. 1 lit. e) dyrektywy 2015/1535, aby można było uznać go za „zasadę dotyczącą usług”, zakaz rozpatrywany w postępowaniu głównym musi być „szczególnie” ukierunkowany na usługi społeczeństwa informacyjnego (zob. podobnie wyrok z dnia 12 września 2019 r., VG Media, C-299/17, EU:C:2019:716, pkt 31).</w:t>
      </w:r>
    </w:p>
    <w:p w14:paraId="65AB6E33" w14:textId="77777777">
      <w:pPr>
        <w:pStyle w:val="P68B1DB1-Normal15"/>
        <w:widowControl w:val="0"/>
        <w:tabs>
          <w:tab w:val="left" w:pos="437"/>
        </w:tabs>
        <w:autoSpaceDE w:val="0"/>
        <w:autoSpaceDN w:val="0"/>
        <w:spacing w:after="0" w:line="240" w:lineRule="auto"/>
        <w:ind w:left="567"/>
        <w:jc w:val="both"/>
        <w:rPr>
          <w:iCs/>
        </w:rPr>
      </w:pPr>
    </w:p>
    <w:p w14:paraId="3176C455" w14:textId="3F47F94F">
      <w:pPr>
        <w:pStyle w:val="P68B1DB1-Normal15"/>
        <w:widowControl w:val="0"/>
        <w:tabs>
          <w:tab w:val="left" w:pos="437"/>
        </w:tabs>
        <w:autoSpaceDE w:val="0"/>
        <w:autoSpaceDN w:val="0"/>
        <w:spacing w:after="0" w:line="240" w:lineRule="auto"/>
        <w:ind w:left="567"/>
        <w:jc w:val="both"/>
        <w:rPr>
          <w:iCs/>
        </w:rPr>
      </w:pPr>
      <w:r>
        <w:t xml:space="preserve">42. W tym względzie z art. 1 ust. 1 lit. e) akapit drugi lit. e) ppkt (i) dyrektywy 2015/1535 wynika, że weryfikacja, czy dana zasada dotyczy konkretnie usług społeczeństwa informacyjnego, powinna być dokonywana zarówno w świetle brzmienia tej zasady, jak i jej celu. Ponadto zgodnie z tym przepisem nie jest wymagane, aby „szczególny cel i przedmiot” rozpatrywanego przepisu polegał na regulowaniu usług społeczeństwa informacyjnego, lecz wystarczy, że realizuje on ten cel lub cel za pomocą niektórych jego postanowień (zob. podobnie wyrok z dnia 12 września 2019 r., VG Media, C-299/17, EU:C:2019:716, pkt 32 i przytoczone tam orzecznictwo). Wreszcie, zgodnie z art. 1 ust. 1 lit. e) akapit drugi ppkt (ii) tej dyrektywy, przepisu nie uznaje się za przepis dotyczący konkretnie usług społeczeństwa informacyjnego, jeżeli wpływa on na takie usługi jedynie w sposób dorozumiany lub okazjonalny”.</w:t>
      </w:r>
    </w:p>
    <w:p w14:paraId="755B8A78" w14:textId="53DC1D1F">
      <w:pPr>
        <w:spacing w:after="0" w:line="278" w:lineRule="auto"/>
      </w:pPr>
      <w:r>
        <w:br w:type="page"/>
      </w:r>
    </w:p>
    <w:p w14:paraId="66BD9244" w14:textId="7BFF7921">
      <w:pPr>
        <w:pStyle w:val="P68B1DB1-Heading24"/>
        <w:numPr>
          <w:ilvl w:val="0"/>
          <w:numId w:val="35"/>
        </w:numPr>
        <w:spacing w:before="0" w:after="0"/>
        <w:jc w:val="center"/>
        <w:rPr>
          <w:bCs/>
          <w:color w:val="auto"/>
        </w:rPr>
      </w:pPr>
      <w:bookmarkStart w:id="98" w:name="_Ref194484584"/>
      <w:bookmarkStart w:id="99" w:name="_Toc203035670"/>
      <w:r>
        <w:t xml:space="preserve">Przepisy zakazujące</w:t>
      </w:r>
      <w:bookmarkEnd w:id="98"/>
      <w:bookmarkEnd w:id="99"/>
    </w:p>
    <w:p w14:paraId="11A12362" w14:textId="77777777">
      <w:pPr>
        <w:pStyle w:val="BodyText"/>
      </w:pPr>
    </w:p>
    <w:p w14:paraId="6DD7108F" w14:textId="22E84863">
      <w:pPr>
        <w:pStyle w:val="P68B1DB1-BodyText11"/>
        <w:ind w:left="567"/>
        <w:rPr>
          <w:iCs/>
        </w:rPr>
      </w:pPr>
      <w:r>
        <w:t xml:space="preserve">„przepisy techniczne” oznaczają [...] przepisy ustawowe, wykonawcze lub administracyjne państw członkowskich, z wyjątkiem przepisów przewidzianych w art. 7, zakazujące produkcji, przywozu, wprowadzania do obrotu lub stosowania produktu lub zakazujące świadczenia lub korzystania z usługi lub podejmowania działalności w charakterze usługodawcy.”</w:t>
      </w:r>
    </w:p>
    <w:p w14:paraId="6EA3335C" w14:textId="77777777">
      <w:pPr>
        <w:pStyle w:val="BodyText"/>
        <w:ind w:left="567"/>
        <w:rPr>
          <w:i/>
          <w:iCs/>
        </w:rPr>
      </w:pPr>
    </w:p>
    <w:p w14:paraId="05F6428B" w14:textId="3C27EE7A">
      <w:pPr>
        <w:pStyle w:val="BodyText"/>
        <w:ind w:left="1440"/>
        <w:jc w:val="right"/>
      </w:pPr>
      <w:r>
        <w:t xml:space="preserve">(art. 1 ust. 1 lit. f) zdanie pierwsze dyrektywy (UE) 2015/1535)</w:t>
      </w:r>
    </w:p>
    <w:p w14:paraId="38D8F2AB" w14:textId="77777777">
      <w:pPr>
        <w:spacing w:after="0" w:line="240" w:lineRule="auto"/>
      </w:pPr>
    </w:p>
    <w:p w14:paraId="0D9AB62C" w14:textId="1C629A78">
      <w:pPr>
        <w:pStyle w:val="P68B1DB1-Normal13"/>
        <w:widowControl w:val="0"/>
        <w:autoSpaceDE w:val="0"/>
        <w:autoSpaceDN w:val="0"/>
        <w:spacing w:after="0" w:line="240" w:lineRule="auto"/>
        <w:jc w:val="both"/>
        <w:outlineLvl w:val="1"/>
      </w:pPr>
      <w:hyperlink r:id="rId59" w:history="1">
        <w:r>
          <w:rPr>
            <w:color w:val="0000FF"/>
            <w:u w:val="single"/>
          </w:rPr>
          <w:t xml:space="preserve">Wyrok z dnia 16 września 1996</w:t>
        </w:r>
      </w:hyperlink>
      <w:r>
        <w:t xml:space="preserve"> r., Komisja/Włochy, C-279/94, EU:C:1997:396, pkt 30.</w:t>
      </w:r>
      <w:bookmarkEnd w:id="100"/>
    </w:p>
    <w:p w14:paraId="034B7933"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01754A62" w14:textId="3AFCB111">
      <w:pPr>
        <w:pStyle w:val="P68B1DB1-Normal14"/>
        <w:widowControl w:val="0"/>
        <w:tabs>
          <w:tab w:val="left" w:pos="396"/>
          <w:tab w:val="left" w:pos="461"/>
        </w:tabs>
        <w:autoSpaceDE w:val="0"/>
        <w:autoSpaceDN w:val="0"/>
        <w:spacing w:after="0" w:line="240" w:lineRule="auto"/>
        <w:jc w:val="both"/>
      </w:pPr>
      <w:r>
        <w:t xml:space="preserve">Zakaz wprowadzania do obrotu i stosowania azbestu jest „przepisem technicznym” podlegającym zgłoszeniu, ponieważ zakazuje wprowadzania do obrotu i stosowania produktu.</w:t>
      </w:r>
    </w:p>
    <w:p w14:paraId="0BB35591"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9E65C7B" w14:textId="4734296F">
      <w:pPr>
        <w:pStyle w:val="P68B1DB1-Normal15"/>
        <w:widowControl w:val="0"/>
        <w:tabs>
          <w:tab w:val="left" w:pos="396"/>
          <w:tab w:val="left" w:pos="461"/>
        </w:tabs>
        <w:autoSpaceDE w:val="0"/>
        <w:autoSpaceDN w:val="0"/>
        <w:spacing w:after="0" w:line="240" w:lineRule="auto"/>
        <w:ind w:left="567"/>
        <w:jc w:val="both"/>
        <w:rPr>
          <w:iCs/>
        </w:rPr>
      </w:pPr>
      <w:r>
        <w:t xml:space="preserve">„30. Co się tyczy art. 1 ust. 2 ustawy nr 257/92, przepis ten zakazuje wydobywania, przywozu, wywozu, wprowadzania do obrotu i produkcji azbestu, wyrobów azbestowych i wyrobów zawierających azbest po upływie roku od dnia wejścia w życie ustawy. Taki przepis, zakazujący wprowadzania do obrotu i stosowania azbestu, stanowi przepis techniczny, który rząd włoski powinien był zgłosić zgodnie z art. 8 ust. 1 akapit pierwszy dyrektywy”.</w:t>
      </w:r>
    </w:p>
    <w:p w14:paraId="4C0F9A2E" w14:textId="77777777">
      <w:pPr>
        <w:spacing w:after="0" w:line="240" w:lineRule="auto"/>
      </w:pPr>
    </w:p>
    <w:p w14:paraId="6933A43F" w14:textId="3FDFB590">
      <w:pPr>
        <w:pStyle w:val="P68B1DB1-Normal13"/>
        <w:widowControl w:val="0"/>
        <w:autoSpaceDE w:val="0"/>
        <w:autoSpaceDN w:val="0"/>
        <w:spacing w:after="0" w:line="240" w:lineRule="auto"/>
        <w:jc w:val="both"/>
        <w:outlineLvl w:val="1"/>
      </w:pPr>
      <w:hyperlink r:id="rId60" w:history="1">
        <w:r>
          <w:rPr>
            <w:rStyle w:val="Hyperlink"/>
            <w:color w:val="0000FF"/>
          </w:rPr>
          <w:t xml:space="preserve">Wyrok z dnia 21 kwietnia 2005</w:t>
        </w:r>
      </w:hyperlink>
      <w:r>
        <w:t xml:space="preserve"> r., Lindberg, C-267/03, EU:C:2005:246, pkt 75–77.</w:t>
      </w:r>
      <w:bookmarkEnd w:id="101"/>
    </w:p>
    <w:p w14:paraId="7D30FB0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1BE65B" w14:textId="4B7342F7">
      <w:pPr>
        <w:pStyle w:val="P68B1DB1-Normal14"/>
        <w:widowControl w:val="0"/>
        <w:tabs>
          <w:tab w:val="left" w:pos="396"/>
          <w:tab w:val="left" w:pos="425"/>
        </w:tabs>
        <w:autoSpaceDE w:val="0"/>
        <w:autoSpaceDN w:val="0"/>
        <w:spacing w:after="0" w:line="240" w:lineRule="auto"/>
        <w:jc w:val="both"/>
      </w:pPr>
      <w:r>
        <w:t xml:space="preserve">Krajowy zakaz dotyczący niektórych gier losowych może zostać zakwalifikowany jako przepis zakazujący, jeżeli nie pozostawia miejsca na jakiekolwiek inne przeznaczenie danego produktu niż czysto marginalne. Natomiast kwalifikacja jako zakaz nie zależy od skutków zakazu dla składu, charakteru lub wprowadzania do obrotu danych produktów.</w:t>
      </w:r>
    </w:p>
    <w:p w14:paraId="58611995"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EBF5D94" w14:textId="0BC411D8">
      <w:pPr>
        <w:pStyle w:val="P68B1DB1-Normal15"/>
        <w:widowControl w:val="0"/>
        <w:tabs>
          <w:tab w:val="left" w:pos="396"/>
          <w:tab w:val="left" w:pos="425"/>
        </w:tabs>
        <w:autoSpaceDE w:val="0"/>
        <w:autoSpaceDN w:val="0"/>
        <w:spacing w:after="0" w:line="240" w:lineRule="auto"/>
        <w:ind w:left="567"/>
        <w:jc w:val="both"/>
      </w:pPr>
      <w:r>
        <w:t xml:space="preserve">„75. W tym względzie duże znaczenie ma to, że w odróżnieniu od drugiej kategorii, którą stanowią inne wymagania w rozumieniu pkt 3, wspomniana trzecia kategoria przepisów technicznych, określona w art. 1 pkt 9 dyrektywy 83/189, nie zawiera warunku, zgodnie z którym odnośny zakaz powinien potencjalnie mieć istotny wpływ na skład, charakter lub sprzedaż produktu.</w:t>
      </w:r>
    </w:p>
    <w:p w14:paraId="4E75D46D" w14:textId="77777777">
      <w:pPr>
        <w:pStyle w:val="P68B1DB1-Normal15"/>
        <w:widowControl w:val="0"/>
        <w:tabs>
          <w:tab w:val="left" w:pos="396"/>
          <w:tab w:val="left" w:pos="425"/>
        </w:tabs>
        <w:autoSpaceDE w:val="0"/>
        <w:autoSpaceDN w:val="0"/>
        <w:spacing w:after="0" w:line="240" w:lineRule="auto"/>
        <w:ind w:left="567"/>
        <w:jc w:val="both"/>
      </w:pPr>
    </w:p>
    <w:p w14:paraId="19633563" w14:textId="56C5A4E5">
      <w:pPr>
        <w:pStyle w:val="P68B1DB1-Normal15"/>
        <w:widowControl w:val="0"/>
        <w:tabs>
          <w:tab w:val="left" w:pos="396"/>
          <w:tab w:val="left" w:pos="425"/>
        </w:tabs>
        <w:autoSpaceDE w:val="0"/>
        <w:autoSpaceDN w:val="0"/>
        <w:spacing w:after="0" w:line="240" w:lineRule="auto"/>
        <w:ind w:left="567"/>
        <w:jc w:val="both"/>
      </w:pPr>
      <w:r>
        <w:t xml:space="preserve">76. Ponieważ owa trzecia kategoria przepisów technicznych dotyczy w szczególności zakazu używania, musi tu chodzić o przepisy, których zakres wyraźnie wykracza poza zacieśnienie możliwości używania spornego produktu do pewnych możliwych zastosowań, a zatem które nie sprowadzają się do zwykłego ograniczenia używania tego produktu.</w:t>
      </w:r>
    </w:p>
    <w:p w14:paraId="0E03DE00" w14:textId="77777777">
      <w:pPr>
        <w:pStyle w:val="P68B1DB1-Normal15"/>
        <w:widowControl w:val="0"/>
        <w:tabs>
          <w:tab w:val="left" w:pos="396"/>
          <w:tab w:val="left" w:pos="425"/>
        </w:tabs>
        <w:autoSpaceDE w:val="0"/>
        <w:autoSpaceDN w:val="0"/>
        <w:spacing w:after="0" w:line="240" w:lineRule="auto"/>
        <w:ind w:left="567"/>
        <w:jc w:val="both"/>
      </w:pPr>
    </w:p>
    <w:p w14:paraId="2FD32D99" w14:textId="6701B778">
      <w:pPr>
        <w:pStyle w:val="P68B1DB1-Normal15"/>
        <w:widowControl w:val="0"/>
        <w:tabs>
          <w:tab w:val="left" w:pos="396"/>
          <w:tab w:val="left" w:pos="425"/>
        </w:tabs>
        <w:autoSpaceDE w:val="0"/>
        <w:autoSpaceDN w:val="0"/>
        <w:spacing w:after="0" w:line="240" w:lineRule="auto"/>
        <w:ind w:left="567"/>
        <w:jc w:val="both"/>
        <w:rPr>
          <w:iCs/>
        </w:rPr>
      </w:pPr>
      <w:r>
        <w:t xml:space="preserve">77. Jak zauważył rzecznik generalny w pkt 70 opinii, ta kategoria przepisów technicznych dotyczy w szczególności przepisów krajowych, które pozostawiają miejsce jedynie na marginalne zastosowanie danego produktu w stosunku do tego, którego można by rozsądnie oczekiwać. Do sądu krajowego należy zbadanie, czy zakaz wynikający z przepisu krajowego rozpatrywanego w postępowaniu głównym jest takim środkiem”.</w:t>
      </w:r>
    </w:p>
    <w:p w14:paraId="67FF74EE"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8FE6490" w14:textId="328430DD">
      <w:pPr>
        <w:pStyle w:val="P68B1DB1-Normal13"/>
        <w:widowControl w:val="0"/>
        <w:autoSpaceDE w:val="0"/>
        <w:autoSpaceDN w:val="0"/>
        <w:spacing w:after="0" w:line="240" w:lineRule="auto"/>
        <w:jc w:val="both"/>
        <w:outlineLvl w:val="1"/>
      </w:pPr>
      <w:hyperlink r:id="rId61" w:history="1">
        <w:r>
          <w:rPr>
            <w:color w:val="0000FF"/>
            <w:u w:val="single"/>
          </w:rPr>
          <w:t xml:space="preserve">Wyrok z dnia 8 września 2005</w:t>
        </w:r>
      </w:hyperlink>
      <w:r>
        <w:t xml:space="preserve"> r., Lidl Italia, C-303/04, EU:C:2005:528, pkt 12 i 13</w:t>
      </w:r>
      <w:bookmarkEnd w:id="102"/>
    </w:p>
    <w:p w14:paraId="0264E5E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3D45D27" w14:textId="04452AA9">
      <w:pPr>
        <w:pStyle w:val="P68B1DB1-Normal14"/>
        <w:widowControl w:val="0"/>
        <w:tabs>
          <w:tab w:val="left" w:pos="393"/>
        </w:tabs>
        <w:autoSpaceDE w:val="0"/>
        <w:autoSpaceDN w:val="0"/>
        <w:spacing w:after="0" w:line="240" w:lineRule="auto"/>
        <w:jc w:val="both"/>
      </w:pPr>
      <w:r>
        <w:t xml:space="preserve">Krajowy zakaz wprowadzania do obrotu produktów, które nie są wytwarzane z określonych materiałów, stanowi przepis zakazujący wytwarzania i wprowadzania do obrotu produktów.</w:t>
      </w:r>
    </w:p>
    <w:p w14:paraId="35068EA4"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4997783D" w14:textId="60D54546">
      <w:pPr>
        <w:pStyle w:val="P68B1DB1-Normal15"/>
        <w:widowControl w:val="0"/>
        <w:tabs>
          <w:tab w:val="left" w:pos="393"/>
        </w:tabs>
        <w:autoSpaceDE w:val="0"/>
        <w:autoSpaceDN w:val="0"/>
        <w:spacing w:after="0" w:line="240" w:lineRule="auto"/>
        <w:ind w:left="567"/>
        <w:jc w:val="both"/>
      </w:pPr>
      <w:r>
        <w:t xml:space="preserve">„12. [...] zgodnie z art. 1 pkt 11 dyrektywy 98/34 przepis krajowy państwa członkowskiego zakazujący produkcji, przywozu, wprowadzania do obrotu lub używania produktu należy uznać za kategorię przepisów technicznych (zob. wyrok z dnia 12 grudnia 2005 r. w sprawie C-267/03 Lindberg, dotychczas nieopublikowany w Zbiorze, pkt 54).</w:t>
      </w:r>
    </w:p>
    <w:p w14:paraId="52ECA4AF" w14:textId="77777777">
      <w:pPr>
        <w:pStyle w:val="P68B1DB1-Normal15"/>
        <w:widowControl w:val="0"/>
        <w:tabs>
          <w:tab w:val="left" w:pos="393"/>
        </w:tabs>
        <w:autoSpaceDE w:val="0"/>
        <w:autoSpaceDN w:val="0"/>
        <w:spacing w:after="0" w:line="240" w:lineRule="auto"/>
        <w:ind w:left="567"/>
        <w:jc w:val="both"/>
      </w:pPr>
    </w:p>
    <w:p w14:paraId="08984434" w14:textId="6B561E58">
      <w:pPr>
        <w:pStyle w:val="P68B1DB1-Normal15"/>
        <w:widowControl w:val="0"/>
        <w:tabs>
          <w:tab w:val="left" w:pos="393"/>
        </w:tabs>
        <w:autoSpaceDE w:val="0"/>
        <w:autoSpaceDN w:val="0"/>
        <w:spacing w:after="0" w:line="240" w:lineRule="auto"/>
        <w:ind w:left="567"/>
        <w:jc w:val="both"/>
        <w:rPr>
          <w:iCs/>
        </w:rPr>
      </w:pPr>
      <w:r>
        <w:t xml:space="preserve">13. Otóż w niniejszym przypadku wystarczy stwierdzić, że art. 19 ust. 2 ustawy nr 93/2001 jest tego rodzaju przepisem. Zgodnie z tym przepisem produkcja i wprowadzanie do obrotu pąków bawełnianych, które nie wykazują wymienionych cech, a mianowicie tych, które nie są całkowicie wytwarzane z materiałów ulegających biodegradacji zgodnie z normami UNI 10785, stanowią naruszenia podlegające karom administracyjnym”.</w:t>
      </w:r>
    </w:p>
    <w:p w14:paraId="7E80215F"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717B4ED" w14:textId="65166FE4">
      <w:pPr>
        <w:pStyle w:val="P68B1DB1-Normal13"/>
        <w:widowControl w:val="0"/>
        <w:autoSpaceDE w:val="0"/>
        <w:autoSpaceDN w:val="0"/>
        <w:spacing w:after="0" w:line="240" w:lineRule="auto"/>
        <w:jc w:val="both"/>
        <w:outlineLvl w:val="1"/>
      </w:pPr>
      <w:hyperlink r:id="rId62" w:history="1">
        <w:r>
          <w:rPr>
            <w:color w:val="0000FF"/>
            <w:u w:val="single"/>
          </w:rPr>
          <w:t xml:space="preserve">Wyrok z dnia 26 października 2006</w:t>
        </w:r>
      </w:hyperlink>
      <w:r>
        <w:t xml:space="preserve"> r., Komisja/Grecja, C-65/05, EU:C:2006:673, pkt 61.</w:t>
      </w:r>
      <w:bookmarkEnd w:id="103"/>
    </w:p>
    <w:p w14:paraId="1384E7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CAE2532" w14:textId="2EC175AF">
      <w:pPr>
        <w:pStyle w:val="P68B1DB1-Normal14"/>
        <w:widowControl w:val="0"/>
        <w:tabs>
          <w:tab w:val="left" w:pos="415"/>
        </w:tabs>
        <w:autoSpaceDE w:val="0"/>
        <w:autoSpaceDN w:val="0"/>
        <w:spacing w:after="0" w:line="240" w:lineRule="auto"/>
        <w:jc w:val="both"/>
      </w:pPr>
      <w:r>
        <w:t xml:space="preserve">Za przepisy techniczne należy uznać środki zakazujące instalowania poza kasynami wszelkich urządzeń do gier elektrycznych lub elektronicznych oraz korzystania z gier komputerowych w przedsiębiorstwach świadczących usługi internetowe, jak również uzależniające działalność takich przedsiębiorstw od wydania specjalnego zezwolenia.</w:t>
      </w:r>
    </w:p>
    <w:p w14:paraId="6FD5D3A4" w14:textId="77777777">
      <w:pPr>
        <w:widowControl w:val="0"/>
        <w:tabs>
          <w:tab w:val="left" w:pos="415"/>
        </w:tabs>
        <w:autoSpaceDE w:val="0"/>
        <w:autoSpaceDN w:val="0"/>
        <w:spacing w:after="0" w:line="240" w:lineRule="auto"/>
        <w:jc w:val="both"/>
        <w:rPr>
          <w:rFonts w:ascii="Times New Roman" w:hAnsi="Times New Roman" w:cs="Times New Roman" w:eastAsia="Times New Roman"/>
          <w:szCs w:val="20"/>
        </w:rPr>
      </w:pPr>
    </w:p>
    <w:p w14:paraId="79252ABE" w14:textId="0E924053">
      <w:pPr>
        <w:pStyle w:val="P68B1DB1-Normal15"/>
        <w:widowControl w:val="0"/>
        <w:tabs>
          <w:tab w:val="left" w:pos="415"/>
        </w:tabs>
        <w:autoSpaceDE w:val="0"/>
        <w:autoSpaceDN w:val="0"/>
        <w:spacing w:after="0" w:line="240" w:lineRule="auto"/>
        <w:ind w:left="567"/>
        <w:jc w:val="both"/>
        <w:rPr>
          <w:iCs/>
        </w:rPr>
      </w:pPr>
      <w:r>
        <w:t>„</w:t>
      </w:r>
      <w:bookmarkStart w:id="104" w:name="point61"/>
      <w:r>
        <w:t>61</w:t>
      </w:r>
      <w:bookmarkEnd w:id="104"/>
      <w:r>
        <w:t xml:space="preserve">. [...] za przepisy techniczne w rozumieniu art. 1 pkt 11 dyrektywy 98/34 należy uznać środki takie jak przewidziane w art. 2 ust. 1 i art. 3 ustawy nr 3037/2002, w zakresie, w jakim zakazują one instalowania w Grecji wszelkich gier elektrycznych, elektromechanicznych i elektronicznych, w tym wszystkich gier komputerowych, we wszystkich obiektach publicznych i prywatnych poza kasynami, a także korzystania z gier na komputerach w przedsiębiorstwach świadczących usługi internetowe, a także uzależniają prowadzenie takich przedsiębiorstw od wydania specjalnego zezwolenia (zob. podobnie wyrok z dnia 14 grudnia 2005 r. w sprawie C 267/03</w:t>
        <w:noBreakHyphen/>
        <w:t xml:space="preserve">Lindberg, Zb.Orz. s. I</w:t>
        <w:noBreakHyphen/>
        <w:t>3247)”.</w:t>
      </w:r>
    </w:p>
    <w:p w14:paraId="0089E684"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03A587DA" w14:textId="394DDB7B">
      <w:pPr>
        <w:pStyle w:val="P68B1DB1-Normal13"/>
        <w:widowControl w:val="0"/>
        <w:autoSpaceDE w:val="0"/>
        <w:autoSpaceDN w:val="0"/>
        <w:spacing w:after="0" w:line="240" w:lineRule="auto"/>
        <w:jc w:val="both"/>
        <w:outlineLvl w:val="1"/>
      </w:pPr>
      <w:hyperlink r:id="rId63" w:history="1">
        <w:r>
          <w:rPr>
            <w:color w:val="0000FF"/>
            <w:u w:val="single"/>
          </w:rPr>
          <w:t xml:space="preserve">Wyrok z dnia 19 lipca 2012</w:t>
        </w:r>
      </w:hyperlink>
      <w:r>
        <w:t xml:space="preserve"> r., Fortuna i in., C-213/11, C-214/11 i C-217/11, EU:C:2012:495, pkt 24 i 25.</w:t>
      </w:r>
      <w:bookmarkEnd w:id="105"/>
    </w:p>
    <w:p w14:paraId="005978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7C6309" w14:textId="4A0E435F">
      <w:pPr>
        <w:pStyle w:val="P68B1DB1-Normal14"/>
        <w:widowControl w:val="0"/>
        <w:tabs>
          <w:tab w:val="left" w:pos="451"/>
        </w:tabs>
        <w:autoSpaceDE w:val="0"/>
        <w:autoSpaceDN w:val="0"/>
        <w:spacing w:after="0" w:line="240" w:lineRule="auto"/>
        <w:jc w:val="both"/>
      </w:pPr>
      <w:r>
        <w:t xml:space="preserve">Środek zakazujący korzystania z automatów do gier poza kasynami należy zakwalifikować jako „przepis techniczny”.</w:t>
      </w:r>
    </w:p>
    <w:p w14:paraId="55F00ED6" w14:textId="77777777">
      <w:pPr>
        <w:widowControl w:val="0"/>
        <w:tabs>
          <w:tab w:val="left" w:pos="451"/>
        </w:tabs>
        <w:autoSpaceDE w:val="0"/>
        <w:autoSpaceDN w:val="0"/>
        <w:spacing w:after="0" w:line="240" w:lineRule="auto"/>
        <w:jc w:val="both"/>
        <w:rPr>
          <w:rFonts w:ascii="Times New Roman" w:hAnsi="Times New Roman" w:cs="Times New Roman" w:eastAsia="Times New Roman"/>
          <w:szCs w:val="20"/>
        </w:rPr>
      </w:pPr>
    </w:p>
    <w:p w14:paraId="4C7F2437" w14:textId="071474DD">
      <w:pPr>
        <w:pStyle w:val="P68B1DB1-Normal15"/>
        <w:widowControl w:val="0"/>
        <w:tabs>
          <w:tab w:val="left" w:pos="451"/>
        </w:tabs>
        <w:autoSpaceDE w:val="0"/>
        <w:autoSpaceDN w:val="0"/>
        <w:spacing w:after="0" w:line="240" w:lineRule="auto"/>
        <w:ind w:left="567"/>
        <w:jc w:val="both"/>
      </w:pPr>
      <w:r>
        <w:t xml:space="preserve">„24. [...] Trybunał orzekł już, że środki zakazujące korzystania ze wszystkich gier elektrycznych, elektromechanicznych i elektronicznych we wszystkich obiektach publicznych i prywatnych poza kasynami należy uznać za przepisy techniczne w rozumieniu art. 1 pkt 11 dyrektywy 98/34 (wyrok z dnia 12 grudnia 2006 r. w sprawie C-65/05 Komisja przeciwko Grecji, Zb.Orz. s. I-10341, pkt 61).</w:t>
      </w:r>
    </w:p>
    <w:p w14:paraId="449D41B3" w14:textId="77777777">
      <w:pPr>
        <w:pStyle w:val="P68B1DB1-Normal15"/>
        <w:widowControl w:val="0"/>
        <w:tabs>
          <w:tab w:val="left" w:pos="451"/>
        </w:tabs>
        <w:autoSpaceDE w:val="0"/>
        <w:autoSpaceDN w:val="0"/>
        <w:spacing w:after="0" w:line="240" w:lineRule="auto"/>
        <w:ind w:left="567"/>
        <w:jc w:val="both"/>
      </w:pPr>
    </w:p>
    <w:p w14:paraId="19795D70" w14:textId="79DBEA4A">
      <w:pPr>
        <w:pStyle w:val="P68B1DB1-Normal15"/>
        <w:widowControl w:val="0"/>
        <w:tabs>
          <w:tab w:val="left" w:pos="451"/>
        </w:tabs>
        <w:autoSpaceDE w:val="0"/>
        <w:autoSpaceDN w:val="0"/>
        <w:spacing w:after="0" w:line="240" w:lineRule="auto"/>
        <w:ind w:left="567"/>
        <w:jc w:val="both"/>
        <w:rPr>
          <w:iCs/>
        </w:rPr>
      </w:pPr>
      <w:r>
        <w:t xml:space="preserve">25. W związku z tym środek taki jak art. 14 ust. 1 ustawy o grach losowych, który zezwala na organizowanie gier na automatach wyłącznie w kasynach gier, należy zakwalifikować jako »przepis techniczny« w rozumieniu art. 1 pkt 11 dyrektywy 98/34”.</w:t>
      </w:r>
    </w:p>
    <w:p w14:paraId="4A0CD426" w14:textId="77777777">
      <w:pPr>
        <w:spacing w:after="0" w:line="240" w:lineRule="auto"/>
      </w:pPr>
    </w:p>
    <w:p w14:paraId="1675A539" w14:textId="6C824499">
      <w:pPr>
        <w:pStyle w:val="P68B1DB1-Normal13"/>
        <w:widowControl w:val="0"/>
        <w:autoSpaceDE w:val="0"/>
        <w:autoSpaceDN w:val="0"/>
        <w:spacing w:after="0" w:line="240" w:lineRule="auto"/>
        <w:jc w:val="both"/>
        <w:outlineLvl w:val="1"/>
      </w:pPr>
      <w:hyperlink r:id="rId64" w:history="1">
        <w:r>
          <w:rPr>
            <w:color w:val="0000FF"/>
            <w:u w:val="single"/>
          </w:rPr>
          <w:t xml:space="preserve">Wyrok z dnia 27 października 2016</w:t>
        </w:r>
      </w:hyperlink>
      <w:r>
        <w:t xml:space="preserve"> r., James Elliott Construction, C-613/14, EU:C:2016:821, pkt 70.</w:t>
      </w:r>
      <w:bookmarkEnd w:id="106"/>
    </w:p>
    <w:p w14:paraId="3A50454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D45187" w14:textId="07CFD998">
      <w:pPr>
        <w:widowControl w:val="0"/>
        <w:tabs>
          <w:tab w:val="left" w:pos="430"/>
        </w:tabs>
        <w:autoSpaceDE w:val="0"/>
        <w:autoSpaceDN w:val="0"/>
        <w:spacing w:after="0" w:line="240" w:lineRule="auto"/>
        <w:jc w:val="both"/>
        <w:rPr>
          <w:rFonts w:ascii="Times New Roman" w:hAnsi="Times New Roman" w:cs="Times New Roman" w:eastAsia="Times New Roman"/>
          <w:szCs w:val="20"/>
        </w:rPr>
        <w:pStyle w:val="P68B1DB1-Normal14"/>
      </w:pPr>
      <w:r>
        <w:t xml:space="preserve">Przepisy krajowe określające dorozumiane warunki umowne dotyczące jakości handlowej, przydatności do użycia lub ogólnej jakości sprzedawanych produktów nie stanowią przepisów zakazujących.</w:t>
      </w:r>
    </w:p>
    <w:p w14:paraId="399B39AC" w14:textId="77777777">
      <w:pPr>
        <w:widowControl w:val="0"/>
        <w:tabs>
          <w:tab w:val="left" w:pos="430"/>
        </w:tabs>
        <w:autoSpaceDE w:val="0"/>
        <w:autoSpaceDN w:val="0"/>
        <w:spacing w:after="0" w:line="240" w:lineRule="auto"/>
        <w:jc w:val="both"/>
        <w:rPr>
          <w:rFonts w:ascii="Times New Roman" w:hAnsi="Times New Roman" w:cs="Times New Roman" w:eastAsia="Times New Roman"/>
          <w:i/>
          <w:iCs/>
          <w:sz w:val="20"/>
          <w:szCs w:val="16"/>
        </w:rPr>
      </w:pPr>
    </w:p>
    <w:p w14:paraId="03484B57" w14:textId="639C0DF2">
      <w:pPr>
        <w:pStyle w:val="P68B1DB1-Normal15"/>
        <w:widowControl w:val="0"/>
        <w:tabs>
          <w:tab w:val="left" w:pos="430"/>
        </w:tabs>
        <w:autoSpaceDE w:val="0"/>
        <w:autoSpaceDN w:val="0"/>
        <w:spacing w:after="0" w:line="240" w:lineRule="auto"/>
        <w:ind w:left="567"/>
        <w:jc w:val="both"/>
        <w:rPr>
          <w:iCs/>
        </w:rPr>
      </w:pPr>
      <w:r>
        <w:t>„</w:t>
      </w:r>
      <w:bookmarkStart w:id="107" w:name="point70"/>
      <w:r>
        <w:t>70</w:t>
      </w:r>
      <w:bookmarkEnd w:id="107"/>
      <w:r>
        <w:t xml:space="preserve">. [...] uregulowanie rozpatrywane w postępowaniu głównym nie jest objęte zakresem stosowania przepisów technicznych, o których mowa w art. 1 pkt 11 dyrektywy 98/34, ponieważ ograniczając się do wskazania dorozumianego wymogu umownego, nie zawiera ono żadnego zakazu, w rozumieniu tej dyrektywy, wytwarzania, przywozu, wprowadzania do obrotu lub używania produktu, świadczenia lub korzystania z usługi lub podejmowania działalności w charakterze usługodawcy”.</w:t>
      </w:r>
    </w:p>
    <w:p w14:paraId="444E99F8" w14:textId="77777777">
      <w:pPr>
        <w:spacing w:after="0" w:line="240" w:lineRule="auto"/>
      </w:pPr>
    </w:p>
    <w:p w14:paraId="178807FF" w14:textId="18545DE8">
      <w:pPr>
        <w:pStyle w:val="P68B1DB1-Normal13"/>
        <w:widowControl w:val="0"/>
        <w:autoSpaceDE w:val="0"/>
        <w:autoSpaceDN w:val="0"/>
        <w:spacing w:after="0" w:line="240" w:lineRule="auto"/>
        <w:jc w:val="both"/>
        <w:outlineLvl w:val="1"/>
      </w:pPr>
      <w:hyperlink r:id="rId65" w:anchor="ctx1" w:history="1">
        <w:r>
          <w:rPr>
            <w:color w:val="0000FF"/>
            <w:u w:val="single"/>
          </w:rPr>
          <w:t xml:space="preserve">Wyrok z dnia 28 maja 2020</w:t>
        </w:r>
      </w:hyperlink>
      <w:r>
        <w:t xml:space="preserve"> r., ECO-WIND Construction, C-727/17, EU:C:2020:393, pkt 45–47.</w:t>
      </w:r>
      <w:bookmarkEnd w:id="108"/>
    </w:p>
    <w:p w14:paraId="58A77184" w14:textId="77777777">
      <w:pPr>
        <w:widowControl w:val="0"/>
        <w:autoSpaceDE w:val="0"/>
        <w:autoSpaceDN w:val="0"/>
        <w:spacing w:after="0" w:line="240" w:lineRule="auto"/>
        <w:jc w:val="both"/>
        <w:rPr>
          <w:rFonts w:ascii="Times New Roman" w:hAnsi="Times New Roman" w:cs="Times New Roman" w:eastAsia="Times New Roman"/>
          <w:szCs w:val="20"/>
        </w:rPr>
      </w:pPr>
    </w:p>
    <w:p w14:paraId="2ABAB16B" w14:textId="5B45D2BF">
      <w:pPr>
        <w:pStyle w:val="P68B1DB1-Normal14"/>
        <w:widowControl w:val="0"/>
        <w:autoSpaceDE w:val="0"/>
        <w:autoSpaceDN w:val="0"/>
        <w:spacing w:after="0" w:line="240" w:lineRule="auto"/>
        <w:jc w:val="both"/>
      </w:pPr>
      <w:r>
        <w:t xml:space="preserve">Przepisy nakładające minimalną odległość w przypadku instalacji turbin wiatrowych nie stanowią zakazu produkcji, przywozu, wprowadzania do obrotu lub używania produktu, chyba że przewidują one de facto zakaz wprowadzania do obrotu turbin wiatrowych, nie pozostawiając miejsca na wykorzystanie turbin wiatrowych poza czysto marginalnym.</w:t>
      </w:r>
    </w:p>
    <w:p w14:paraId="57350EE4" w14:textId="77777777">
      <w:pPr>
        <w:pStyle w:val="BodyText"/>
        <w:jc w:val="left"/>
      </w:pPr>
    </w:p>
    <w:p w14:paraId="671DACC6" w14:textId="1CB89713">
      <w:pPr>
        <w:pStyle w:val="P68B1DB1-BodyText19"/>
        <w:ind w:left="567"/>
        <w:rPr>
          <w:iCs/>
        </w:rPr>
      </w:pPr>
      <w:r>
        <w:t xml:space="preserve">„45. W ramach tej kategorii należy założyć, że rozpatrywane uregulowanie ma zakres, który wyraźnie wykracza poza zacieśnienie możliwości używania spornego produktu do pewnych możliwych zastosowań, i nie sprowadza się do zwykłego ograniczenia używania tego produktu (wyroki: z dnia 21 kwietnia 2005 r., Lindberg, C-267/03, EU:C:2005:246, pkt 76; a także z dnia 19 lipca 2012 r., Fortuna i in., C-213/11, C-214/11 i C-217/11, EU:C:2012:495, pkt 31).</w:t>
      </w:r>
    </w:p>
    <w:p w14:paraId="787A0A4F" w14:textId="77777777">
      <w:pPr>
        <w:pStyle w:val="P68B1DB1-BodyText19"/>
        <w:ind w:left="567"/>
        <w:rPr>
          <w:iCs/>
        </w:rPr>
      </w:pPr>
    </w:p>
    <w:p w14:paraId="7CEA657E" w14:textId="35F61E5B">
      <w:pPr>
        <w:pStyle w:val="P68B1DB1-BodyText19"/>
        <w:ind w:left="567"/>
        <w:rPr>
          <w:iCs/>
        </w:rPr>
      </w:pPr>
      <w:r>
        <w:t xml:space="preserve">46. Wspomniana kategoria dotyczy bowiem w szczególności przepisów krajowych, które pozostawiają miejsce jedynie na marginalne zastosowanie produktu w stosunku do tego, którego można by rozsądnie oczekiwać (wyroki: z dnia 21 kwietnia 2005 r., Lindberg, C-267/03, EU:C:2005:246, pkt 77; a także z dnia 19 lipca 2012 r., Fortuna i in., C-213/11, C-214/11 i C-217/11, EU:C:2012:495, pkt 32).</w:t>
      </w:r>
    </w:p>
    <w:p w14:paraId="47448916" w14:textId="77777777">
      <w:pPr>
        <w:pStyle w:val="P68B1DB1-BodyText19"/>
        <w:ind w:left="567"/>
        <w:rPr>
          <w:iCs/>
        </w:rPr>
      </w:pPr>
    </w:p>
    <w:p w14:paraId="6508CA59" w14:textId="00D7F268">
      <w:pPr>
        <w:pStyle w:val="P68B1DB1-BodyText19"/>
        <w:ind w:left="567"/>
        <w:rPr>
          <w:iCs/>
        </w:rPr>
      </w:pPr>
      <w:r>
        <w:t xml:space="preserve">47. W niniejszej sprawie, o ile wymóg, zgodnie z którym instalacja turbiny wiatrowej jest uzależniona od spełnienia warunku minimalnej odległości między tą turbiną wiatrową a budynkami mieszkalnymi, nałożony przez przepisy krajowe rozpatrywane w postępowaniu głównym, obejmuje wprawdzie zakaz instalowania turbiny wiatrowej w odległości mniejszej niż dziesięciokrotna całkowita wysokość planowanej instalacji od jakiegokolwiek budynku pełniącego funkcję mieszkalną, o tyle należy zauważyć, że przepisy te nie zakazują podmiotom gospodarczym dalszego instalowania turbin wiatrowych, a tym samym użytkowania i wprowadzania do obrotu turbin wiatrowych”.</w:t>
      </w:r>
    </w:p>
    <w:p w14:paraId="17B77596" w14:textId="77777777">
      <w:pPr>
        <w:pStyle w:val="P68B1DB1-Normal4"/>
        <w:spacing w:after="0" w:line="240" w:lineRule="auto"/>
        <w:rPr>
          <w:rFonts w:ascii="Times New Roman" w:hAnsi="Times New Roman" w:cs="Times New Roman" w:eastAsia="Times New Roman"/>
          <w:i/>
          <w:iCs/>
          <w:szCs w:val="20"/>
        </w:rPr>
      </w:pPr>
      <w:r>
        <w:br w:type="page"/>
      </w:r>
    </w:p>
    <w:p w14:paraId="235FB3C0" w14:textId="44F6C5C7">
      <w:pPr>
        <w:pStyle w:val="P68B1DB1-Heading24"/>
        <w:numPr>
          <w:ilvl w:val="0"/>
          <w:numId w:val="35"/>
        </w:numPr>
        <w:spacing w:before="0" w:after="0"/>
        <w:jc w:val="center"/>
        <w:rPr>
          <w:bCs/>
          <w:color w:val="auto"/>
        </w:rPr>
      </w:pPr>
      <w:bookmarkStart w:id="109" w:name="_Ref194484603"/>
      <w:bookmarkStart w:id="110" w:name="_Toc203035671"/>
      <w:r>
        <w:t xml:space="preserve">De Facto Przepisy techniczne</w:t>
      </w:r>
      <w:bookmarkEnd w:id="109"/>
      <w:bookmarkEnd w:id="110"/>
    </w:p>
    <w:p w14:paraId="297F85EC" w14:textId="77777777">
      <w:pPr>
        <w:pStyle w:val="BodyText"/>
      </w:pPr>
    </w:p>
    <w:p w14:paraId="6C908457" w14:textId="3B825828">
      <w:pPr>
        <w:pStyle w:val="P68B1DB1-BodyText11"/>
        <w:ind w:left="567"/>
        <w:rPr>
          <w:i/>
        </w:rPr>
      </w:pPr>
      <w:r>
        <w:t xml:space="preserve">„Rzeczywiste przepisy techniczne obejmują: </w:t>
      </w:r>
    </w:p>
    <w:p w14:paraId="277715A6" w14:textId="77777777">
      <w:pPr>
        <w:pStyle w:val="BodyText"/>
        <w:ind w:left="567"/>
        <w:rPr>
          <w:i/>
        </w:rPr>
      </w:pPr>
    </w:p>
    <w:p w14:paraId="28BCD2BD" w14:textId="757EEC79">
      <w:pPr>
        <w:pStyle w:val="P68B1DB1-BodyText11"/>
        <w:numPr>
          <w:ilvl w:val="0"/>
          <w:numId w:val="31"/>
        </w:numPr>
        <w:rPr>
          <w:i/>
        </w:rPr>
      </w:pPr>
      <w:r>
        <w:t xml:space="preserve">przepisy ustawowe, wykonawcze lub administracyjne państwa członkowskiego, które odnoszą się do specyfikacji technicznych bądź innych wymagań lub zasad dotyczących usług, bądź też do kodeksów zawodowych lub kodeksów postępowania, które z kolei odnoszą się do specyfikacji technicznych bądź do innych wymogów lub zasad dotyczących usług, zgodność z którymi pociąga za sobą domniemanie zgodności ze zobowiązaniami nałożonymi przez wspomniane przepisy ustawowe, wykonawcze lub administracyjne; </w:t>
      </w:r>
    </w:p>
    <w:p w14:paraId="32E4257D" w14:textId="77777777">
      <w:pPr>
        <w:pStyle w:val="BodyText"/>
        <w:ind w:left="1287"/>
        <w:rPr>
          <w:i/>
        </w:rPr>
      </w:pPr>
    </w:p>
    <w:p w14:paraId="5E0B6B62" w14:textId="2D5EF06C">
      <w:pPr>
        <w:pStyle w:val="P68B1DB1-BodyText11"/>
        <w:numPr>
          <w:ilvl w:val="0"/>
          <w:numId w:val="31"/>
        </w:numPr>
        <w:rPr>
          <w:i/>
        </w:rPr>
      </w:pPr>
      <w:r>
        <w:t xml:space="preserve">dobrowolne porozumienia, których organy publiczne są stroną umawiającą się, a które przewidują, w interesie ogólnym, zgodność ze specyfikacjami technicznymi lub innymi wymogami bądź zasadami dotyczącymi usług, z wyjątkiem specyfikacji odnoszących się do przetargów przy zamówieniach publicznych; </w:t>
      </w:r>
    </w:p>
    <w:p w14:paraId="4BEF10A9" w14:textId="77777777">
      <w:pPr>
        <w:pStyle w:val="BodyText"/>
        <w:rPr>
          <w:i/>
        </w:rPr>
      </w:pPr>
    </w:p>
    <w:p w14:paraId="5C79F6B1" w14:textId="7967F579">
      <w:pPr>
        <w:pStyle w:val="P68B1DB1-BodyText11"/>
        <w:numPr>
          <w:ilvl w:val="0"/>
          <w:numId w:val="31"/>
        </w:numPr>
        <w:rPr>
          <w:i/>
        </w:rPr>
      </w:pPr>
      <w:r>
        <w:t xml:space="preserve">specyfikacje techniczne lub inne wymogi bądź zasady dotyczące usług, związane ze środkami fiskalnymi lub finansowymi mającymi wpływ na konsumpcję produktów lub usług przez wspomaganie przestrzegania takich specyfikacji technicznych lub innych wymogów lub zasad dotyczących usług; specyfikacje techniczne lub inne wymogi bądź zasady dotyczące usług powiązan e z systemami zabezpieczenia społecznego nie są objęte tym znaczeniem. </w:t>
      </w:r>
    </w:p>
    <w:p w14:paraId="712A28B1" w14:textId="77777777">
      <w:pPr>
        <w:pStyle w:val="BodyText"/>
        <w:rPr>
          <w:i/>
        </w:rPr>
      </w:pPr>
    </w:p>
    <w:p w14:paraId="24545D3F" w14:textId="615DFC82">
      <w:pPr>
        <w:pStyle w:val="P68B1DB1-BodyText11"/>
        <w:ind w:left="567"/>
        <w:rPr>
          <w:i/>
        </w:rPr>
      </w:pPr>
      <w:r>
        <w:t xml:space="preserve">Obejmuje to przepisy techniczne nałożone przez organy wyznaczone przez państwa członkowskie i znajdujące się w wykazie sporządzonym i aktualizowanym, w stosownych przypadkach, przez Komisję w ramach komitetu, o którym mowa w art. 2.”</w:t>
      </w:r>
    </w:p>
    <w:p w14:paraId="5E87FB40" w14:textId="77777777">
      <w:pPr>
        <w:pStyle w:val="BodyText"/>
        <w:ind w:left="567"/>
        <w:rPr>
          <w:i/>
        </w:rPr>
      </w:pPr>
    </w:p>
    <w:p w14:paraId="5389ED96" w14:textId="0CBC1966">
      <w:pPr>
        <w:pStyle w:val="BodyText"/>
        <w:jc w:val="right"/>
      </w:pPr>
      <w:r>
        <w:t xml:space="preserve">(art. 1 ust. 1 lit. f) zdanie drugie i trzecie dyrektywy (UE) 2015/1535)</w:t>
      </w:r>
    </w:p>
    <w:p w14:paraId="1343FCC6" w14:textId="77777777">
      <w:pPr>
        <w:pStyle w:val="BodyText"/>
        <w:ind w:left="567"/>
        <w:rPr>
          <w:i/>
          <w:iCs/>
          <w:sz w:val="20"/>
        </w:rPr>
      </w:pPr>
    </w:p>
    <w:p w14:paraId="46B01CEE" w14:textId="37C6A676">
      <w:pPr>
        <w:pStyle w:val="P68B1DB1-Normal13"/>
        <w:widowControl w:val="0"/>
        <w:autoSpaceDE w:val="0"/>
        <w:autoSpaceDN w:val="0"/>
        <w:spacing w:after="0" w:line="240" w:lineRule="auto"/>
        <w:jc w:val="both"/>
        <w:outlineLvl w:val="1"/>
      </w:pPr>
      <w:hyperlink r:id="rId66" w:history="1">
        <w:r>
          <w:rPr>
            <w:color w:val="0000FF"/>
            <w:u w:val="single"/>
          </w:rPr>
          <w:t xml:space="preserve">Wyrok z dnia 20 marca 1997</w:t>
        </w:r>
      </w:hyperlink>
      <w:r>
        <w:t xml:space="preserve"> r., Bic Benelux, C-13/96, EU:C:1997:173, pkt 23–25</w:t>
      </w:r>
      <w:bookmarkEnd w:id="111"/>
    </w:p>
    <w:p w14:paraId="6D52B9D0"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19AF5B39" w14:textId="5DD94CEA">
      <w:pPr>
        <w:pStyle w:val="P68B1DB1-Normal14"/>
        <w:widowControl w:val="0"/>
        <w:tabs>
          <w:tab w:val="left" w:pos="396"/>
          <w:tab w:val="left" w:pos="400"/>
        </w:tabs>
        <w:autoSpaceDE w:val="0"/>
        <w:autoSpaceDN w:val="0"/>
        <w:spacing w:after="0" w:line="240" w:lineRule="auto"/>
        <w:jc w:val="both"/>
      </w:pPr>
      <w:r>
        <w:t xml:space="preserve">Wymóg oznakowania mający na celu informowanie konsumenta o śladzie środowiskowym niektórych produktów i powiązany z podatkiem, ale stanowi specyfikację techniczną. Nie można go uznać za wyłącznie „związany ze środkiem fiskalnym”, a zatem nie wchodzi on w zakres definicji „przepisów technicznych de facto”.</w:t>
      </w:r>
    </w:p>
    <w:p w14:paraId="34416FD0" w14:textId="77777777">
      <w:pPr>
        <w:pStyle w:val="P68B1DB1-Normal15"/>
        <w:widowControl w:val="0"/>
        <w:autoSpaceDE w:val="0"/>
        <w:autoSpaceDN w:val="0"/>
        <w:spacing w:after="0" w:line="240" w:lineRule="auto"/>
        <w:jc w:val="both"/>
      </w:pPr>
    </w:p>
    <w:p w14:paraId="308DB606" w14:textId="777B30B5">
      <w:pPr>
        <w:pStyle w:val="P68B1DB1-Normal15"/>
        <w:widowControl w:val="0"/>
        <w:autoSpaceDE w:val="0"/>
        <w:autoSpaceDN w:val="0"/>
        <w:spacing w:after="0" w:line="240" w:lineRule="auto"/>
        <w:ind w:left="510"/>
        <w:jc w:val="both"/>
      </w:pPr>
      <w:r>
        <w:t xml:space="preserve">„23. [...] po pierwsze, wymóg oznakowania będący przedmiotem postępowania głównego stanowi, zgodnie z definicją zawartą w art. 1 ust. 5 dyrektywy 83/189, przepis techniczny de iure w zakresie, w jakim jego „zachowanie [...] jest obowiązkowe [...] w przypadku wprowadzania do obrotu” danego produktu, a zgodnie z definicją zawartą w art. 1 ust. 1 stanowi specyfikację techniczną, ponieważ w akcie tym zdefiniowano „wymagane cechy produktu, takie jak [...] wymogi mające zastosowanie do produktu w zakresie [...] oznakowania lub etykietowania”. </w:t>
      </w:r>
    </w:p>
    <w:p w14:paraId="05172C30" w14:textId="77777777">
      <w:pPr>
        <w:pStyle w:val="P68B1DB1-Normal15"/>
        <w:widowControl w:val="0"/>
        <w:autoSpaceDE w:val="0"/>
        <w:autoSpaceDN w:val="0"/>
        <w:spacing w:after="0" w:line="240" w:lineRule="auto"/>
        <w:ind w:left="510"/>
        <w:jc w:val="both"/>
      </w:pPr>
    </w:p>
    <w:p w14:paraId="136F7452" w14:textId="4C08810C">
      <w:pPr>
        <w:pStyle w:val="P68B1DB1-Normal15"/>
        <w:widowControl w:val="0"/>
        <w:autoSpaceDE w:val="0"/>
        <w:autoSpaceDN w:val="0"/>
        <w:spacing w:after="0" w:line="240" w:lineRule="auto"/>
        <w:ind w:left="510"/>
        <w:jc w:val="both"/>
      </w:pPr>
      <w:r>
        <w:t xml:space="preserve">24. Po drugie, sporne oznakowanie ma na celu informowanie opinii publicznej między innymi o wpływie produktów na środowisko, a rząd belgijski potwierdził znaczenie, jakie należy przywiązywać do tego aspektu przepisów dotyczących oznakowania. Cel podatku na ochronę środowiska, jakim jest ochrona środowiska, jest zatem wzmocniony przez oznakowanie, które, podobnie jak inne oznakowanie ekologiczne, niezależnie od tego, czy jest ono związane z podatkiem ekologicznym, czy też nie, przypomina konsumentom o szkodliwym wpływie danych produktów na środowisko. </w:t>
      </w:r>
    </w:p>
    <w:p w14:paraId="630640E3" w14:textId="77777777">
      <w:pPr>
        <w:pStyle w:val="P68B1DB1-Normal15"/>
        <w:widowControl w:val="0"/>
        <w:autoSpaceDE w:val="0"/>
        <w:autoSpaceDN w:val="0"/>
        <w:spacing w:after="0" w:line="240" w:lineRule="auto"/>
        <w:ind w:left="510"/>
        <w:jc w:val="both"/>
      </w:pPr>
    </w:p>
    <w:p w14:paraId="2F553F93" w14:textId="7D4B80F2">
      <w:pPr>
        <w:pStyle w:val="P68B1DB1-Normal15"/>
        <w:widowControl w:val="0"/>
        <w:autoSpaceDE w:val="0"/>
        <w:autoSpaceDN w:val="0"/>
        <w:spacing w:after="0" w:line="240" w:lineRule="auto"/>
        <w:ind w:left="510"/>
        <w:jc w:val="both"/>
      </w:pPr>
      <w:r>
        <w:t xml:space="preserve">25. Ponieważ sporny wymóg oznakowania w żaden sposób nie może być uznany za wyłącznie fiskalny środek towarzyszący, nie stanowi on zatem wymogu związanego ze środkiem fiskalnym w rozumieniu art. 1 ust. 9 akapit drugi tiret trzecie dyrektywy 83/189, zmienionej dyrektywą 94/10”.</w:t>
      </w:r>
    </w:p>
    <w:p w14:paraId="2A051963" w14:textId="77777777">
      <w:pPr>
        <w:pStyle w:val="BodyText"/>
        <w:rPr>
          <w:i/>
          <w:iCs/>
          <w:sz w:val="20"/>
        </w:rPr>
      </w:pPr>
    </w:p>
    <w:p w14:paraId="0C96C56C" w14:textId="48164FB1">
      <w:pPr>
        <w:pStyle w:val="P68B1DB1-Normal14"/>
        <w:widowControl w:val="0"/>
        <w:autoSpaceDE w:val="0"/>
        <w:autoSpaceDN w:val="0"/>
        <w:spacing w:after="0" w:line="240" w:lineRule="auto"/>
        <w:jc w:val="both"/>
        <w:outlineLvl w:val="1"/>
        <w:rPr>
          <w:b/>
          <w:i/>
        </w:rPr>
      </w:pPr>
      <w:hyperlink r:id="rId67" w:history="1">
        <w:r>
          <w:rPr>
            <w:b/>
            <w:i/>
            <w:color w:val="0000FF"/>
            <w:u w:val="single"/>
          </w:rPr>
          <w:t xml:space="preserve">Wyrok z dnia 10 lipca 2014 r.,</w:t>
        </w:r>
      </w:hyperlink>
      <w:r>
        <w:rPr>
          <w:b/>
          <w:i/>
        </w:rPr>
        <w:t xml:space="preserve"> Ivansson i</w:t>
      </w:r>
      <w:r>
        <w:rPr>
          <w:sz w:val="25"/>
        </w:rPr>
        <w:t xml:space="preserve"> in.,</w:t>
      </w:r>
      <w:r>
        <w:rPr>
          <w:b/>
          <w:i/>
        </w:rPr>
        <w:t xml:space="preserve"> C-307/13, EU:C:2014:2058, pkt 30 i 31</w:t>
      </w:r>
      <w:bookmarkEnd w:id="112"/>
    </w:p>
    <w:p w14:paraId="0F2071D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BC0205" w14:textId="0A761A08">
      <w:pPr>
        <w:pStyle w:val="P68B1DB1-Normal14"/>
        <w:widowControl w:val="0"/>
        <w:tabs>
          <w:tab w:val="left" w:pos="396"/>
          <w:tab w:val="left" w:pos="407"/>
        </w:tabs>
        <w:autoSpaceDE w:val="0"/>
        <w:autoSpaceDN w:val="0"/>
        <w:spacing w:after="0" w:line="240" w:lineRule="auto"/>
        <w:jc w:val="both"/>
      </w:pPr>
      <w:r>
        <w:t xml:space="preserve">Odniesienie do szczegółowych przepisów administracyjnych zawierających „specyfikacje techniczne” lub „inne wymagania” może nadać projektowi ustawy status „przepisów technicznych de facto”.</w:t>
      </w:r>
    </w:p>
    <w:p w14:paraId="49A66D81" w14:textId="77777777">
      <w:pPr>
        <w:widowControl w:val="0"/>
        <w:tabs>
          <w:tab w:val="left" w:pos="396"/>
          <w:tab w:val="left" w:pos="407"/>
        </w:tabs>
        <w:autoSpaceDE w:val="0"/>
        <w:autoSpaceDN w:val="0"/>
        <w:spacing w:after="0" w:line="240" w:lineRule="auto"/>
        <w:jc w:val="both"/>
        <w:rPr>
          <w:rFonts w:ascii="Times New Roman" w:hAnsi="Times New Roman" w:cs="Times New Roman" w:eastAsia="Times New Roman"/>
          <w:szCs w:val="20"/>
        </w:rPr>
      </w:pPr>
    </w:p>
    <w:p w14:paraId="5AA4573D" w14:textId="6BC7CE32">
      <w:pPr>
        <w:pStyle w:val="P68B1DB1-Normal15"/>
        <w:widowControl w:val="0"/>
        <w:tabs>
          <w:tab w:val="left" w:pos="396"/>
          <w:tab w:val="left" w:pos="407"/>
        </w:tabs>
        <w:autoSpaceDE w:val="0"/>
        <w:autoSpaceDN w:val="0"/>
        <w:spacing w:after="0" w:line="240" w:lineRule="auto"/>
        <w:ind w:left="567"/>
        <w:jc w:val="both"/>
        <w:rPr>
          <w:iCs/>
        </w:rPr>
      </w:pPr>
      <w:r>
        <w:t xml:space="preserve">„30. [...] należy stwierdzić, że o ile sam ten ustęp </w:t>
      </w:r>
      <w:r>
        <w:rPr>
          <w:i w:val="0"/>
        </w:rPr>
        <w:t xml:space="preserve">[prawa krajowego]</w:t>
      </w:r>
      <w:r>
        <w:t xml:space="preserve"> nie stanowi przepisu technicznego, o tyle w akapicie drugim odnosi się on do dodatkowych przepisów dotyczących hodowli kur, które zostaną przekazane w późniejszym terminie przez radę ds. rolnictwa.</w:t>
      </w:r>
    </w:p>
    <w:p w14:paraId="6DB3B6F8" w14:textId="77777777">
      <w:pPr>
        <w:pStyle w:val="P68B1DB1-Normal15"/>
        <w:widowControl w:val="0"/>
        <w:tabs>
          <w:tab w:val="left" w:pos="396"/>
          <w:tab w:val="left" w:pos="407"/>
        </w:tabs>
        <w:autoSpaceDE w:val="0"/>
        <w:autoSpaceDN w:val="0"/>
        <w:spacing w:after="0" w:line="240" w:lineRule="auto"/>
        <w:ind w:left="567"/>
        <w:jc w:val="both"/>
        <w:rPr>
          <w:iCs/>
        </w:rPr>
      </w:pPr>
    </w:p>
    <w:p w14:paraId="7D1833D5" w14:textId="7451C7D7">
      <w:pPr>
        <w:pStyle w:val="P68B1DB1-Normal15"/>
        <w:widowControl w:val="0"/>
        <w:tabs>
          <w:tab w:val="left" w:pos="396"/>
          <w:tab w:val="left" w:pos="407"/>
        </w:tabs>
        <w:autoSpaceDE w:val="0"/>
        <w:autoSpaceDN w:val="0"/>
        <w:spacing w:after="0" w:line="240" w:lineRule="auto"/>
        <w:ind w:left="567"/>
        <w:jc w:val="both"/>
        <w:rPr>
          <w:iCs/>
        </w:rPr>
      </w:pPr>
      <w:r>
        <w:t xml:space="preserve">31. Takie odniesienie do bardziej szczegółowych przepisów administracyjnych może, o ile przepisy te można uznać za same w sobie stanowiące »specyfikacje techniczne« lub »inne wymagania«, nadać § 9 DSF status »przepisów technicznych de facto« zgodnie z art. 1 pkt 11 tiret pierwsze dyrektywy 98/34”.</w:t>
      </w:r>
    </w:p>
    <w:p w14:paraId="770077A5" w14:textId="77777777">
      <w:pPr>
        <w:pStyle w:val="BodyText"/>
        <w:rPr>
          <w:i/>
          <w:iCs/>
          <w:sz w:val="20"/>
        </w:rPr>
      </w:pPr>
    </w:p>
    <w:p w14:paraId="0CF29864" w14:textId="5F056C69">
      <w:pPr>
        <w:pStyle w:val="P68B1DB1-Normal13"/>
        <w:widowControl w:val="0"/>
        <w:autoSpaceDE w:val="0"/>
        <w:autoSpaceDN w:val="0"/>
        <w:spacing w:after="0" w:line="240" w:lineRule="auto"/>
        <w:jc w:val="both"/>
        <w:outlineLvl w:val="1"/>
      </w:pPr>
      <w:hyperlink r:id="rId68" w:anchor="ctx1" w:history="1">
        <w:r>
          <w:rPr>
            <w:color w:val="0000FF"/>
            <w:u w:val="single"/>
          </w:rPr>
          <w:t xml:space="preserve">Wyrok z dnia 11 czerwca 2015</w:t>
        </w:r>
      </w:hyperlink>
      <w:r>
        <w:t xml:space="preserve"> r., Berlington Hungary i in., C-98/14, EU:C:2015:386, pkt 95–97</w:t>
      </w:r>
      <w:bookmarkEnd w:id="113"/>
    </w:p>
    <w:p w14:paraId="51CCE70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C8DCCD" w14:textId="152D2442">
      <w:pPr>
        <w:pStyle w:val="P68B1DB1-Normal14"/>
        <w:widowControl w:val="0"/>
        <w:tabs>
          <w:tab w:val="left" w:pos="396"/>
          <w:tab w:val="left" w:pos="398"/>
        </w:tabs>
        <w:autoSpaceDE w:val="0"/>
        <w:autoSpaceDN w:val="0"/>
        <w:spacing w:after="0" w:line="240" w:lineRule="auto"/>
        <w:jc w:val="both"/>
      </w:pPr>
      <w:r>
        <w:t xml:space="preserve">Przepisy krajowe, które mnożą przez pięć podatku należnego od automatów do gier eksploatowanych w salonach gier, a także wprowadzają podatek proporcjonalny od tej działalności, nie stanowią „przepisów technicznych de facto”, ponieważ są to przepisy podatkowe, a nie „specyfikacje techniczne związane z regułą podatkową” w rozumieniu dyrektywy.</w:t>
      </w:r>
    </w:p>
    <w:p w14:paraId="00CB80B7"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5DBF183B" w14:textId="70A7203F">
      <w:pPr>
        <w:pStyle w:val="P68B1DB1-Normal15"/>
        <w:widowControl w:val="0"/>
        <w:tabs>
          <w:tab w:val="left" w:pos="396"/>
          <w:tab w:val="left" w:pos="449"/>
        </w:tabs>
        <w:autoSpaceDE w:val="0"/>
        <w:autoSpaceDN w:val="0"/>
        <w:spacing w:after="0" w:line="240" w:lineRule="auto"/>
        <w:ind w:left="567"/>
        <w:jc w:val="both"/>
      </w:pPr>
      <w:r>
        <w:t xml:space="preserve">„95. Zgodnie z art. 1 ust. 11 tiret trzecie tej dyrektywy „przepisy techniczne de facto” w rozumieniu tego przepisu obejmują „specyfikacje techniczne lub inne wymagania lub zasady dotyczące usług, które są związane ze środkami fiskalnymi lub finansowymi mającymi wpływ na konsumpcję produktów lub usług poprzez zachęcanie do przestrzegania takich specyfikacji technicznych lub innych wymogów lub zasad dotyczących usług”.</w:t>
      </w:r>
    </w:p>
    <w:p w14:paraId="07116B99" w14:textId="77777777">
      <w:pPr>
        <w:pStyle w:val="P68B1DB1-Normal15"/>
        <w:widowControl w:val="0"/>
        <w:tabs>
          <w:tab w:val="left" w:pos="396"/>
          <w:tab w:val="left" w:pos="449"/>
        </w:tabs>
        <w:autoSpaceDE w:val="0"/>
        <w:autoSpaceDN w:val="0"/>
        <w:spacing w:after="0" w:line="240" w:lineRule="auto"/>
        <w:ind w:left="567"/>
        <w:jc w:val="both"/>
      </w:pPr>
    </w:p>
    <w:p w14:paraId="42599018" w14:textId="2DFE2CF5">
      <w:pPr>
        <w:pStyle w:val="P68B1DB1-Normal15"/>
        <w:widowControl w:val="0"/>
        <w:tabs>
          <w:tab w:val="left" w:pos="396"/>
          <w:tab w:val="left" w:pos="449"/>
        </w:tabs>
        <w:autoSpaceDE w:val="0"/>
        <w:autoSpaceDN w:val="0"/>
        <w:spacing w:after="0" w:line="240" w:lineRule="auto"/>
        <w:ind w:left="567"/>
        <w:jc w:val="both"/>
      </w:pPr>
      <w:r>
        <w:t xml:space="preserve">96. Z brzmienia tego wynika, że pojęcie „przepisów technicznych de facto” oznacza nie same środki podatkowe, lecz specyfikacje techniczne lub inne związane z nimi wymogi.</w:t>
      </w:r>
    </w:p>
    <w:p w14:paraId="00F9B573" w14:textId="77777777">
      <w:pPr>
        <w:pStyle w:val="P68B1DB1-Normal15"/>
        <w:widowControl w:val="0"/>
        <w:tabs>
          <w:tab w:val="left" w:pos="396"/>
          <w:tab w:val="left" w:pos="449"/>
        </w:tabs>
        <w:autoSpaceDE w:val="0"/>
        <w:autoSpaceDN w:val="0"/>
        <w:spacing w:after="0" w:line="240" w:lineRule="auto"/>
        <w:ind w:left="567"/>
        <w:jc w:val="both"/>
      </w:pPr>
    </w:p>
    <w:p w14:paraId="60E2105A" w14:textId="6B2A54B5">
      <w:pPr>
        <w:pStyle w:val="P68B1DB1-Normal15"/>
        <w:widowControl w:val="0"/>
        <w:tabs>
          <w:tab w:val="left" w:pos="396"/>
          <w:tab w:val="left" w:pos="449"/>
        </w:tabs>
        <w:autoSpaceDE w:val="0"/>
        <w:autoSpaceDN w:val="0"/>
        <w:spacing w:after="0" w:line="240" w:lineRule="auto"/>
        <w:ind w:left="567"/>
        <w:jc w:val="both"/>
        <w:rPr>
          <w:iCs/>
        </w:rPr>
      </w:pPr>
      <w:r>
        <w:t xml:space="preserve">97. W związku z tym przepisów podatkowych takich jak rozpatrywane w postępowaniu głównym, którym nie towarzyszy żadna specyfikacja techniczna ani żaden inny wymóg, którego celem jest rzekomo zapewnienie zgodności, nie można uznać za »przepisy techniczne de facto«”.</w:t>
      </w:r>
    </w:p>
    <w:p w14:paraId="37BAFBC9" w14:textId="77777777">
      <w:pPr>
        <w:pStyle w:val="BodyText"/>
        <w:rPr>
          <w:i/>
          <w:iCs/>
          <w:sz w:val="20"/>
        </w:rPr>
      </w:pPr>
    </w:p>
    <w:p w14:paraId="7274149C" w14:textId="5D545442">
      <w:pPr>
        <w:pStyle w:val="P68B1DB1-Normal13"/>
        <w:widowControl w:val="0"/>
        <w:autoSpaceDE w:val="0"/>
        <w:autoSpaceDN w:val="0"/>
        <w:spacing w:after="0" w:line="240" w:lineRule="auto"/>
        <w:jc w:val="both"/>
        <w:outlineLvl w:val="1"/>
      </w:pPr>
      <w:hyperlink r:id="rId69" w:history="1">
        <w:r>
          <w:rPr>
            <w:color w:val="0000FF"/>
            <w:u w:val="single"/>
          </w:rPr>
          <w:t xml:space="preserve">Wyrok z dnia 8 października 2020</w:t>
        </w:r>
      </w:hyperlink>
      <w:r>
        <w:t xml:space="preserve"> r., Admiral Sportwetten i in., EU:C:2020:812, pkt 38, 41</w:t>
      </w:r>
      <w:bookmarkEnd w:id="114"/>
    </w:p>
    <w:p w14:paraId="6A479E47"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58900280" w14:textId="5B06B273">
      <w:pPr>
        <w:pStyle w:val="P68B1DB1-Normal14"/>
        <w:widowControl w:val="0"/>
        <w:tabs>
          <w:tab w:val="left" w:pos="537"/>
          <w:tab w:val="left" w:pos="539"/>
        </w:tabs>
        <w:autoSpaceDE w:val="0"/>
        <w:autoSpaceDN w:val="0"/>
        <w:spacing w:after="0" w:line="240" w:lineRule="auto"/>
        <w:jc w:val="both"/>
      </w:pPr>
      <w:r>
        <w:t xml:space="preserve">Przepisy podatkowe, którym nie towarzyszy żadna „specyfikacja techniczna” ani żaden inny wymóg, którego celem jest zapewnienie zgodności, nie mogą zostać zakwalifikowane jako „przepisy techniczne de facto”. Krajowe przepisy podatkowe przewidujące opodatkowanie funkcjonowania automatów do zakładów sportowych nie stanowią zatem „przepisów technicznych”.</w:t>
      </w:r>
    </w:p>
    <w:p w14:paraId="27BCDA3E"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130D4C07" w14:textId="276A8931">
      <w:pPr>
        <w:pStyle w:val="P68B1DB1-Normal15"/>
        <w:widowControl w:val="0"/>
        <w:tabs>
          <w:tab w:val="left" w:pos="537"/>
          <w:tab w:val="left" w:pos="539"/>
        </w:tabs>
        <w:autoSpaceDE w:val="0"/>
        <w:autoSpaceDN w:val="0"/>
        <w:spacing w:after="0" w:line="240" w:lineRule="auto"/>
        <w:ind w:left="567"/>
        <w:jc w:val="both"/>
        <w:rPr>
          <w:iCs/>
        </w:rPr>
      </w:pPr>
      <w:r>
        <w:t xml:space="preserve">„38. [...] w odniesieniu do przepisów technicznych de facto w rozumieniu art. 1 ust. 1 lit. f) ppkt (iii) dyrektywy 2015/1535 Trybunał orzekł już, że przepisy podatkowe, którym nie towarzyszy żadna specyfikacja techniczna ani żaden inny wymóg, którego celem jest zapewnienie ich zgodności, nie mogą zostać zakwalifikowane jako »przepisy techniczne de facto« (zob. podobnie wyrok z dnia 11 czerwca 2015 r., Berlington Hungary i in., C 98/14</w:t>
        <w:noBreakHyphen/>
        <w:t xml:space="preserve">, EU:C:2015:386, pkt 97).”</w:t>
      </w:r>
    </w:p>
    <w:p w14:paraId="002A514F" w14:textId="77777777">
      <w:pPr>
        <w:widowControl w:val="0"/>
        <w:tabs>
          <w:tab w:val="left" w:pos="537"/>
          <w:tab w:val="left" w:pos="539"/>
        </w:tabs>
        <w:autoSpaceDE w:val="0"/>
        <w:autoSpaceDN w:val="0"/>
        <w:spacing w:after="0" w:line="240" w:lineRule="auto"/>
        <w:ind w:left="567"/>
        <w:jc w:val="both"/>
        <w:rPr>
          <w:rFonts w:ascii="Times New Roman" w:hAnsi="Times New Roman" w:cs="Times New Roman" w:eastAsia="Times New Roman"/>
          <w:i/>
          <w:iCs/>
          <w:sz w:val="20"/>
          <w:szCs w:val="16"/>
        </w:rPr>
      </w:pPr>
    </w:p>
    <w:p w14:paraId="727DEFFB" w14:textId="18B04311">
      <w:pPr>
        <w:pStyle w:val="P68B1DB1-Normal15"/>
        <w:widowControl w:val="0"/>
        <w:tabs>
          <w:tab w:val="left" w:pos="537"/>
          <w:tab w:val="left" w:pos="539"/>
        </w:tabs>
        <w:autoSpaceDE w:val="0"/>
        <w:autoSpaceDN w:val="0"/>
        <w:spacing w:after="0" w:line="240" w:lineRule="auto"/>
        <w:ind w:left="567"/>
        <w:jc w:val="both"/>
        <w:rPr>
          <w:iCs/>
        </w:rPr>
      </w:pPr>
      <w:r>
        <w:t>„</w:t>
      </w:r>
      <w:bookmarkStart w:id="115" w:name="point41"/>
      <w:r>
        <w:t>41</w:t>
      </w:r>
      <w:bookmarkEnd w:id="115"/>
      <w:r>
        <w:t xml:space="preserve">. W konsekwencji w świetle całości powyższych rozważań na pytanie pierwsze należy odpowiedzieć, że art. 1 dyrektywy 2015/1535 należy interpretować w ten sposób, że krajowy przepis podatkowy przewidujący opodatkowanie eksploatacji terminali zakładów wzajemnych nie stanowi „przepisu technicznego” w rozumieniu tego artykułu”.</w:t>
      </w:r>
    </w:p>
    <w:p w14:paraId="5C076B9C" w14:textId="77777777">
      <w:pPr>
        <w:pStyle w:val="BodyText"/>
        <w:rPr>
          <w:i/>
          <w:iCs/>
          <w:sz w:val="20"/>
        </w:rPr>
      </w:pPr>
    </w:p>
    <w:p w14:paraId="5F483606" w14:textId="4F0BCA0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70" w:history="1">
        <w:r>
          <w:rPr>
            <w:rStyle w:val="Hyperlink"/>
            <w:rFonts w:ascii="Times New Roman" w:hAnsi="Times New Roman" w:cs="Times New Roman" w:eastAsia="Times New Roman"/>
            <w:b/>
            <w:i/>
            <w:color w:val="0000FF"/>
            <w:szCs w:val="20"/>
          </w:rPr>
          <w:t xml:space="preserve">Wyrok z dnia 22 grudnia 2022</w:t>
        </w:r>
      </w:hyperlink>
      <w:r>
        <w:rPr>
          <w:rFonts w:ascii="Times New Roman" w:hAnsi="Times New Roman" w:cs="Times New Roman" w:eastAsia="Times New Roman"/>
          <w:b/>
          <w:i/>
          <w:szCs w:val="20"/>
        </w:rPr>
        <w:t xml:space="preserve"> r., Airbnb Ireland i Airbnb Payments UK, C</w:t>
        <w:noBreakHyphen/>
        <w:t xml:space="preserve">83/21, EU:C:2022:1018, pkt 29 i 30.</w:t>
      </w:r>
      <w:bookmarkEnd w:id="116"/>
    </w:p>
    <w:p w14:paraId="704D5C2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1AD7B89C" w14:textId="00C14D39">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Style w:val="P68B1DB1-Normal14"/>
      </w:pPr>
      <w:r>
        <w:t xml:space="preserve">Przepisy o charakterze podatkowym nie mogą jako takie zostać zakwalifikowane jako „przepisy techniczne de facto”.</w:t>
      </w:r>
    </w:p>
    <w:p w14:paraId="19FFADF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7EE5EF44" w14:textId="19450D26">
      <w:pPr>
        <w:pStyle w:val="P68B1DB1-BodyText19"/>
        <w:ind w:left="567"/>
      </w:pPr>
      <w:r>
        <w:t xml:space="preserve">„29. Co się tyczy, w trzeciej kolejności, dyrektywy 2015/1535, należy wskazać, że odwołuje się ona do „traktat[u] [FUE], w szczególności jego art. 114, 337 i 43”. Należy zatem przede wszystkim zauważyć, że przewidziane w art. 114 ust. 2 TFUE wyłączenie dotyczące „przepisów podatkowych” ma zastosowanie również w odniesieniu do tej dyrektywy ze względów przedstawionych w pkt 25 niniejszego wyroku.</w:t>
      </w:r>
    </w:p>
    <w:p w14:paraId="5619063A" w14:textId="77777777">
      <w:pPr>
        <w:pStyle w:val="P68B1DB1-BodyText19"/>
        <w:ind w:left="567"/>
      </w:pPr>
    </w:p>
    <w:p w14:paraId="43BD732D" w14:textId="6B6E6B11">
      <w:pPr>
        <w:pStyle w:val="P68B1DB1-BodyText19"/>
        <w:ind w:left="567"/>
        <w:rPr>
          <w:iCs/>
        </w:rPr>
      </w:pPr>
      <w:r>
        <w:t xml:space="preserve">30. Ponadto treść dyrektywy 2015/1535 pośrednio potwierdza wyłączenie „przepisów podatkowych” z jej zakresu zastosowania, ponieważ brzmienie art. 1 ust. 1 lit. f) ppkt (iii) tej dyrektywy wśród przepisów technicznych de facto wymienia specyfikacje techniczne lub inne wymogi bądź zasady dotyczące usług, które są „powiązane ze środkami fiskalnymi lub finansowymi”. Nie chodzi zatem o rzeczywiste środki podatkowe, lecz jedynie o środki związane ze środkami podatkowymi (zob. podobnie wyrok z dnia 8 października 2020 r., Admiral Sportwetten i in., C-711/19, EU:C:2020:812, pkt 38); te ostatnie pozostają zatem jako takie poza zakresem stosowania tej dyrektywy”.</w:t>
      </w:r>
    </w:p>
    <w:p w14:paraId="5775DA65" w14:textId="01ED6DBB">
      <w:pPr>
        <w:pStyle w:val="P68B1DB1-Normal4"/>
        <w:spacing w:after="0" w:line="240" w:lineRule="auto"/>
        <w:rPr>
          <w:rFonts w:ascii="Times New Roman" w:hAnsi="Times New Roman" w:cs="Times New Roman" w:eastAsia="Times New Roman"/>
          <w:i/>
          <w:iCs/>
          <w:szCs w:val="20"/>
        </w:rPr>
      </w:pPr>
      <w:r>
        <w:br w:type="page"/>
      </w:r>
    </w:p>
    <w:p w14:paraId="5F7E7C6E" w14:textId="032BD921">
      <w:pPr>
        <w:pStyle w:val="P68B1DB1-Heading24"/>
        <w:numPr>
          <w:ilvl w:val="0"/>
          <w:numId w:val="35"/>
        </w:numPr>
        <w:spacing w:before="0" w:after="0"/>
        <w:jc w:val="center"/>
        <w:rPr>
          <w:bCs/>
          <w:color w:val="auto"/>
        </w:rPr>
      </w:pPr>
      <w:bookmarkStart w:id="117" w:name="_Ref196314231"/>
      <w:bookmarkStart w:id="118" w:name="_Ref194484613"/>
      <w:bookmarkStart w:id="119" w:name="_Toc203035672"/>
      <w:r>
        <w:t xml:space="preserve">Sprawy wyłączone</w:t>
      </w:r>
      <w:bookmarkEnd w:id="117"/>
      <w:bookmarkEnd w:id="118"/>
      <w:bookmarkEnd w:id="119"/>
    </w:p>
    <w:p w14:paraId="1278603B" w14:textId="77777777">
      <w:pPr>
        <w:pStyle w:val="BodyText"/>
        <w:rPr>
          <w:b/>
          <w:bCs/>
        </w:rPr>
      </w:pPr>
    </w:p>
    <w:p w14:paraId="1B32B976" w14:textId="77777777">
      <w:pPr>
        <w:pStyle w:val="P68B1DB1-BodyText11"/>
        <w:ind w:left="567"/>
      </w:pPr>
      <w:r>
        <w:t xml:space="preserve">„2. Niniejszej dyrektywy nie stosuje się do: </w:t>
      </w:r>
    </w:p>
    <w:p w14:paraId="04019AF2" w14:textId="77777777">
      <w:pPr>
        <w:pStyle w:val="P68B1DB1-BodyText11"/>
        <w:ind w:left="1287" w:firstLine="153"/>
      </w:pPr>
      <w:r>
        <w:t xml:space="preserve">a) usługi radiowe; </w:t>
      </w:r>
    </w:p>
    <w:p w14:paraId="1EADA741" w14:textId="108B47F0">
      <w:pPr>
        <w:pStyle w:val="P68B1DB1-BodyText11"/>
        <w:ind w:left="1440"/>
      </w:pPr>
      <w:r>
        <w:t xml:space="preserve">b) usługi nadawcze telewizyjne objęte art. 1 ust. 1 lit. e) dyrektywy Parlamentu Europejskiego i Rady 2010/13/UE (1). </w:t>
      </w:r>
    </w:p>
    <w:p w14:paraId="7DD31811" w14:textId="77777777">
      <w:pPr>
        <w:pStyle w:val="P68B1DB1-BodyText11"/>
        <w:ind w:left="567"/>
      </w:pPr>
    </w:p>
    <w:p w14:paraId="21C04911" w14:textId="0885ED27">
      <w:pPr>
        <w:pStyle w:val="P68B1DB1-BodyText11"/>
        <w:ind w:left="567"/>
      </w:pPr>
      <w:r>
        <w:t xml:space="preserve">3. Niniejsza dyrektywa nie ma zastosowania do przepisów odnoszących się do kwestii objętych prawodawstwem Unii w dziedzinie usług telekomunikacyjnych, objętych dyrektywą 2002/21/WE Parlamentu Europejskiego i Rady (2). </w:t>
      </w:r>
    </w:p>
    <w:p w14:paraId="14E66827" w14:textId="77777777">
      <w:pPr>
        <w:pStyle w:val="P68B1DB1-BodyText11"/>
        <w:ind w:left="567"/>
      </w:pPr>
    </w:p>
    <w:p w14:paraId="21D3AD3B" w14:textId="663656A4">
      <w:pPr>
        <w:pStyle w:val="P68B1DB1-BodyText11"/>
        <w:ind w:left="567"/>
      </w:pPr>
      <w:r>
        <w:t xml:space="preserve">4. Niniejsza dyrektywa nie ma zastosowania do przepisów odnoszących się do kwestii objętych prawodawstwem Unii w dziedzinie usług finansowych, wymienionych niewyczerpująco w załączniku II do niniejszej dyrektywy. </w:t>
      </w:r>
    </w:p>
    <w:p w14:paraId="0E58960E" w14:textId="77777777">
      <w:pPr>
        <w:pStyle w:val="P68B1DB1-BodyText11"/>
        <w:ind w:left="567"/>
      </w:pPr>
    </w:p>
    <w:p w14:paraId="66AEA247" w14:textId="77777777">
      <w:pPr>
        <w:pStyle w:val="P68B1DB1-BodyText11"/>
        <w:ind w:left="567"/>
      </w:pPr>
      <w:r>
        <w:t xml:space="preserve">5. Z wyjątkiem art. 5 ust. 3, niniejsza dyrektywa nie ma zastosowania do przepisów ustanowionych przez lub dla rynków regulowanych w rozumieniu dyrektywy 2004/39/WE Parlamentu Europejskiego i Rady (3) lub przez lub dla innych rynków lub organów pełniących funkcje rozliczeniowe lub rozrachunkowe dla tych rynków.</w:t>
      </w:r>
    </w:p>
    <w:p w14:paraId="5D510CB9" w14:textId="77777777">
      <w:pPr>
        <w:pStyle w:val="P68B1DB1-BodyText11"/>
        <w:ind w:left="567"/>
      </w:pPr>
    </w:p>
    <w:p w14:paraId="70E3F74F" w14:textId="117D7E99">
      <w:pPr>
        <w:pStyle w:val="P68B1DB1-BodyText11"/>
        <w:ind w:left="567"/>
      </w:pPr>
      <w:r>
        <w:t xml:space="preserve">6. Niniejsza dyrektywa nie ma zastosowania do tych środków, które państwa członkowskie uznają za niezbędne, na mocy Traktatów, dla ochrony osób, a w szczególności pracowników, podczas stosowania produktów, pod warunkiem że środki te pozostają bez wpływu na produkt.</w:t>
      </w:r>
    </w:p>
    <w:p w14:paraId="24FE75EA" w14:textId="77777777">
      <w:pPr>
        <w:pStyle w:val="P68B1DB1-BodyText11"/>
        <w:ind w:left="567"/>
      </w:pPr>
    </w:p>
    <w:p w14:paraId="74938EC0" w14:textId="5965F3C9">
      <w:pPr>
        <w:pStyle w:val="BodyText"/>
        <w:ind w:left="1080"/>
        <w:jc w:val="right"/>
      </w:pPr>
      <w:r>
        <w:t xml:space="preserve">(Art. 1 ust. 2–6 dyrektywy (UE) 2015/1535)</w:t>
      </w:r>
    </w:p>
    <w:p w14:paraId="2BAD670C" w14:textId="77777777">
      <w:pPr>
        <w:pStyle w:val="BodyText"/>
        <w:rPr>
          <w:i/>
          <w:iCs/>
          <w:sz w:val="20"/>
        </w:rPr>
      </w:pPr>
    </w:p>
    <w:p w14:paraId="0C974BBF" w14:textId="3B58908A">
      <w:pPr>
        <w:pStyle w:val="P68B1DB1-BodyText23"/>
        <w:ind w:left="567"/>
        <w:rPr>
          <w:iCs/>
        </w:rPr>
      </w:pPr>
      <w:r>
        <w:t xml:space="preserve">„»nadawanie telewizyjne« lub »nadawanie telewizyjne« (tj. linearna audiowizualna usługa medialna) oznacza audiowizualną usługę medialną świadczoną przez dostawcę usług medialnych w celu jednoczesnego oglądania audycji na podstawie układu audycji;”</w:t>
      </w:r>
    </w:p>
    <w:p w14:paraId="68D48BC5" w14:textId="77777777">
      <w:pPr>
        <w:pStyle w:val="BodyText"/>
        <w:ind w:left="567"/>
        <w:rPr>
          <w:i/>
          <w:iCs/>
          <w:szCs w:val="24"/>
        </w:rPr>
      </w:pPr>
    </w:p>
    <w:p w14:paraId="1E9F9AD6" w14:textId="648E8643">
      <w:pPr>
        <w:pStyle w:val="BodyText"/>
        <w:ind w:left="1080"/>
        <w:jc w:val="right"/>
      </w:pPr>
      <w:r>
        <w:t xml:space="preserve">(Art. 1 ust. 1 lit. e) dyrektywy 2010/13/UE)</w:t>
      </w:r>
    </w:p>
    <w:p w14:paraId="13E3D11F" w14:textId="77777777">
      <w:pPr>
        <w:pStyle w:val="BodyText"/>
        <w:ind w:left="1080"/>
        <w:jc w:val="right"/>
      </w:pPr>
    </w:p>
    <w:p w14:paraId="6E0ADBB8" w14:textId="55100584">
      <w:pPr>
        <w:pStyle w:val="P68B1DB1-BodyText11"/>
        <w:jc w:val="center"/>
        <w:rPr>
          <w:i/>
        </w:rPr>
      </w:pPr>
      <w:r>
        <w:t xml:space="preserve">Orientacyjny wykaz usług finansowych objętych zakresem art. 1 ust. 4</w:t>
      </w:r>
    </w:p>
    <w:p w14:paraId="25F72A02" w14:textId="77777777">
      <w:pPr>
        <w:pStyle w:val="BodyText"/>
        <w:jc w:val="center"/>
        <w:rPr>
          <w:i/>
        </w:rPr>
      </w:pPr>
    </w:p>
    <w:p w14:paraId="319C26B1" w14:textId="77777777">
      <w:pPr>
        <w:pStyle w:val="P68B1DB1-BodyText11"/>
        <w:ind w:left="567"/>
        <w:rPr>
          <w:i/>
        </w:rPr>
      </w:pPr>
      <w:r>
        <w:t xml:space="preserve">— Usługi inwestycyjne, </w:t>
      </w:r>
    </w:p>
    <w:p w14:paraId="4E853016" w14:textId="77777777">
      <w:pPr>
        <w:pStyle w:val="P68B1DB1-BodyText11"/>
        <w:ind w:left="567"/>
        <w:rPr>
          <w:i/>
        </w:rPr>
      </w:pPr>
      <w:r>
        <w:t xml:space="preserve">— operacje ubezpieczeniowe i reasekuracyjne, </w:t>
      </w:r>
    </w:p>
    <w:p w14:paraId="6692A963" w14:textId="77777777">
      <w:pPr>
        <w:pStyle w:val="P68B1DB1-BodyText11"/>
        <w:ind w:left="567"/>
        <w:rPr>
          <w:i/>
        </w:rPr>
      </w:pPr>
      <w:r>
        <w:t xml:space="preserve">— usługi bankowe, </w:t>
      </w:r>
    </w:p>
    <w:p w14:paraId="23791C4C" w14:textId="77777777">
      <w:pPr>
        <w:pStyle w:val="P68B1DB1-BodyText11"/>
        <w:ind w:left="567"/>
        <w:rPr>
          <w:i/>
        </w:rPr>
      </w:pPr>
      <w:r>
        <w:t xml:space="preserve">operacje związane z funduszami emerytalnymi, </w:t>
      </w:r>
    </w:p>
    <w:p w14:paraId="783F6792" w14:textId="77777777">
      <w:pPr>
        <w:pStyle w:val="P68B1DB1-BodyText11"/>
        <w:ind w:left="567"/>
        <w:rPr>
          <w:i/>
        </w:rPr>
      </w:pPr>
      <w:r>
        <w:t xml:space="preserve">— usługi związane z transakcjami terminowymi typu futures lub opcjami. </w:t>
      </w:r>
    </w:p>
    <w:p w14:paraId="2DCD1B55" w14:textId="77777777">
      <w:pPr>
        <w:pStyle w:val="BodyText"/>
        <w:ind w:left="567"/>
        <w:rPr>
          <w:i/>
        </w:rPr>
      </w:pPr>
    </w:p>
    <w:p w14:paraId="337555AF" w14:textId="77777777">
      <w:pPr>
        <w:pStyle w:val="P68B1DB1-BodyText11"/>
        <w:ind w:left="567"/>
        <w:rPr>
          <w:i/>
        </w:rPr>
      </w:pPr>
      <w:r>
        <w:t xml:space="preserve">Do usług tych zalicza się w szczególności: </w:t>
      </w:r>
    </w:p>
    <w:p w14:paraId="3764E7FA" w14:textId="7CA8CD82">
      <w:pPr>
        <w:pStyle w:val="P68B1DB1-BodyText11"/>
        <w:ind w:left="567"/>
        <w:rPr>
          <w:i/>
        </w:rPr>
      </w:pPr>
      <w:r>
        <w:t xml:space="preserve">a) usług inwestycyjnych, o których mowa w załączniku do dyrektywy 2004/39/WE; usługi przedsiębiorstw zbiorowego inwestowania; </w:t>
      </w:r>
    </w:p>
    <w:p w14:paraId="5E0AD7FB" w14:textId="67C20460">
      <w:pPr>
        <w:pStyle w:val="P68B1DB1-BodyText11"/>
        <w:ind w:left="567"/>
        <w:rPr>
          <w:i/>
        </w:rPr>
      </w:pPr>
      <w:r>
        <w:t xml:space="preserve">b) usług objętych działalnością podlegającą wzajemnemu uznawaniu, o której mowa w załączniku I do dyrektywy Parlamentu Europejskiego i Rady 2013/36/UE (1); </w:t>
      </w:r>
    </w:p>
    <w:p w14:paraId="48C2F22B" w14:textId="3B1B8A48">
      <w:pPr>
        <w:pStyle w:val="P68B1DB1-BodyText11"/>
        <w:ind w:left="567"/>
        <w:rPr>
          <w:i/>
        </w:rPr>
      </w:pPr>
      <w:r>
        <w:t xml:space="preserve">C) operacje objęte działalnością ubezpieczeniową i reasekuracyjną, o których mowa w dyrektywie Parlamentu Europejskiego i Rady 2009/138/WE (2).</w:t>
      </w:r>
    </w:p>
    <w:p w14:paraId="29E9A8E3" w14:textId="77777777">
      <w:pPr>
        <w:pStyle w:val="BodyText"/>
        <w:ind w:left="720"/>
        <w:rPr>
          <w:i/>
        </w:rPr>
      </w:pPr>
    </w:p>
    <w:p w14:paraId="79D13F1F" w14:textId="142C9AC5">
      <w:pPr>
        <w:pStyle w:val="BodyText"/>
        <w:ind w:left="1080"/>
        <w:jc w:val="right"/>
      </w:pPr>
      <w:r>
        <w:t xml:space="preserve">(Załącznik II do dyrektywy (UE) 2015/1535)</w:t>
      </w:r>
    </w:p>
    <w:p w14:paraId="0C95D790" w14:textId="77777777">
      <w:pPr>
        <w:pStyle w:val="BodyText"/>
        <w:ind w:left="567"/>
        <w:rPr>
          <w:i/>
          <w:iCs/>
          <w:szCs w:val="24"/>
        </w:rPr>
      </w:pPr>
    </w:p>
    <w:p w14:paraId="7A47117F" w14:textId="7E196DE2">
      <w:pPr>
        <w:pStyle w:val="P68B1DB1-BodyText23"/>
        <w:ind w:left="567"/>
        <w:rPr>
          <w:iCs/>
        </w:rPr>
      </w:pPr>
      <w:r>
        <w:t xml:space="preserve">„»rynek regulowany« oznacza wielostronny system obsługiwany i/lub zarządzany przez operatora rynku, który łączy lub ułatwia łączenie wielu deklaracji gotowości osób trzecich do kupna i sprzedaży instrumentów finansowych – w ramach systemu i zgodnie z jego nieuznaniowymi zasadami – w sposób skutkujący zawarciem umowy dotyczącej instrumentów finansowych dopuszczonych do obrotu zgodnie z jego zasadami lub systemami oraz który jest uprawniony i funkcjonuje regularnie i zgodnie z tytułem III niniejszej dyrektywy;”;</w:t>
      </w:r>
    </w:p>
    <w:p w14:paraId="326B89D5" w14:textId="77777777">
      <w:pPr>
        <w:pStyle w:val="BodyText"/>
        <w:ind w:left="567"/>
        <w:rPr>
          <w:i/>
          <w:iCs/>
          <w:szCs w:val="24"/>
        </w:rPr>
      </w:pPr>
    </w:p>
    <w:p w14:paraId="2EE59DAD" w14:textId="7FE2F68F">
      <w:pPr>
        <w:pStyle w:val="P68B1DB1-BodyText24"/>
        <w:ind w:left="567"/>
        <w:jc w:val="right"/>
      </w:pPr>
      <w:r>
        <w:t xml:space="preserve">(Art. 4 ust. 21 dyrektywy (UE) 2014/65, </w:t>
      </w:r>
    </w:p>
    <w:p w14:paraId="510D994F" w14:textId="6EE676DC">
      <w:pPr>
        <w:pStyle w:val="P68B1DB1-BodyText24"/>
        <w:ind w:left="567"/>
        <w:jc w:val="right"/>
      </w:pPr>
      <w:r>
        <w:t xml:space="preserve">przekształcenie dyrektywy 2004/39/WE) </w:t>
      </w:r>
    </w:p>
    <w:p w14:paraId="4A6FAABA" w14:textId="77777777">
      <w:pPr>
        <w:pStyle w:val="BodyText"/>
        <w:rPr>
          <w:i/>
          <w:iCs/>
          <w:sz w:val="20"/>
        </w:rPr>
      </w:pPr>
    </w:p>
    <w:p w14:paraId="0469372E" w14:textId="4281AF71">
      <w:pPr>
        <w:widowControl w:val="0"/>
        <w:autoSpaceDE w:val="0"/>
        <w:autoSpaceDN w:val="0"/>
        <w:spacing w:after="0" w:line="240" w:lineRule="auto"/>
        <w:jc w:val="both"/>
        <w:rPr>
          <w:rFonts w:ascii="Times New Roman" w:hAnsi="Times New Roman" w:cs="Times New Roman" w:eastAsia="Times New Roman"/>
          <w:i/>
          <w:iCs/>
          <w:sz w:val="20"/>
          <w:szCs w:val="16"/>
        </w:rPr>
      </w:pPr>
      <w:hyperlink r:id="rId71" w:history="1">
        <w:r>
          <w:rPr>
            <w:rStyle w:val="Hyperlink"/>
            <w:rFonts w:ascii="Times New Roman" w:hAnsi="Times New Roman" w:cs="Times New Roman" w:eastAsia="Times New Roman"/>
            <w:b/>
            <w:i/>
            <w:color w:val="0000FF"/>
            <w:szCs w:val="20"/>
          </w:rPr>
          <w:t xml:space="preserve">Wyrok z dnia 2 czerwca 2005</w:t>
        </w:r>
      </w:hyperlink>
      <w:r>
        <w:rPr>
          <w:rFonts w:ascii="Times New Roman" w:hAnsi="Times New Roman" w:cs="Times New Roman" w:eastAsia="Times New Roman"/>
          <w:b/>
          <w:i/>
          <w:szCs w:val="20"/>
        </w:rPr>
        <w:t xml:space="preserve"> r., Mediakabel BV, C-89/04, EU:C:2005:348, pkt 22 i 23.</w:t>
      </w:r>
    </w:p>
    <w:p w14:paraId="5376935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F56159" w14:textId="0FDB95BE">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Usługa nadawcza telewizyjna dostępna na żądanie abonenta, składająca się z filmów, których częstotliwość i czas są określone przez dostawcę, stanowi usługę „niemal wideo na żądanie” wchodzącą w zakres pojęcia „usług nadawczych telewizyjnych”. Pojęcie to zostało zdefiniowane autonomicznie w dyrektywie 2010/13/UE (dawniej dyrektywie 89/552/EWG), niezależnie od pojęcia „usługi społeczeństwa informacyjnego”.</w:t>
      </w:r>
    </w:p>
    <w:p w14:paraId="558582FC"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B878292" w14:textId="6F6E7A42">
      <w:pPr>
        <w:pStyle w:val="P68B1DB1-Normal15"/>
        <w:widowControl w:val="0"/>
        <w:autoSpaceDE w:val="0"/>
        <w:autoSpaceDN w:val="0"/>
        <w:spacing w:after="0" w:line="240" w:lineRule="auto"/>
        <w:ind w:left="567"/>
        <w:jc w:val="both"/>
      </w:pPr>
      <w:r>
        <w:t xml:space="preserve">„22. [...] zakresu pojęcia „transmisji telewizyjnej” z pewnością nie można wyprowadzić z zakresu pojęcia „usługi społeczeństwa informacyjnego”. Dyrektywa 98/34, zarówno w art. 1 ust. 2, jak i w załączniku V, odnosi się do usług, które nie są objęte pojęciem „usługi społeczeństwa informacyjnego” i które jako takie nie stanowią usług nadawczych telewizyjnych. Dotyczy to w szczególności usług nadawczych radiowych. Podobnie usług telewizyjnych nie należy ograniczać do usług „świadczonych w formie przesyłania danych bez indywidualnego zamówienia i przeznaczonych do równoczesnego odbioru przez nieograniczoną liczbę odbiorców”, określonych w załączniku V pkt 3 dyrektywy nr 98/34. Gdyby przyjąć taką interpretację, z pojęcia „usługi telewizyjnej” zostałyby wyłączone usługi tego rodzaju jak telewizja na abonament odbierana przez ograniczoną liczbę odbiorców, chociaż usługi te wchodzą w zakres tego pojęcia na podstawie kryteriów określonych art. 1 lit. a) dyrektywy 89/552.</w:t>
      </w:r>
    </w:p>
    <w:p w14:paraId="08A8E406" w14:textId="77777777">
      <w:pPr>
        <w:pStyle w:val="P68B1DB1-Normal15"/>
        <w:widowControl w:val="0"/>
        <w:autoSpaceDE w:val="0"/>
        <w:autoSpaceDN w:val="0"/>
        <w:spacing w:after="0" w:line="240" w:lineRule="auto"/>
        <w:ind w:left="567"/>
        <w:jc w:val="both"/>
      </w:pPr>
    </w:p>
    <w:p w14:paraId="1DB468BF" w14:textId="6C9EEDEF">
      <w:pPr>
        <w:pStyle w:val="P68B1DB1-Normal15"/>
        <w:widowControl w:val="0"/>
        <w:autoSpaceDE w:val="0"/>
        <w:autoSpaceDN w:val="0"/>
        <w:spacing w:after="0" w:line="240" w:lineRule="auto"/>
        <w:ind w:left="567"/>
        <w:jc w:val="both"/>
        <w:rPr>
          <w:iCs/>
        </w:rPr>
      </w:pPr>
      <w:r>
        <w:t xml:space="preserve">23. Wreszcie przyjmując dyrektywy 98/34 i 98/48, ustawodawca wspólnotowy nie zamierzał wprowadzać zmian do dyrektywy 89/552, która została zmieniona niecały rok wcześniej dyrektywą 97/36. I tak motyw 20 dyrektywy 98/48 zmieniającej dyrektywę 98/34 stanowi, że dyrektywa 98/48 „nie narusza zakresu stosowania [...] dyrektywy 89/552”.</w:t>
      </w:r>
    </w:p>
    <w:p w14:paraId="044761EE" w14:textId="77777777">
      <w:pPr>
        <w:widowControl w:val="0"/>
        <w:autoSpaceDE w:val="0"/>
        <w:autoSpaceDN w:val="0"/>
        <w:spacing w:after="0" w:line="240" w:lineRule="auto"/>
        <w:jc w:val="both"/>
        <w:outlineLvl w:val="1"/>
      </w:pPr>
    </w:p>
    <w:p w14:paraId="52CB59CA" w14:textId="489ADDC7">
      <w:pPr>
        <w:pStyle w:val="P68B1DB1-Normal13"/>
        <w:widowControl w:val="0"/>
        <w:autoSpaceDE w:val="0"/>
        <w:autoSpaceDN w:val="0"/>
        <w:spacing w:after="0" w:line="240" w:lineRule="auto"/>
        <w:jc w:val="both"/>
        <w:outlineLvl w:val="1"/>
      </w:pPr>
      <w:hyperlink r:id="rId72" w:history="1">
        <w:r>
          <w:rPr>
            <w:color w:val="0000FF"/>
            <w:u w:val="single"/>
          </w:rPr>
          <w:t xml:space="preserve">Wyrok z dnia 12 września 2019</w:t>
        </w:r>
      </w:hyperlink>
      <w:r>
        <w:t xml:space="preserve"> r., VG Media, C-299/17, EU:C:2019:716, pkt 38</w:t>
      </w:r>
      <w:bookmarkEnd w:id="120"/>
    </w:p>
    <w:p w14:paraId="5E406CB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8980D4F" w14:textId="59AFD09D">
      <w:pPr>
        <w:pStyle w:val="P68B1DB1-Normal14"/>
        <w:widowControl w:val="0"/>
        <w:autoSpaceDE w:val="0"/>
        <w:autoSpaceDN w:val="0"/>
        <w:spacing w:after="0" w:line="240" w:lineRule="auto"/>
        <w:jc w:val="both"/>
      </w:pPr>
      <w:r>
        <w:t xml:space="preserve">„Przepisy techniczne” w dziedzinie własności intelektualnej nie są wyłączone z zakresu stosowania dyrektywy, w przeciwieństwie do przepisów dotyczących usług telekomunikacyjnych lub finansowych.</w:t>
      </w:r>
    </w:p>
    <w:p w14:paraId="2C438590"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A61B68C" w14:textId="2AD8E891">
      <w:pPr>
        <w:pStyle w:val="P68B1DB1-Normal15"/>
        <w:widowControl w:val="0"/>
        <w:autoSpaceDE w:val="0"/>
        <w:autoSpaceDN w:val="0"/>
        <w:spacing w:after="0" w:line="240" w:lineRule="auto"/>
        <w:ind w:left="567"/>
        <w:jc w:val="both"/>
        <w:rPr>
          <w:iCs/>
        </w:rPr>
      </w:pPr>
      <w:r>
        <w:t>„</w:t>
      </w:r>
      <w:r>
        <w:t xml:space="preserve">38. [...] okoliczność, że § 87 g ust. 4 UrhG stanowi część przepisów krajowych dotyczących prawa autorskiego lub praw pokrewnych, nie może podważyć tej oceny. Przepisy techniczne w dziedzinie własności intelektualnej nie są bowiem wyraźnie wyłączone z zakresu stosowania art. 1 pkt 5 dyrektywy 98/34, w przeciwieństwie do przepisów będących przedmiotem regulacji europejskiej w dziedzinie usług telekomunikacyjnych lub usług finansowych. Ponadto z wyroku z dnia 8 listopada 2007 r., Schwibbert (C 20/05,</w:t>
        <w:noBreakHyphen/>
        <w:t xml:space="preserve">EU:C:2007:652) wynika, że przepisy krajowego prawa własności intelektualnej mogą stanowić „przepisy techniczne” podlegające notyfikacji zgodnie z art. 8 ust. 1 tej dyrektywy”.</w:t>
      </w:r>
    </w:p>
    <w:p w14:paraId="0BCBB4FB" w14:textId="0520F280">
      <w:pPr>
        <w:pStyle w:val="P68B1DB1-Normal16"/>
        <w:spacing w:after="0" w:line="240" w:lineRule="auto"/>
        <w:rPr>
          <w:i/>
          <w:iCs/>
        </w:rPr>
      </w:pPr>
      <w:r>
        <w:br w:type="page"/>
      </w:r>
    </w:p>
    <w:p w14:paraId="2B0FDBC5" w14:textId="7963B447">
      <w:pPr>
        <w:pStyle w:val="P68B1DB1-Heading13"/>
        <w:numPr>
          <w:ilvl w:val="0"/>
          <w:numId w:val="34"/>
        </w:numPr>
        <w:spacing w:before="0" w:after="0"/>
        <w:jc w:val="center"/>
        <w:rPr>
          <w:color w:val="auto"/>
        </w:rPr>
      </w:pPr>
      <w:bookmarkStart w:id="121" w:name="_Ref194485776"/>
      <w:bookmarkStart w:id="122" w:name="_Toc203035673"/>
      <w:r>
        <w:t xml:space="preserve">Obowiązek zgłoszenia</w:t>
      </w:r>
      <w:bookmarkEnd w:id="121"/>
      <w:bookmarkEnd w:id="122"/>
    </w:p>
    <w:p w14:paraId="29E2BE4E" w14:textId="77777777">
      <w:pPr>
        <w:pStyle w:val="BodyText"/>
      </w:pPr>
    </w:p>
    <w:p w14:paraId="480A7F64" w14:textId="46AC3047">
      <w:pPr>
        <w:pStyle w:val="P68B1DB1-Heading24"/>
        <w:numPr>
          <w:ilvl w:val="0"/>
          <w:numId w:val="36"/>
        </w:numPr>
        <w:spacing w:before="0" w:after="0"/>
        <w:jc w:val="center"/>
        <w:rPr>
          <w:bCs/>
          <w:color w:val="auto"/>
        </w:rPr>
      </w:pPr>
      <w:bookmarkStart w:id="123" w:name="_Ref194942628"/>
      <w:bookmarkStart w:id="124" w:name="_Toc203035674"/>
      <w:bookmarkStart w:id="125" w:name="_Ref194484702"/>
      <w:r>
        <w:t xml:space="preserve">Powiadomienie na etapie projektu</w:t>
      </w:r>
      <w:bookmarkEnd w:id="123"/>
      <w:bookmarkEnd w:id="124"/>
    </w:p>
    <w:p w14:paraId="27EBED2C" w14:textId="3CCBF668">
      <w:pPr>
        <w:pStyle w:val="BodyText"/>
        <w:rPr>
          <w:b/>
          <w:bCs/>
        </w:rPr>
      </w:pPr>
    </w:p>
    <w:p w14:paraId="58135D0C" w14:textId="021350D1">
      <w:pPr>
        <w:pStyle w:val="P68B1DB1-BodyText11"/>
        <w:ind w:left="567"/>
        <w:rPr>
          <w:iCs/>
        </w:rPr>
      </w:pPr>
      <w:r>
        <w:t xml:space="preserve">Z zastrzeżeniem art. 7 państwa członkowskie niezwłocznie przekazują Komisji wszelkie projekty przepisów technicznych, z wyjątkiem tych, które w pełni stanowią transpozycję normy międzynarodowej lub europejskiej, w którym to przypadku wystarczająca jest informacja dotycząca odpowiedniej normy; państwa członkowskie przekazują również Komisji uzasadnienie, na podstawie którego konieczne jest wprowadzenie takich przepisów technicznych, w przypadku gdy powody te nie zostały wyraźnie wskazane w projekcie.”</w:t>
      </w:r>
    </w:p>
    <w:p w14:paraId="79E57C28" w14:textId="77777777">
      <w:pPr>
        <w:pStyle w:val="BodyText"/>
        <w:ind w:left="567"/>
        <w:rPr>
          <w:i/>
          <w:iCs/>
        </w:rPr>
      </w:pPr>
    </w:p>
    <w:p w14:paraId="4348B9F9" w14:textId="1F348A6E">
      <w:pPr>
        <w:pStyle w:val="BodyText"/>
        <w:jc w:val="right"/>
      </w:pPr>
      <w:r>
        <w:t xml:space="preserve">(art. 5 ust. 1 zdanie pierwsze dyrektywy (UE) 2015/1535)</w:t>
      </w:r>
    </w:p>
    <w:p w14:paraId="41A26F8C" w14:textId="77777777">
      <w:pPr>
        <w:pStyle w:val="BodyText"/>
        <w:rPr>
          <w:b/>
          <w:bCs/>
        </w:rPr>
      </w:pPr>
    </w:p>
    <w:p w14:paraId="39D0E534" w14:textId="627C2341">
      <w:pPr>
        <w:pStyle w:val="P68B1DB1-Normal13"/>
        <w:widowControl w:val="0"/>
        <w:autoSpaceDE w:val="0"/>
        <w:autoSpaceDN w:val="0"/>
        <w:spacing w:after="0" w:line="240" w:lineRule="auto"/>
        <w:jc w:val="both"/>
        <w:outlineLvl w:val="1"/>
      </w:pPr>
      <w:hyperlink r:id="rId73" w:history="1">
        <w:r>
          <w:rPr>
            <w:color w:val="0000FF"/>
            <w:u w:val="single"/>
          </w:rPr>
          <w:t xml:space="preserve">Wyrok z dnia 2 sierpnia 1993</w:t>
        </w:r>
      </w:hyperlink>
      <w:r>
        <w:t xml:space="preserve"> r., Komisja/Włochy, C-139/92, EU:C:1993:346, pkt 8 i 9.</w:t>
      </w:r>
      <w:bookmarkEnd w:id="126"/>
    </w:p>
    <w:p w14:paraId="1DF5BE2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7852024" w14:textId="67891414">
      <w:pPr>
        <w:widowControl w:val="0"/>
        <w:tabs>
          <w:tab w:val="left" w:pos="413"/>
        </w:tabs>
        <w:autoSpaceDE w:val="0"/>
        <w:autoSpaceDN w:val="0"/>
        <w:spacing w:after="0" w:line="240" w:lineRule="auto"/>
        <w:jc w:val="both"/>
        <w:rPr>
          <w:rFonts w:ascii="Times New Roman" w:hAnsi="Times New Roman" w:cs="Times New Roman" w:eastAsia="Times New Roman"/>
          <w:szCs w:val="20"/>
        </w:rPr>
        <w:pStyle w:val="P68B1DB1-Normal14"/>
      </w:pPr>
      <w:r>
        <w:t xml:space="preserve">Nie zgłaszając na etapie projektu dekretu ministerialnego w sprawie definicji i weryfikacji maksymalnej mocy oraz budowy i instalacji silników do rekreacyjnych jednostek pływających, Włochy uchybiły obowiązkowi zgłoszenia projektów przepisów technicznych.</w:t>
      </w:r>
    </w:p>
    <w:p w14:paraId="478B471D" w14:textId="77777777">
      <w:pPr>
        <w:widowControl w:val="0"/>
        <w:tabs>
          <w:tab w:val="left" w:pos="413"/>
        </w:tabs>
        <w:autoSpaceDE w:val="0"/>
        <w:autoSpaceDN w:val="0"/>
        <w:spacing w:after="0" w:line="240" w:lineRule="auto"/>
        <w:jc w:val="both"/>
        <w:rPr>
          <w:rFonts w:ascii="Times New Roman" w:hAnsi="Times New Roman" w:cs="Times New Roman" w:eastAsia="Times New Roman"/>
          <w:szCs w:val="20"/>
        </w:rPr>
      </w:pPr>
    </w:p>
    <w:p w14:paraId="622C52BD" w14:textId="5E5EDE3D">
      <w:pPr>
        <w:pStyle w:val="P68B1DB1-Normal15"/>
        <w:widowControl w:val="0"/>
        <w:tabs>
          <w:tab w:val="left" w:pos="413"/>
        </w:tabs>
        <w:autoSpaceDE w:val="0"/>
        <w:autoSpaceDN w:val="0"/>
        <w:spacing w:after="0" w:line="240" w:lineRule="auto"/>
        <w:ind w:left="567"/>
        <w:jc w:val="both"/>
      </w:pPr>
      <w:r>
        <w:t xml:space="preserve">„8. Rząd włoski nie zaprzecza, że nie przekazał Komisji spornego dekretu ministerialnego na etapie projektu. </w:t>
      </w:r>
    </w:p>
    <w:p w14:paraId="7A672690" w14:textId="77777777">
      <w:pPr>
        <w:pStyle w:val="P68B1DB1-Normal15"/>
        <w:widowControl w:val="0"/>
        <w:tabs>
          <w:tab w:val="left" w:pos="413"/>
        </w:tabs>
        <w:autoSpaceDE w:val="0"/>
        <w:autoSpaceDN w:val="0"/>
        <w:spacing w:after="0" w:line="240" w:lineRule="auto"/>
        <w:ind w:left="567"/>
        <w:jc w:val="both"/>
      </w:pPr>
    </w:p>
    <w:p w14:paraId="29BAA761" w14:textId="7880A2A6">
      <w:pPr>
        <w:pStyle w:val="P68B1DB1-Normal15"/>
        <w:widowControl w:val="0"/>
        <w:tabs>
          <w:tab w:val="left" w:pos="413"/>
        </w:tabs>
        <w:autoSpaceDE w:val="0"/>
        <w:autoSpaceDN w:val="0"/>
        <w:spacing w:after="0" w:line="240" w:lineRule="auto"/>
        <w:ind w:left="567"/>
        <w:jc w:val="both"/>
      </w:pPr>
      <w:r>
        <w:t xml:space="preserve">9. Ponieważ ustalono, że doszło do naruszenia art. 8 i 9 dyrektywy, należy stwierdzić uchybienie w sposób żądany przez Komisję”.</w:t>
      </w:r>
    </w:p>
    <w:p w14:paraId="78B40755" w14:textId="77777777">
      <w:pPr>
        <w:widowControl w:val="0"/>
        <w:tabs>
          <w:tab w:val="left" w:pos="413"/>
        </w:tabs>
        <w:autoSpaceDE w:val="0"/>
        <w:autoSpaceDN w:val="0"/>
        <w:spacing w:after="0" w:line="240" w:lineRule="auto"/>
        <w:ind w:left="567"/>
        <w:jc w:val="both"/>
        <w:rPr>
          <w:rFonts w:ascii="Times New Roman" w:hAnsi="Times New Roman" w:cs="Times New Roman" w:eastAsia="Times New Roman"/>
          <w:i/>
          <w:iCs/>
          <w:sz w:val="20"/>
          <w:szCs w:val="16"/>
        </w:rPr>
      </w:pPr>
    </w:p>
    <w:p w14:paraId="2D8A3294" w14:textId="363AC32B">
      <w:pPr>
        <w:pStyle w:val="P68B1DB1-Normal13"/>
        <w:widowControl w:val="0"/>
        <w:autoSpaceDE w:val="0"/>
        <w:autoSpaceDN w:val="0"/>
        <w:spacing w:after="0" w:line="240" w:lineRule="auto"/>
        <w:jc w:val="both"/>
        <w:outlineLvl w:val="1"/>
      </w:pPr>
      <w:hyperlink r:id="rId74" w:history="1">
        <w:r>
          <w:rPr>
            <w:color w:val="0000FF"/>
            <w:u w:val="single"/>
          </w:rPr>
          <w:t xml:space="preserve">Wyrok z dnia 14 lipca 1994</w:t>
        </w:r>
      </w:hyperlink>
      <w:r>
        <w:t xml:space="preserve"> r., Komisja/Niderlandy, C-61/93, EU:C:1994:302, pkt 6 i 10.</w:t>
      </w:r>
      <w:bookmarkEnd w:id="127"/>
    </w:p>
    <w:p w14:paraId="29C324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E58EFBE" w14:textId="7468B0CD">
      <w:pPr>
        <w:pStyle w:val="P68B1DB1-Normal14"/>
        <w:widowControl w:val="0"/>
        <w:tabs>
          <w:tab w:val="left" w:pos="405"/>
        </w:tabs>
        <w:autoSpaceDE w:val="0"/>
        <w:autoSpaceDN w:val="0"/>
        <w:spacing w:after="0" w:line="240" w:lineRule="auto"/>
        <w:jc w:val="both"/>
      </w:pPr>
      <w:r>
        <w:t xml:space="preserve">Przyjmując dekrety dotyczące wymogów w zakresie odporności butelek na napoje bezalkoholowe oraz składu, klasyfikacji, pakowania i etykietowania pestycydów, nie zgłaszając ich Komisji na etapie projektu, Niderlandy uchybiły ciążącemu na nich obowiązkowi zgłoszenia projektów przepisów technicznych.</w:t>
      </w:r>
    </w:p>
    <w:p w14:paraId="74F221D0" w14:textId="77777777">
      <w:pPr>
        <w:widowControl w:val="0"/>
        <w:tabs>
          <w:tab w:val="left" w:pos="405"/>
        </w:tabs>
        <w:autoSpaceDE w:val="0"/>
        <w:autoSpaceDN w:val="0"/>
        <w:spacing w:after="0" w:line="240" w:lineRule="auto"/>
        <w:jc w:val="both"/>
        <w:rPr>
          <w:rFonts w:ascii="Times New Roman" w:hAnsi="Times New Roman" w:cs="Times New Roman" w:eastAsia="Times New Roman"/>
          <w:szCs w:val="20"/>
        </w:rPr>
      </w:pPr>
    </w:p>
    <w:p w14:paraId="080827F2" w14:textId="79ECA7FF">
      <w:pPr>
        <w:pStyle w:val="P68B1DB1-Normal15"/>
        <w:widowControl w:val="0"/>
        <w:tabs>
          <w:tab w:val="left" w:pos="405"/>
        </w:tabs>
        <w:autoSpaceDE w:val="0"/>
        <w:autoSpaceDN w:val="0"/>
        <w:spacing w:after="0" w:line="240" w:lineRule="auto"/>
        <w:ind w:left="567"/>
        <w:jc w:val="both"/>
        <w:rPr>
          <w:iCs/>
        </w:rPr>
      </w:pPr>
      <w:r>
        <w:t xml:space="preserve">„6. W piśmie z dnia 17 listopada 1989 r. władze niderlandzkie przyznały, że dekret z dnia 16 stycznia 1989 r. zawiera normy techniczne objęte dyrektywą 83/189 i że nie powiadomiły one Komisji o projekcie zmiany. Wskazały one jednak, że dekret został przekazany Komisji, załączony do pisma z dnia 22 maja 1989 r., w którym instytucja ta poinformowała o prywatyzacji organów odpowiedzialnych za wagi i środki”.</w:t>
      </w:r>
    </w:p>
    <w:p w14:paraId="3BF11A4C" w14:textId="77777777">
      <w:pPr>
        <w:widowControl w:val="0"/>
        <w:tabs>
          <w:tab w:val="left" w:pos="405"/>
        </w:tabs>
        <w:autoSpaceDE w:val="0"/>
        <w:autoSpaceDN w:val="0"/>
        <w:spacing w:after="0" w:line="240" w:lineRule="auto"/>
        <w:ind w:left="567"/>
        <w:jc w:val="both"/>
        <w:rPr>
          <w:rFonts w:ascii="Times New Roman" w:hAnsi="Times New Roman" w:cs="Times New Roman" w:eastAsia="Times New Roman"/>
          <w:i/>
          <w:iCs/>
          <w:sz w:val="20"/>
          <w:szCs w:val="16"/>
        </w:rPr>
      </w:pPr>
    </w:p>
    <w:p w14:paraId="2B8AB5F8" w14:textId="06F5DED9">
      <w:pPr>
        <w:pStyle w:val="P68B1DB1-Normal15"/>
        <w:widowControl w:val="0"/>
        <w:tabs>
          <w:tab w:val="left" w:pos="405"/>
        </w:tabs>
        <w:autoSpaceDE w:val="0"/>
        <w:autoSpaceDN w:val="0"/>
        <w:spacing w:after="0" w:line="240" w:lineRule="auto"/>
        <w:ind w:left="567"/>
        <w:jc w:val="both"/>
        <w:rPr>
          <w:iCs/>
        </w:rPr>
      </w:pPr>
      <w:r>
        <w:t xml:space="preserve">„10. Bezsporne jest, że zgodnie z art. 8 dyrektywy projekty dekretów z dnia 16 stycznia 1989 r., z dnia 24 sierpnia 1988 r. i z dnia 21 października 1988 r. powinny były zostać niezwłocznie zgłoszone Komisji na etapie redagowania i że taka notyfikacja nie została dokonana”.</w:t>
      </w:r>
    </w:p>
    <w:p w14:paraId="0373B53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8FB31A8" w14:textId="5B58EFDA">
      <w:pPr>
        <w:pStyle w:val="P68B1DB1-Normal13"/>
        <w:widowControl w:val="0"/>
        <w:autoSpaceDE w:val="0"/>
        <w:autoSpaceDN w:val="0"/>
        <w:spacing w:after="0" w:line="240" w:lineRule="auto"/>
        <w:jc w:val="both"/>
        <w:outlineLvl w:val="1"/>
      </w:pPr>
      <w:hyperlink r:id="rId75" w:history="1">
        <w:r>
          <w:rPr>
            <w:color w:val="0000FF"/>
            <w:u w:val="single"/>
          </w:rPr>
          <w:t xml:space="preserve">Wyrok z dnia 14 lipca 1994</w:t>
        </w:r>
      </w:hyperlink>
      <w:r>
        <w:t xml:space="preserve"> r., Komisja/Niderlandy, C-52/93, EU:C:1994:301, pkt 6 i 10.</w:t>
      </w:r>
      <w:bookmarkEnd w:id="128"/>
    </w:p>
    <w:p w14:paraId="27ACC27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9AE01B0" w14:textId="3AD35C06">
      <w:pPr>
        <w:pStyle w:val="P68B1DB1-Normal14"/>
        <w:widowControl w:val="0"/>
        <w:tabs>
          <w:tab w:val="left" w:pos="400"/>
        </w:tabs>
        <w:autoSpaceDE w:val="0"/>
        <w:autoSpaceDN w:val="0"/>
        <w:spacing w:after="0" w:line="240" w:lineRule="auto"/>
        <w:jc w:val="both"/>
      </w:pPr>
      <w:r>
        <w:t xml:space="preserve">Zmieniając rozporządzenie w sprawie norm jakości bulw kwiatowych, nie zgłaszając go Komisji na etapie projektu, Niderlandy uchybiły ciążącemu na nich obowiązkowi zgłoszenia projektów przepisów technicznych.</w:t>
      </w:r>
    </w:p>
    <w:p w14:paraId="13839355" w14:textId="77777777">
      <w:pPr>
        <w:widowControl w:val="0"/>
        <w:tabs>
          <w:tab w:val="left" w:pos="400"/>
        </w:tabs>
        <w:autoSpaceDE w:val="0"/>
        <w:autoSpaceDN w:val="0"/>
        <w:spacing w:after="0" w:line="240" w:lineRule="auto"/>
        <w:jc w:val="both"/>
        <w:rPr>
          <w:rFonts w:ascii="Times New Roman" w:hAnsi="Times New Roman" w:cs="Times New Roman" w:eastAsia="Times New Roman"/>
          <w:szCs w:val="20"/>
        </w:rPr>
      </w:pPr>
    </w:p>
    <w:p w14:paraId="39B7E7EA" w14:textId="2172CC07">
      <w:pPr>
        <w:pStyle w:val="P68B1DB1-Normal15"/>
        <w:widowControl w:val="0"/>
        <w:tabs>
          <w:tab w:val="left" w:pos="400"/>
        </w:tabs>
        <w:autoSpaceDE w:val="0"/>
        <w:autoSpaceDN w:val="0"/>
        <w:spacing w:after="0" w:line="240" w:lineRule="auto"/>
        <w:ind w:left="567"/>
        <w:jc w:val="both"/>
        <w:rPr>
          <w:iCs/>
        </w:rPr>
      </w:pPr>
      <w:r>
        <w:t xml:space="preserve">„6. Pismem z dnia 4 listopada 1991 r. władze niderlandzkie przyznały, że przedmiotowe rozporządzenie stanowi przepis techniczny w rozumieniu dyrektywy 83/189 i że nie powiadomiły one Komisji o projekcie zmiany”.</w:t>
      </w:r>
    </w:p>
    <w:p w14:paraId="5F48D326" w14:textId="77777777">
      <w:pPr>
        <w:widowControl w:val="0"/>
        <w:tabs>
          <w:tab w:val="left" w:pos="400"/>
        </w:tabs>
        <w:autoSpaceDE w:val="0"/>
        <w:autoSpaceDN w:val="0"/>
        <w:spacing w:after="0" w:line="240" w:lineRule="auto"/>
        <w:ind w:left="567"/>
        <w:jc w:val="both"/>
        <w:rPr>
          <w:rFonts w:ascii="Times New Roman" w:hAnsi="Times New Roman" w:cs="Times New Roman" w:eastAsia="Times New Roman"/>
          <w:i/>
          <w:iCs/>
          <w:sz w:val="20"/>
          <w:szCs w:val="16"/>
        </w:rPr>
      </w:pPr>
    </w:p>
    <w:p w14:paraId="07D93C2A" w14:textId="4C09EDED">
      <w:pPr>
        <w:pStyle w:val="P68B1DB1-Normal15"/>
        <w:widowControl w:val="0"/>
        <w:tabs>
          <w:tab w:val="left" w:pos="400"/>
        </w:tabs>
        <w:autoSpaceDE w:val="0"/>
        <w:autoSpaceDN w:val="0"/>
        <w:spacing w:after="0" w:line="240" w:lineRule="auto"/>
        <w:ind w:left="567"/>
        <w:jc w:val="both"/>
        <w:rPr>
          <w:iCs/>
        </w:rPr>
      </w:pPr>
      <w:r>
        <w:t xml:space="preserve">„10. Bezsporne jest, że zgodnie z art. 8 dyrektywy projekt zmiany XIII do rozporządzenia PVS powinien był zostać niezwłocznie zgłoszony Komisji i że taka notyfikacja nie została dokonana”.</w:t>
      </w:r>
    </w:p>
    <w:p w14:paraId="33E5C53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0CAA98B" w14:textId="07507EC2">
      <w:pPr>
        <w:pStyle w:val="P68B1DB1-Normal13"/>
        <w:widowControl w:val="0"/>
        <w:autoSpaceDE w:val="0"/>
        <w:autoSpaceDN w:val="0"/>
        <w:spacing w:after="0" w:line="240" w:lineRule="auto"/>
        <w:jc w:val="both"/>
        <w:outlineLvl w:val="1"/>
      </w:pPr>
      <w:hyperlink r:id="rId76" w:history="1">
        <w:r>
          <w:rPr>
            <w:color w:val="0000FF"/>
            <w:u w:val="single"/>
          </w:rPr>
          <w:t xml:space="preserve">Wyrok z dnia 8 września 2005</w:t>
        </w:r>
      </w:hyperlink>
      <w:r>
        <w:t xml:space="preserve"> r., Komisja/Portugalia, C-500/03, EU:C:2005:515, pkt 39–41.</w:t>
      </w:r>
      <w:bookmarkEnd w:id="129"/>
    </w:p>
    <w:p w14:paraId="49D6EA9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4F1E244" w14:textId="4211A048">
      <w:pPr>
        <w:pStyle w:val="P68B1DB1-Normal14"/>
        <w:widowControl w:val="0"/>
        <w:tabs>
          <w:tab w:val="left" w:pos="467"/>
        </w:tabs>
        <w:autoSpaceDE w:val="0"/>
        <w:autoSpaceDN w:val="0"/>
        <w:spacing w:after="0" w:line="240" w:lineRule="auto"/>
        <w:jc w:val="both"/>
      </w:pPr>
      <w:r>
        <w:t xml:space="preserve">Dyrektywa nakłada na państwa członkowskie obowiązek niezwłocznego powiadamiania Komisji o wszelkich projektach przepisów technicznych. Przyjmując przepis techniczny bez notyfikowania go Komisji, Portugalia uchybiła ciążącemu na niej obowiązkowi zgłoszenia projektów przepisów technicznych.</w:t>
      </w:r>
    </w:p>
    <w:p w14:paraId="5E8234E0"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3B2937C4" w14:textId="73811036">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(Ponieważ wyrok jest dostępny wyłącznie w języku francuskim i portugalskim, poniższy tekst stanowi tłumaczenie.)</w:t>
      </w:r>
    </w:p>
    <w:p w14:paraId="534A01FA"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44335DFA" w14:textId="33F97E95">
      <w:pPr>
        <w:pStyle w:val="P68B1DB1-Normal15"/>
        <w:widowControl w:val="0"/>
        <w:tabs>
          <w:tab w:val="left" w:pos="467"/>
        </w:tabs>
        <w:autoSpaceDE w:val="0"/>
        <w:autoSpaceDN w:val="0"/>
        <w:spacing w:after="0" w:line="240" w:lineRule="auto"/>
        <w:ind w:left="567"/>
        <w:jc w:val="both"/>
        <w:rPr>
          <w:iCs/>
        </w:rPr>
      </w:pPr>
      <w:r>
        <w:t xml:space="preserve">„39. Ponieważ niniejsza skarga o stwierdzenie uchybienia zobowiązaniom państwa członkowskiego ogranicza się do wniosku o stwierdzenie nieprzestrzegania formalnej procedury uprzedniego powiadomienia, wystarczy przypomnieć, bez konieczności udzielania odpowiedzi na pozostałe argumenty stron, że Trybunał orzekł już, iż art. 8 ust. 1 dyrektywy 98/34 nakłada na państwa członkowskie obowiązek niezwłocznego przekazania Komisji wszelkich projektów przepisów technicznych (zob. podobnie, w odniesieniu do przepisów podobnych do przepisów tej dyrektywy, wyroki: z dnia 2 sierpnia 1993 r. w sprawie 139/92 Komisja przeciwko Włochom, Rec. s.</w:t>
        <w:noBreakHyphen/>
        <w:t xml:space="preserve">I 3, pkt</w:t>
        <w:noBreakHyphen/>
        <w:t xml:space="preserve">31; z dnia 11 stycznia 1996 r. w sprawie 273/94 Komisja przeciwko Niderlandom [15], Rec. s. I-</w:t>
        <w:noBreakHyphen/>
        <w:t xml:space="preserve">, pkt).</w:t>
      </w:r>
    </w:p>
    <w:p w14:paraId="01A9092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4CD1D685" w14:textId="0579D9AC">
      <w:pPr>
        <w:pStyle w:val="P68B1DB1-Normal15"/>
        <w:widowControl w:val="0"/>
        <w:tabs>
          <w:tab w:val="left" w:pos="467"/>
        </w:tabs>
        <w:autoSpaceDE w:val="0"/>
        <w:autoSpaceDN w:val="0"/>
        <w:spacing w:after="0" w:line="240" w:lineRule="auto"/>
        <w:ind w:left="567"/>
        <w:jc w:val="both"/>
        <w:rPr>
          <w:iCs/>
        </w:rPr>
      </w:pPr>
      <w:r>
        <w:t xml:space="preserve">40. Ponieważ właściwe przepisy dekretu nr 783/98 stanowią przepisy techniczne w rozumieniu dyrektywy 98/34, jak wskazano w pkt 31 niniejszego wyroku, Republika Portugalska była zobowiązana do powiadomienia ich w formie projektu zgodnie z art. 8 ust. 1 dyrektywy 98/34 (zob. podobnie, w odniesieniu do przepisów podobnych do przepisów dyrektywy 98/34, wyroki: z dnia 7 maja 1998 r. w sprawie 145/97 Komisja przeciwko Belgii, Rec.</w:t>
        <w:noBreakHyphen/>
        <w:t>s.</w:t>
        <w:noBreakHyphen/>
        <w:t xml:space="preserve">I-13, pkt 43; z dnia 21 kwietnia 2005 r. w sprawie 267/03 Lindberg, Rec. </w:t>
        <w:noBreakHyphen/>
        <w:t xml:space="preserve">s. I-, pkt).</w:t>
      </w:r>
    </w:p>
    <w:p w14:paraId="291F779F"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06E06802" w14:textId="376F605B">
      <w:pPr>
        <w:pStyle w:val="P68B1DB1-Normal15"/>
        <w:widowControl w:val="0"/>
        <w:tabs>
          <w:tab w:val="left" w:pos="467"/>
        </w:tabs>
        <w:autoSpaceDE w:val="0"/>
        <w:autoSpaceDN w:val="0"/>
        <w:spacing w:after="0" w:line="240" w:lineRule="auto"/>
        <w:ind w:left="567"/>
        <w:jc w:val="both"/>
        <w:rPr>
          <w:iCs/>
        </w:rPr>
      </w:pPr>
      <w:r>
        <w:t xml:space="preserve">41. W konsekwencji należy stwierdzić, że przyjmując zarządzenie nr 783/98 bez powiadomienia o nim Komisji na etapie projektu, Republika Portugalska uchybiła zobowiązaniom, które na niej ciążą na mocy art. 8 dyrektywy 98/34”.</w:t>
      </w:r>
    </w:p>
    <w:p w14:paraId="46D65C64" w14:textId="77777777">
      <w:pPr>
        <w:widowControl w:val="0"/>
        <w:tabs>
          <w:tab w:val="left" w:pos="467"/>
        </w:tabs>
        <w:autoSpaceDE w:val="0"/>
        <w:autoSpaceDN w:val="0"/>
        <w:spacing w:after="0" w:line="240" w:lineRule="auto"/>
        <w:jc w:val="both"/>
        <w:rPr>
          <w:rFonts w:ascii="Times New Roman" w:hAnsi="Times New Roman" w:cs="Times New Roman" w:eastAsia="Times New Roman"/>
          <w:i/>
          <w:iCs/>
          <w:sz w:val="20"/>
          <w:szCs w:val="16"/>
        </w:rPr>
      </w:pPr>
    </w:p>
    <w:p w14:paraId="0E3DB178" w14:textId="7EEA9154">
      <w:pPr>
        <w:pStyle w:val="P68B1DB1-Normal13"/>
        <w:widowControl w:val="0"/>
        <w:autoSpaceDE w:val="0"/>
        <w:autoSpaceDN w:val="0"/>
        <w:spacing w:after="0" w:line="240" w:lineRule="auto"/>
        <w:jc w:val="both"/>
        <w:outlineLvl w:val="1"/>
      </w:pPr>
      <w:hyperlink r:id="rId77" w:history="1">
        <w:r>
          <w:rPr>
            <w:rStyle w:val="Hyperlink"/>
            <w:color w:val="0000FF"/>
          </w:rPr>
          <w:t xml:space="preserve">Wyrok z dnia 26 października 2006</w:t>
        </w:r>
      </w:hyperlink>
      <w:r>
        <w:t xml:space="preserve"> r., Komisja/Grecja, C-65/05, EU:C:2006:673, pkt 60–62</w:t>
      </w:r>
      <w:bookmarkEnd w:id="130"/>
    </w:p>
    <w:p w14:paraId="6FCE0CC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ECD135F" w14:textId="0E173B3B">
      <w:pPr>
        <w:pStyle w:val="P68B1DB1-Normal14"/>
        <w:widowControl w:val="0"/>
        <w:tabs>
          <w:tab w:val="left" w:pos="467"/>
        </w:tabs>
        <w:autoSpaceDE w:val="0"/>
        <w:autoSpaceDN w:val="0"/>
        <w:spacing w:after="0" w:line="240" w:lineRule="auto"/>
        <w:jc w:val="both"/>
      </w:pPr>
      <w:r>
        <w:t xml:space="preserve">Dyrektywa nakłada na państwa członkowskie obowiązek niezwłocznego powiadamiania Komisji o wszelkich projektach przepisów technicznych. Nie dokonując takiej notyfikacji przed przyjęciem przepisów technicznych, Grecja uchybiła zobowiązaniom ciążącym na niej na mocy tej dyrektywy.</w:t>
      </w:r>
    </w:p>
    <w:p w14:paraId="2C6CFEB3"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282FC740" w14:textId="4215BA66">
      <w:pPr>
        <w:pStyle w:val="P68B1DB1-BodyText25"/>
        <w:ind w:left="510"/>
      </w:pPr>
      <w:r>
        <w:t xml:space="preserve">„60. [...] nic w rozporządzeniu nr 1367/2006 nie pozwala uznać, że pojęcie „emisji do środowiska” w rozumieniu art. 6 ust. 1 zdanie pierwsze tego rozporządzenia powinno ograniczać się do emisji pochodzących z niektórych instalacji przemysłowych, takich jak fabryki i elektrownie.</w:t>
      </w:r>
    </w:p>
    <w:p w14:paraId="4BFB9A72" w14:textId="77777777">
      <w:pPr>
        <w:pStyle w:val="P68B1DB1-BodyText25"/>
        <w:ind w:left="510"/>
      </w:pPr>
    </w:p>
    <w:p w14:paraId="0E60EA19" w14:textId="5C6F09B6">
      <w:pPr>
        <w:pStyle w:val="P68B1DB1-BodyText25"/>
        <w:ind w:left="510"/>
      </w:pPr>
      <w:r>
        <w:t xml:space="preserve">61. Ograniczenie to nie może być również wywiedzione z konwencji z Aarhus, którą należy brać pod uwagę dla potrzeb wykładni rozporządzenia nr 1367/2006, skoro w art. 1 rozporządzenie to przewiduje, że jego celem jest przyczynienie się do realizacji zobowiązań wynikających z tej konwencji poprzez ustanowienie przepisów regulujących zastosowanie jej postanowień do instytucji i organów Unii.</w:t>
      </w:r>
    </w:p>
    <w:p w14:paraId="37017D07" w14:textId="77777777">
      <w:pPr>
        <w:pStyle w:val="P68B1DB1-BodyText25"/>
        <w:ind w:left="510"/>
      </w:pPr>
    </w:p>
    <w:p w14:paraId="36CD38D8" w14:textId="043FC15A">
      <w:pPr>
        <w:pStyle w:val="P68B1DB1-BodyText25"/>
        <w:ind w:left="510"/>
        <w:rPr>
          <w:iCs/>
        </w:rPr>
      </w:pPr>
      <w:r>
        <w:t xml:space="preserve">62. Przeciwnie, jak podkreślił Trybunał w pkt 72 ostatnio wydanego wyroku Bayer CropScience i Stichting De Bijenstichting (C-442/14), tego rodzaju ograniczenie byłoby sprzeczne z samym brzmieniem art. 4 ust. 4 akapit pierwszy lit. d) konwencji z Aarhus. Postanowienie to przewiduje bowiem, że informacje o emisjach, które mają znaczenie dla ochrony środowiska, należy ujawniać. Informacje dotyczące emisji pochodzących ze źródeł innych niż instalacje przemysłowe, takich jak te wynikające ze stosowania środków ochrony roślin na roślinach lub glebie, są równie istotne dla ochrony środowiska jak informacje dotyczące emisji pochodzenia przemysłowego.”</w:t>
      </w:r>
    </w:p>
    <w:p w14:paraId="5A47A683" w14:textId="63BA7C02">
      <w:pPr>
        <w:spacing w:after="0" w:line="278" w:lineRule="auto"/>
        <w:rPr>
          <w:rFonts w:ascii="Times New Roman" w:hAnsi="Times New Roman" w:cs="Times New Roman" w:eastAsia="Times New Roman"/>
          <w:b/>
          <w:bCs/>
          <w:sz w:val="24"/>
          <w:szCs w:val="20"/>
        </w:rPr>
      </w:pPr>
      <w:r>
        <w:br w:type="page"/>
      </w:r>
    </w:p>
    <w:p w14:paraId="04343D49" w14:textId="77777777">
      <w:pPr>
        <w:pStyle w:val="BodyText"/>
        <w:rPr>
          <w:b/>
          <w:bCs/>
        </w:rPr>
      </w:pPr>
    </w:p>
    <w:p w14:paraId="7E3DD826" w14:textId="7480DFAD">
      <w:pPr>
        <w:pStyle w:val="P68B1DB1-Heading24"/>
        <w:numPr>
          <w:ilvl w:val="0"/>
          <w:numId w:val="36"/>
        </w:numPr>
        <w:spacing w:before="0" w:after="0"/>
        <w:jc w:val="center"/>
        <w:rPr>
          <w:bCs/>
          <w:color w:val="auto"/>
        </w:rPr>
      </w:pPr>
      <w:bookmarkStart w:id="131" w:name="_Ref195518088"/>
      <w:bookmarkStart w:id="132" w:name="_Toc203035675"/>
      <w:bookmarkEnd w:id="125"/>
      <w:r>
        <w:t xml:space="preserve">Notyfikacje nowych przepisów technicznych</w:t>
      </w:r>
      <w:bookmarkEnd w:id="131"/>
      <w:bookmarkEnd w:id="132"/>
    </w:p>
    <w:p w14:paraId="411799D7"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6C5E8F90" w14:textId="38D84DF9">
      <w:pPr>
        <w:pStyle w:val="P68B1DB1-Normal13"/>
        <w:widowControl w:val="0"/>
        <w:autoSpaceDE w:val="0"/>
        <w:autoSpaceDN w:val="0"/>
        <w:spacing w:after="0" w:line="240" w:lineRule="auto"/>
        <w:jc w:val="both"/>
        <w:outlineLvl w:val="1"/>
      </w:pPr>
      <w:hyperlink r:id="rId78" w:history="1">
        <w:r>
          <w:rPr>
            <w:color w:val="0000FF"/>
            <w:u w:val="single"/>
          </w:rPr>
          <w:t xml:space="preserve">Wyrok z dnia 1 czerwca 1994</w:t>
        </w:r>
      </w:hyperlink>
      <w:r>
        <w:t xml:space="preserve"> r., Komisja/Niemcy, C-317/92, EU:C:1994:212, pkt 25 i 26.</w:t>
      </w:r>
      <w:bookmarkEnd w:id="133"/>
    </w:p>
    <w:p w14:paraId="02B677B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1B1FEA" w14:textId="0EA3039C">
      <w:pPr>
        <w:pStyle w:val="P68B1DB1-Normal14"/>
        <w:widowControl w:val="0"/>
        <w:autoSpaceDE w:val="0"/>
        <w:autoSpaceDN w:val="0"/>
        <w:spacing w:after="0" w:line="240" w:lineRule="auto"/>
        <w:jc w:val="both"/>
      </w:pPr>
      <w:r>
        <w:t xml:space="preserve">Rozszerzenie istniejącego „przepisu technicznego” na nowe produkty jest objęte obowiązkiem zgłoszenia, mimo że pierwotny przepis techniczny, którego zakres jest rozszerzany, został już zgłoszony Komisji.</w:t>
      </w:r>
    </w:p>
    <w:p w14:paraId="04A42097" w14:textId="77777777">
      <w:pPr>
        <w:widowControl w:val="0"/>
        <w:autoSpaceDE w:val="0"/>
        <w:autoSpaceDN w:val="0"/>
        <w:spacing w:after="0" w:line="240" w:lineRule="auto"/>
        <w:jc w:val="both"/>
        <w:rPr>
          <w:rFonts w:ascii="Times New Roman" w:hAnsi="Times New Roman" w:cs="Times New Roman" w:eastAsia="Times New Roman"/>
          <w:szCs w:val="20"/>
        </w:rPr>
      </w:pPr>
    </w:p>
    <w:p w14:paraId="357AEE3D" w14:textId="1CE95929">
      <w:pPr>
        <w:pStyle w:val="P68B1DB1-Normal15"/>
        <w:widowControl w:val="0"/>
        <w:autoSpaceDE w:val="0"/>
        <w:autoSpaceDN w:val="0"/>
        <w:spacing w:after="0" w:line="240" w:lineRule="auto"/>
        <w:ind w:left="567"/>
        <w:jc w:val="both"/>
      </w:pPr>
      <w:r>
        <w:t xml:space="preserve">„25. Tego argumentu nie można uwzględnić. Omawiane niemieckie rozporządzenie stanowi nową specyfikację techniczną w rozumieniu wspomnianego art. 1, ponieważ sterylne przyrządy medyczne nienadające się do ponownego użycia mogą być odtąd wprowadzane do obrotu lub stosowane w Niemczech tylko wtedy, gdy spełnione są określone obowiązki, których stosowanie było wcześniej ograniczone do etykietowania produktów leczniczych. Zastosowanie do określonych produktów reguły, która wcześniej dotyczyła jedynie innych produktów, stanowi w odniesieniu do tych pierwszych nowe rozporządzenie i w związku z tym musi być notyfikowane zgodnie z dyrektywą.</w:t>
      </w:r>
    </w:p>
    <w:p w14:paraId="6F610070" w14:textId="77777777">
      <w:pPr>
        <w:pStyle w:val="P68B1DB1-Normal15"/>
        <w:widowControl w:val="0"/>
        <w:autoSpaceDE w:val="0"/>
        <w:autoSpaceDN w:val="0"/>
        <w:spacing w:after="0" w:line="240" w:lineRule="auto"/>
        <w:ind w:left="567"/>
        <w:jc w:val="both"/>
      </w:pPr>
    </w:p>
    <w:p w14:paraId="1DBC3163" w14:textId="3F0E4DF7">
      <w:pPr>
        <w:pStyle w:val="P68B1DB1-Normal15"/>
        <w:widowControl w:val="0"/>
        <w:autoSpaceDE w:val="0"/>
        <w:autoSpaceDN w:val="0"/>
        <w:spacing w:after="0" w:line="240" w:lineRule="auto"/>
        <w:ind w:left="567"/>
        <w:jc w:val="both"/>
      </w:pPr>
      <w:r>
        <w:t xml:space="preserve">26. Wniosku tego nie podważa okoliczność, że – jak podnosi rząd niemiecki – rozszerzenie zakresu stosowania tej zasady opiera się na przepisie upoważniającym, który został wcześniej przekazany Komisji. Ten środek upoważniający, przyjęty jako taki, nie wymaga zgłoszenia na podstawie wspomnianego art. 8, ponieważ nie stanowi on nowej specyfikacji. Inaczej jest w przypadku wdrożenia tego środka, który stanowi nową specyfikację, którą należy zgłosić”.</w:t>
      </w:r>
    </w:p>
    <w:p w14:paraId="061E3A55"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4757D6C8" w14:textId="4D29C152">
      <w:pPr>
        <w:pStyle w:val="BodyText"/>
        <w:jc w:val="left"/>
        <w:rPr>
          <w:b/>
          <w:bCs/>
          <w:i/>
          <w:iCs/>
          <w:sz w:val="22"/>
          <w:szCs w:val="22"/>
        </w:rPr>
      </w:pPr>
      <w:hyperlink r:id="rId79" w:history="1">
        <w:r>
          <w:rPr>
            <w:rStyle w:val="Hyperlink"/>
            <w:b/>
            <w:i/>
            <w:color w:val="0000FF"/>
            <w:sz w:val="22"/>
            <w:szCs w:val="22"/>
          </w:rPr>
          <w:t xml:space="preserve">Wyrok z dnia 3 czerwca 1999</w:t>
        </w:r>
      </w:hyperlink>
      <w:r>
        <w:rPr>
          <w:b/>
          <w:i/>
          <w:sz w:val="22"/>
          <w:szCs w:val="22"/>
        </w:rPr>
        <w:t xml:space="preserve"> r., Colim NV, C-33/189, EU:C:1999:274, pkt 22</w:t>
      </w:r>
    </w:p>
    <w:p w14:paraId="04F11CCA" w14:textId="77777777">
      <w:pPr>
        <w:pStyle w:val="BodyText"/>
        <w:jc w:val="left"/>
      </w:pPr>
    </w:p>
    <w:p w14:paraId="540E63FC" w14:textId="5143314B">
      <w:pPr>
        <w:pStyle w:val="P68B1DB1-Normal14"/>
        <w:widowControl w:val="0"/>
        <w:tabs>
          <w:tab w:val="left" w:pos="396"/>
          <w:tab w:val="left" w:pos="425"/>
        </w:tabs>
        <w:autoSpaceDE w:val="0"/>
        <w:autoSpaceDN w:val="0"/>
        <w:spacing w:after="0" w:line="240" w:lineRule="auto"/>
        <w:jc w:val="both"/>
      </w:pPr>
      <w:r>
        <w:t xml:space="preserve">Środek krajowy odtwarzający lub zastępujący istniejące „przepisy techniczne”, które zostały już zgłoszone Komisji, bez dodawania nowych specyfikacji, nie stanowi projektu „przepisów technicznych”.</w:t>
      </w:r>
    </w:p>
    <w:p w14:paraId="471E900A"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F465EBB" w14:textId="22D1CEEE">
      <w:pPr>
        <w:pStyle w:val="P68B1DB1-BodyText25"/>
        <w:ind w:left="567"/>
      </w:pPr>
      <w:r>
        <w:t xml:space="preserve">„22. [...] dyrektywa 83/189 ma na celu ochronę, poprzez kontrolę prewencyjną, swobodnego przepływu towarów, który stanowi jeden z fundamentów Wspólnoty (wyrok z dnia 17 lipca 1997 r. w sprawie C-13/96 Bic Benelux ν État belge, Rec. s. I-1753, pkt 19). Kontrola ta ma na celu wyeliminowanie lub zmniejszenie barier w swobodnym przepływie towarów, które mogą wynikać z przepisów technicznych, które państwa członkowskie proponują przyjąć. Środek krajowy, który powiela lub zastępuje, bez dodawania nowych lub dodatkowych specyfikacji, istniejące przepisy techniczne, które – o ile zostały przyjęte po wejściu w życie dyrektywy 83/189 – zostały należycie zgłoszone Komisji, nie może być uznany za »projekt« przepisów technicznych w rozumieniu art. 1 ust. 6 dyrektywy 83/189 ani w konsekwencji za podlegający obowiązkowi zgłoszenia”.</w:t>
      </w:r>
    </w:p>
    <w:p w14:paraId="10EB0A44" w14:textId="77777777">
      <w:pPr>
        <w:pStyle w:val="BodyText"/>
        <w:jc w:val="left"/>
      </w:pPr>
    </w:p>
    <w:p w14:paraId="0FD7863C" w14:textId="41998E8B">
      <w:pPr>
        <w:pStyle w:val="P68B1DB1-Normal13"/>
        <w:widowControl w:val="0"/>
        <w:autoSpaceDE w:val="0"/>
        <w:autoSpaceDN w:val="0"/>
        <w:spacing w:after="0" w:line="240" w:lineRule="auto"/>
        <w:jc w:val="both"/>
        <w:outlineLvl w:val="1"/>
      </w:pPr>
      <w:hyperlink r:id="rId80" w:history="1">
        <w:r>
          <w:rPr>
            <w:color w:val="0000FF"/>
            <w:u w:val="single"/>
          </w:rPr>
          <w:t xml:space="preserve">Wyrok z dnia 21 kwietnia 2005</w:t>
        </w:r>
      </w:hyperlink>
      <w:r>
        <w:t xml:space="preserve"> r., Lindberg, C-267/03, EU:C:2005:246, pkt 82, 85</w:t>
      </w:r>
      <w:bookmarkEnd w:id="134"/>
    </w:p>
    <w:p w14:paraId="5A455B86"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1D51892" w14:textId="03C8B255">
      <w:pPr>
        <w:pStyle w:val="P68B1DB1-Normal14"/>
        <w:widowControl w:val="0"/>
        <w:tabs>
          <w:tab w:val="left" w:pos="396"/>
          <w:tab w:val="left" w:pos="425"/>
        </w:tabs>
        <w:autoSpaceDE w:val="0"/>
        <w:autoSpaceDN w:val="0"/>
        <w:spacing w:after="0" w:line="240" w:lineRule="auto"/>
        <w:jc w:val="both"/>
      </w:pPr>
      <w:r>
        <w:t xml:space="preserve">Przepis, który jedynie powiela lub zastępuje przepisy już zgłoszone bez dodawania nowych „przepisów technicznych”, nie musi być zgłaszany.</w:t>
      </w:r>
    </w:p>
    <w:p w14:paraId="571C5A4D"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5C11DD3" w14:textId="55D687C5">
      <w:pPr>
        <w:pStyle w:val="P68B1DB1-P68B1DB1-ListParagraph226"/>
        <w:tabs>
          <w:tab w:val="left" w:pos="396"/>
          <w:tab w:val="left" w:pos="425"/>
        </w:tabs>
        <w:ind w:left="567" w:right="0" w:firstLine="0"/>
        <w:rPr>
          <w:iCs/>
        </w:rPr>
      </w:pPr>
      <w:r>
        <w:t xml:space="preserve">„82. [...] należy przede wszystkim zauważyć, że przepis krajowy, który powiela lub zastępuje, bez dodawania nowych lub dodatkowych specyfikacji, istniejące przepisy techniczne, które zostały należycie zgłoszone Komisji po wejściu w życie dyrektywy 83/189, nie może zostać uznany za „projekt” przepisu technicznego w rozumieniu art. 1 ust. 9 dyrektywy 83/189 ani w konsekwencji za podlegający obowiązkowi zgłoszenia (zob. ww. wyrok w sprawie Colim, pkt 22). W niniejszej sprawie należy wziąć pod uwagę datę wejścia w życie dyrektywy 83/189 w odniesieniu do Królestwa Szwecji”.</w:t>
      </w:r>
    </w:p>
    <w:p w14:paraId="0CA23066" w14:textId="77777777">
      <w:pPr>
        <w:pStyle w:val="P68B1DB1-ListParagraph2"/>
        <w:tabs>
          <w:tab w:val="left" w:pos="396"/>
          <w:tab w:val="left" w:pos="425"/>
        </w:tabs>
        <w:ind w:left="567" w:right="0"/>
        <w:rPr>
          <w:i/>
          <w:iCs/>
          <w:sz w:val="20"/>
          <w:szCs w:val="16"/>
        </w:rPr>
      </w:pPr>
    </w:p>
    <w:p w14:paraId="45277F90" w14:textId="583D0CBF">
      <w:pPr>
        <w:pStyle w:val="P68B1DB1-P68B1DB1-ListParagraph226"/>
        <w:tabs>
          <w:tab w:val="left" w:pos="396"/>
          <w:tab w:val="left" w:pos="425"/>
        </w:tabs>
        <w:ind w:left="567" w:right="0" w:firstLine="0"/>
      </w:pPr>
      <w:r>
        <w:t xml:space="preserve">„85. W świetle powyższych rozważań na pytanie trzecie należy odpowiedzieć w ten sposób, że ponowne zdefiniowanie w przepisach krajowych usługi związanej z projektowaniem produktu, w szczególności usługi obsługi niektórych automatów do gier, jak to uczyniła ustawa z 1996 r., może stanowić przepis techniczny, który powinien być notyfikowany na podstawie dyrektywy 83/189, jeżeli nowe przepisy nie ograniczają się do odtworzenia lub zastąpienia, bez dodania nowych lub dodatkowych specyfikacji, istniejących przepisów technicznych, które – jeśli zostały przyjęte po wejściu w życie dyrektywy 83/189 w danym państwie członkowskim – zostały należycie zgłoszone Komisji”.</w:t>
      </w:r>
    </w:p>
    <w:p w14:paraId="7351A3AE" w14:textId="77777777">
      <w:pPr>
        <w:pStyle w:val="P68B1DB1-P68B1DB1-ListParagraph226"/>
        <w:tabs>
          <w:tab w:val="left" w:pos="396"/>
          <w:tab w:val="left" w:pos="425"/>
        </w:tabs>
        <w:ind w:left="0" w:right="0" w:firstLine="0"/>
      </w:pPr>
    </w:p>
    <w:p w14:paraId="7F72B3E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81" w:history="1">
        <w:r>
          <w:rPr>
            <w:rStyle w:val="Hyperlink"/>
            <w:rFonts w:ascii="Times New Roman" w:hAnsi="Times New Roman" w:cs="Times New Roman" w:eastAsia="Times New Roman"/>
            <w:b/>
            <w:i/>
            <w:color w:val="0000FF"/>
            <w:szCs w:val="20"/>
          </w:rPr>
          <w:t xml:space="preserve">Wyrok z dnia 13 marca 2025</w:t>
        </w:r>
      </w:hyperlink>
      <w:r>
        <w:rPr>
          <w:rFonts w:ascii="Times New Roman" w:hAnsi="Times New Roman" w:cs="Times New Roman" w:eastAsia="Times New Roman"/>
          <w:b/>
          <w:i/>
          <w:szCs w:val="20"/>
        </w:rPr>
        <w:t xml:space="preserve"> r., Unigames UAB, C-120/24, EU:C:2025:174, pkt 57, 58</w:t>
      </w:r>
      <w:bookmarkEnd w:id="135"/>
    </w:p>
    <w:p w14:paraId="6E6DA28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7F00F2A0"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Należy zgłosić zmianę projektu przepisów technicznych, która znacznie rozszerza jego zakres. Zmianę wprowadzającą sankcje za nowe postępowanie należy uznać za istotną zmianę przepisów technicznych.</w:t>
      </w:r>
    </w:p>
    <w:p w14:paraId="6268DF61"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C4E84CC" w14:textId="72CC56DD">
      <w:pPr>
        <w:pStyle w:val="P68B1DB1-Normal15"/>
        <w:widowControl w:val="0"/>
        <w:tabs>
          <w:tab w:val="left" w:pos="437"/>
        </w:tabs>
        <w:autoSpaceDE w:val="0"/>
        <w:autoSpaceDN w:val="0"/>
        <w:spacing w:after="0" w:line="240" w:lineRule="auto"/>
        <w:ind w:left="567"/>
        <w:jc w:val="both"/>
        <w:rPr>
          <w:iCs/>
        </w:rPr>
      </w:pPr>
      <w:r>
        <w:t xml:space="preserve">„57. Z wniosku o wydanie orzeczenia w trybie prejudycjalnym wynika, że art. 10 ust. 19 ustawy o grach hazardowych „istotnie zmienił” zakaz zachęcania do udziału w grach hazardowych. W szczególności sąd odsyłający wskazuje, że zachowanie zarzucane Unigames na podstawie obecnie obowiązującej ustawy, polegające na opublikowaniu na stronie internetowej tej spółki informacji dotyczących oferowanych przez nią gier hazardowych, nie podlegało karze na podstawie dawnej ustawy o grach hazardowych. W związku z tym, zdaniem sądu odsyłającego, wspomniany art. 10 ust. 19 rozszerzył zakres tego zakazu.</w:t>
      </w:r>
    </w:p>
    <w:p w14:paraId="1B4969EB" w14:textId="77777777">
      <w:pPr>
        <w:pStyle w:val="P68B1DB1-Normal15"/>
        <w:widowControl w:val="0"/>
        <w:tabs>
          <w:tab w:val="left" w:pos="437"/>
        </w:tabs>
        <w:autoSpaceDE w:val="0"/>
        <w:autoSpaceDN w:val="0"/>
        <w:spacing w:after="0" w:line="240" w:lineRule="auto"/>
        <w:ind w:left="567"/>
        <w:jc w:val="both"/>
        <w:rPr>
          <w:iCs/>
        </w:rPr>
      </w:pPr>
    </w:p>
    <w:p w14:paraId="6A710DBF" w14:textId="5A8EA617">
      <w:pPr>
        <w:pStyle w:val="P68B1DB1-Normal15"/>
        <w:widowControl w:val="0"/>
        <w:tabs>
          <w:tab w:val="left" w:pos="437"/>
        </w:tabs>
        <w:autoSpaceDE w:val="0"/>
        <w:autoSpaceDN w:val="0"/>
        <w:spacing w:after="0" w:line="240" w:lineRule="auto"/>
        <w:ind w:left="567"/>
        <w:jc w:val="both"/>
        <w:rPr>
          <w:iCs/>
        </w:rPr>
      </w:pPr>
      <w:r>
        <w:t xml:space="preserve">58. Z informacji zawartych we wniosku o wydanie orzeczenia w trybie prejudycjalnym wynika zatem, że art. 10 ust. 19 ustawy o grach hazardowych dodał nowe lub dodatkowe wymogi w rozumieniu orzecznictwa przypomnianego w pkt 52 niniejszego wyroku w porównaniu z art. 10 ust. 19 dawnej ustawy o grach hazardowych. Wynika z tego, że z zastrzeżeniem ewentualnych ustaleń, których powinien dokonać sąd odsyłający, zmiana, która doprowadziła do obecnie obowiązującej ustawy, powinna była zostać zgłoszona na podstawie art. 5 ust. 1 akapit pierwszy dyrektywy 2015/1535”.</w:t>
      </w:r>
    </w:p>
    <w:p w14:paraId="339BEA27" w14:textId="77777777">
      <w:pPr>
        <w:pStyle w:val="P68B1DB1-P68B1DB1-ListParagraph226"/>
        <w:tabs>
          <w:tab w:val="left" w:pos="396"/>
          <w:tab w:val="left" w:pos="425"/>
        </w:tabs>
        <w:ind w:left="0" w:right="0" w:firstLine="0"/>
        <w:rPr>
          <w:iCs/>
        </w:rPr>
      </w:pPr>
    </w:p>
    <w:p w14:paraId="6669AD1C" w14:textId="1CFF8354">
      <w:pPr>
        <w:pStyle w:val="P68B1DB1-Normal16"/>
        <w:spacing w:after="0" w:line="240" w:lineRule="auto"/>
        <w:rPr>
          <w:i/>
          <w:iCs/>
        </w:rPr>
      </w:pPr>
      <w:r>
        <w:br w:type="page"/>
      </w:r>
    </w:p>
    <w:p w14:paraId="7F22FE55" w14:textId="67315266">
      <w:pPr>
        <w:pStyle w:val="P68B1DB1-Heading24"/>
        <w:numPr>
          <w:ilvl w:val="0"/>
          <w:numId w:val="36"/>
        </w:numPr>
        <w:spacing w:before="0" w:after="0"/>
        <w:jc w:val="center"/>
        <w:rPr>
          <w:bCs/>
          <w:color w:val="auto"/>
        </w:rPr>
      </w:pPr>
      <w:bookmarkStart w:id="136" w:name="_Ref194484898"/>
      <w:bookmarkStart w:id="137" w:name="_Toc203035676"/>
      <w:r>
        <w:t xml:space="preserve">Powiadomienie o pełnym tekście</w:t>
      </w:r>
      <w:bookmarkEnd w:id="136"/>
      <w:bookmarkEnd w:id="137"/>
    </w:p>
    <w:p w14:paraId="7C840A0C" w14:textId="77777777">
      <w:pPr>
        <w:pStyle w:val="BodyText"/>
        <w:rPr>
          <w:b/>
          <w:bCs/>
        </w:rPr>
      </w:pPr>
    </w:p>
    <w:p w14:paraId="70826245" w14:textId="6B20BAFD">
      <w:pPr>
        <w:pStyle w:val="P68B1DB1-Normal13"/>
        <w:widowControl w:val="0"/>
        <w:autoSpaceDE w:val="0"/>
        <w:autoSpaceDN w:val="0"/>
        <w:spacing w:after="0" w:line="240" w:lineRule="auto"/>
        <w:jc w:val="both"/>
        <w:outlineLvl w:val="1"/>
      </w:pPr>
      <w:hyperlink r:id="rId82" w:history="1">
        <w:r>
          <w:rPr>
            <w:color w:val="0000FF"/>
            <w:u w:val="single"/>
          </w:rPr>
          <w:t xml:space="preserve">Trybunał, wyrok z dnia 16 września 1997</w:t>
        </w:r>
      </w:hyperlink>
      <w:r>
        <w:t xml:space="preserve"> r., Komisja/Włochy, C-279/94, EU:C:1997:396, pkt 38, 42</w:t>
      </w:r>
      <w:bookmarkEnd w:id="138"/>
    </w:p>
    <w:p w14:paraId="5500F145" w14:textId="77777777">
      <w:pPr>
        <w:widowControl w:val="0"/>
        <w:autoSpaceDE w:val="0"/>
        <w:autoSpaceDN w:val="0"/>
        <w:spacing w:after="0" w:line="240" w:lineRule="auto"/>
        <w:jc w:val="both"/>
        <w:rPr>
          <w:rFonts w:ascii="Times New Roman" w:hAnsi="Times New Roman" w:cs="Times New Roman" w:eastAsia="Times New Roman"/>
          <w:szCs w:val="20"/>
        </w:rPr>
      </w:pPr>
    </w:p>
    <w:p w14:paraId="2034B5D1" w14:textId="5EDE6A01">
      <w:pPr>
        <w:pStyle w:val="P68B1DB1-Normal14"/>
        <w:widowControl w:val="0"/>
        <w:autoSpaceDE w:val="0"/>
        <w:autoSpaceDN w:val="0"/>
        <w:spacing w:after="0" w:line="240" w:lineRule="auto"/>
        <w:jc w:val="both"/>
      </w:pPr>
      <w:r>
        <w:t xml:space="preserve">Tekst zawierający „przepisy techniczne” musi zostać zgłoszony w całości, łącznie ze środkami, które nie są „przepisami technicznymi”, nawet jeśli okres zawieszenia dotyczy tylko „przepisów technicznych”.</w:t>
      </w:r>
    </w:p>
    <w:p w14:paraId="212FCCEC" w14:textId="77777777">
      <w:pPr>
        <w:widowControl w:val="0"/>
        <w:autoSpaceDE w:val="0"/>
        <w:autoSpaceDN w:val="0"/>
        <w:spacing w:after="0" w:line="240" w:lineRule="auto"/>
        <w:jc w:val="both"/>
        <w:rPr>
          <w:rFonts w:ascii="Times New Roman" w:hAnsi="Times New Roman" w:cs="Times New Roman" w:eastAsia="Times New Roman"/>
          <w:szCs w:val="20"/>
        </w:rPr>
      </w:pPr>
    </w:p>
    <w:p w14:paraId="41D543D7" w14:textId="2D86A463">
      <w:pPr>
        <w:pStyle w:val="P68B1DB1-Normal15"/>
        <w:widowControl w:val="0"/>
        <w:tabs>
          <w:tab w:val="left" w:pos="396"/>
          <w:tab w:val="left" w:pos="461"/>
        </w:tabs>
        <w:autoSpaceDE w:val="0"/>
        <w:autoSpaceDN w:val="0"/>
        <w:spacing w:after="0" w:line="240" w:lineRule="auto"/>
        <w:ind w:left="567"/>
        <w:jc w:val="both"/>
        <w:rPr>
          <w:iCs/>
        </w:rPr>
      </w:pPr>
      <w:r>
        <w:t xml:space="preserve">„38. W odniesieniu do spoczywającego na rządzie włoskim obowiązku przekazania pełnego tekstu ustawy nr 257/92, w tym przepisów, które nie stanowią przepisów technicznych, należy zauważyć, że zgodnie z art. 8 ust. 1 akapit pierwszy zdanie ostatnie dyrektywy państwa członkowskie muszą również przekazać Komisji tekst podstawowych przepisów ustawowych lub wykonawczych, których dotyczy głównie i bezpośrednio, jeżeli znajomość tego tekstu jest niezbędna do oceny skutków projektu przepisów technicznych”.</w:t>
      </w:r>
    </w:p>
    <w:p w14:paraId="2D985B3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iCs/>
          <w:sz w:val="20"/>
          <w:szCs w:val="16"/>
        </w:rPr>
      </w:pPr>
    </w:p>
    <w:p w14:paraId="48F0D541" w14:textId="215D3040">
      <w:pPr>
        <w:pStyle w:val="P68B1DB1-Normal15"/>
        <w:widowControl w:val="0"/>
        <w:tabs>
          <w:tab w:val="left" w:pos="396"/>
          <w:tab w:val="left" w:pos="461"/>
        </w:tabs>
        <w:autoSpaceDE w:val="0"/>
        <w:autoSpaceDN w:val="0"/>
        <w:spacing w:after="0" w:line="240" w:lineRule="auto"/>
        <w:ind w:left="567"/>
        <w:jc w:val="both"/>
        <w:rPr>
          <w:iCs/>
        </w:rPr>
      </w:pPr>
      <w:r>
        <w:t xml:space="preserve">„42. Jednakże sam fakt, że wszystkie przepisy zawarte w ustawie nr 257/92 są notyfikowane Komisji, nie stoi na przeszkodzie natychmiastowemu wprowadzeniu w życie przez Republikę Włoską przepisów, które nie stanowią przepisów technicznych, a zatem bez oczekiwania na wyniki procedury badania przewidzianej w dyrektywie”.</w:t>
      </w:r>
    </w:p>
    <w:p w14:paraId="7749D63B" w14:textId="5E15703E">
      <w:pPr>
        <w:pStyle w:val="P68B1DB1-Normal16"/>
        <w:spacing w:after="0" w:line="240" w:lineRule="auto"/>
        <w:rPr>
          <w:i/>
          <w:iCs/>
        </w:rPr>
      </w:pPr>
      <w:r>
        <w:br w:type="page"/>
      </w:r>
    </w:p>
    <w:p w14:paraId="66AC7FAE" w14:textId="2333E9D9">
      <w:pPr>
        <w:pStyle w:val="P68B1DB1-Heading24"/>
        <w:numPr>
          <w:ilvl w:val="0"/>
          <w:numId w:val="36"/>
        </w:numPr>
        <w:spacing w:before="0" w:after="0"/>
        <w:jc w:val="center"/>
        <w:rPr>
          <w:bCs/>
          <w:color w:val="auto"/>
        </w:rPr>
      </w:pPr>
      <w:bookmarkStart w:id="139" w:name="_Ref194484917"/>
      <w:bookmarkStart w:id="140" w:name="_Ref196314289"/>
      <w:bookmarkStart w:id="141" w:name="_Toc203035677"/>
      <w:r>
        <w:t xml:space="preserve">Powiadomienie o odnośnych </w:t>
      </w:r>
      <w:bookmarkEnd w:id="139"/>
      <w:r>
        <w:t xml:space="preserve">przepisach podstawowych</w:t>
      </w:r>
      <w:bookmarkEnd w:id="140"/>
      <w:bookmarkEnd w:id="141"/>
    </w:p>
    <w:p w14:paraId="02AB25EF" w14:textId="77777777">
      <w:pPr>
        <w:pStyle w:val="BodyText"/>
        <w:ind w:left="1440"/>
        <w:jc w:val="right"/>
        <w:rPr>
          <w:i/>
          <w:iCs/>
        </w:rPr>
      </w:pPr>
    </w:p>
    <w:p w14:paraId="7ADAEEA1" w14:textId="057664EC">
      <w:pPr>
        <w:pStyle w:val="P68B1DB1-BodyText11"/>
        <w:ind w:left="1440"/>
        <w:rPr>
          <w:iCs/>
        </w:rPr>
      </w:pPr>
      <w:r>
        <w:t xml:space="preserve">„W stosownych przypadkach i o ile nie został on już przesłany wraz z wcześniejszym powiadomieniem, państwa członkowskie jednocześnie przekazują Komisji tekst podstawowych przepisów ustawowych lub wykonawczych, których dotyczy głównie i bezpośrednio, jeżeli znajomość takiego tekstu jest niezbędna do oceny skutków projektu przepisów technicznych.”</w:t>
      </w:r>
    </w:p>
    <w:p w14:paraId="3C018828" w14:textId="77777777">
      <w:pPr>
        <w:pStyle w:val="BodyText"/>
        <w:ind w:left="1440"/>
        <w:jc w:val="right"/>
        <w:rPr>
          <w:i/>
          <w:iCs/>
        </w:rPr>
      </w:pPr>
    </w:p>
    <w:p w14:paraId="21D14611" w14:textId="15758967">
      <w:pPr>
        <w:pStyle w:val="BodyText"/>
        <w:ind w:left="1440"/>
        <w:jc w:val="right"/>
      </w:pPr>
      <w:r>
        <w:t xml:space="preserve">(art. 5 ust. 1 zdanie drugie dyrektywy (UE) 2015/1535)</w:t>
      </w:r>
    </w:p>
    <w:p w14:paraId="7479C45A" w14:textId="77777777">
      <w:pPr>
        <w:pStyle w:val="BodyText"/>
        <w:ind w:left="1440"/>
        <w:jc w:val="right"/>
        <w:rPr>
          <w:i/>
          <w:iCs/>
        </w:rPr>
      </w:pPr>
    </w:p>
    <w:p w14:paraId="7E6EAA27" w14:textId="714E980B">
      <w:pPr>
        <w:pStyle w:val="P68B1DB1-Normal13"/>
        <w:widowControl w:val="0"/>
        <w:autoSpaceDE w:val="0"/>
        <w:autoSpaceDN w:val="0"/>
        <w:spacing w:after="0" w:line="240" w:lineRule="auto"/>
        <w:jc w:val="both"/>
        <w:outlineLvl w:val="1"/>
      </w:pPr>
      <w:hyperlink r:id="rId83" w:history="1">
        <w:r>
          <w:rPr>
            <w:color w:val="0000FF"/>
            <w:u w:val="single"/>
          </w:rPr>
          <w:t xml:space="preserve">Wyrok z dnia 7 maja 1998</w:t>
        </w:r>
      </w:hyperlink>
      <w:r>
        <w:t xml:space="preserve"> r., Komisja/Belgia, C-145/97, EU:C:1998:212, pkt 11 i 12.</w:t>
      </w:r>
      <w:bookmarkEnd w:id="142"/>
    </w:p>
    <w:p w14:paraId="768284F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32E540" w14:textId="0817AF48">
      <w:pPr>
        <w:pStyle w:val="P68B1DB1-Normal14"/>
        <w:widowControl w:val="0"/>
        <w:tabs>
          <w:tab w:val="left" w:pos="437"/>
        </w:tabs>
        <w:autoSpaceDE w:val="0"/>
        <w:autoSpaceDN w:val="0"/>
        <w:spacing w:after="0" w:line="240" w:lineRule="auto"/>
        <w:jc w:val="both"/>
      </w:pPr>
      <w:r>
        <w:t xml:space="preserve">Państwa członkowskie muszą przekazać nie tylko projekt tekstu zawierającego „przepisy techniczne”, ale także tekst podstawowych przepisów ustawowych lub wykonawczych, których dotyczy głównie i bezpośrednio. Celem tego obowiązku jest umożliwienie Komisji posiadania jak największej ilości informacji, a tym samym skutecznego wykonywania uprawnień przyznanych jej na mocy dyrektywy.</w:t>
      </w:r>
    </w:p>
    <w:p w14:paraId="239177AF"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52AC3E4" w14:textId="74A8268E">
      <w:pPr>
        <w:pStyle w:val="P68B1DB1-P68B1DB1-Normal1623"/>
        <w:widowControl w:val="0"/>
        <w:tabs>
          <w:tab w:val="left" w:pos="437"/>
        </w:tabs>
        <w:autoSpaceDE w:val="0"/>
        <w:autoSpaceDN w:val="0"/>
        <w:spacing w:after="0" w:line="240" w:lineRule="auto"/>
        <w:ind w:left="567"/>
        <w:jc w:val="both"/>
        <w:rPr>
          <w:i/>
        </w:rPr>
      </w:pPr>
      <w:r>
        <w:t xml:space="preserve">„11. Po drugie, co się tyczy dokładnego zakresu obowiązku przekazywania informacji, art. 8 ust. 1 akapit pierwszy dyrektywy stanowi, że państwa członkowskie przekazują również tekst podstawowych przepisów ustawowych lub wykonawczych, których dotyczy głównie i bezpośrednio, jeżeli znajomość tego tekstu jest niezbędna do oceny skutków projektu przepisów technicznych.</w:t>
      </w:r>
    </w:p>
    <w:p w14:paraId="34A9E602" w14:textId="77777777">
      <w:pPr>
        <w:pStyle w:val="P68B1DB1-Normal16"/>
        <w:widowControl w:val="0"/>
        <w:tabs>
          <w:tab w:val="left" w:pos="437"/>
        </w:tabs>
        <w:autoSpaceDE w:val="0"/>
        <w:autoSpaceDN w:val="0"/>
        <w:spacing w:after="0" w:line="240" w:lineRule="auto"/>
        <w:ind w:left="567"/>
        <w:jc w:val="both"/>
        <w:rPr>
          <w:i/>
        </w:rPr>
      </w:pPr>
    </w:p>
    <w:p w14:paraId="4EF4E053" w14:textId="6423D8FC">
      <w:pPr>
        <w:pStyle w:val="P68B1DB1-P68B1DB1-Normal1623"/>
        <w:widowControl w:val="0"/>
        <w:tabs>
          <w:tab w:val="left" w:pos="437"/>
        </w:tabs>
        <w:autoSpaceDE w:val="0"/>
        <w:autoSpaceDN w:val="0"/>
        <w:spacing w:after="0" w:line="240" w:lineRule="auto"/>
        <w:ind w:left="567"/>
        <w:jc w:val="both"/>
        <w:rPr>
          <w:i/>
        </w:rPr>
      </w:pPr>
      <w:r>
        <w:t xml:space="preserve">12. Jak wyjaśnił Trybunał w wyroku z dnia 17 lipca 1997 r. w sprawie C-279/94 Komisja przeciwko Włochom, Rec. s. I-4743, pkt 40, przepis ten ma na celu umożliwienie Komisji posiadania jak największej ilości informacji na temat każdego projektu regulacji technicznej w odniesieniu do jego treści, zakresu i ogólnego kontekstu, aby umożliwić jej jak najskuteczniejsze wykonywanie uprawnień przyznanych jej na mocy dyrektywy”.</w:t>
      </w:r>
    </w:p>
    <w:p w14:paraId="4E67514A" w14:textId="77777777">
      <w:pPr>
        <w:pStyle w:val="P68B1DB1-Normal16"/>
        <w:spacing w:after="0" w:line="240" w:lineRule="auto"/>
      </w:pPr>
      <w:r>
        <w:br w:type="page"/>
      </w:r>
    </w:p>
    <w:p w14:paraId="6CA665D0" w14:textId="62A7B166">
      <w:pPr>
        <w:pStyle w:val="P68B1DB1-Heading24"/>
        <w:numPr>
          <w:ilvl w:val="0"/>
          <w:numId w:val="36"/>
        </w:numPr>
        <w:spacing w:before="0" w:after="0"/>
        <w:jc w:val="center"/>
        <w:rPr>
          <w:bCs/>
          <w:color w:val="auto"/>
        </w:rPr>
      </w:pPr>
      <w:bookmarkStart w:id="143" w:name="_Ref194484926"/>
      <w:bookmarkStart w:id="144" w:name="_Ref196314295"/>
      <w:bookmarkStart w:id="145" w:name="_Toc203035678"/>
      <w:r>
        <w:t xml:space="preserve">Ponowna notyfikacja</w:t>
      </w:r>
      <w:bookmarkEnd w:id="143"/>
      <w:r>
        <w:t xml:space="preserve"> w okresie zawieszenia</w:t>
      </w:r>
      <w:bookmarkEnd w:id="144"/>
      <w:bookmarkEnd w:id="145"/>
    </w:p>
    <w:p w14:paraId="469CC5E9" w14:textId="77777777">
      <w:pPr>
        <w:pStyle w:val="BodyText"/>
        <w:ind w:left="1440"/>
        <w:jc w:val="right"/>
        <w:rPr>
          <w:i/>
          <w:iCs/>
        </w:rPr>
      </w:pPr>
    </w:p>
    <w:p w14:paraId="07616479" w14:textId="3F014BDB">
      <w:pPr>
        <w:pStyle w:val="P68B1DB1-BodyText11"/>
        <w:ind w:left="1440"/>
        <w:rPr>
          <w:iCs/>
        </w:rPr>
      </w:pPr>
      <w:r>
        <w:t xml:space="preserve">„Państwa członkowskie ponownie przekazują Komisji projekt przepisów technicznych na warunkach określonych w akapicie pierwszym i drugim niniejszego ustępu, jeżeli wprowadzą do projektu zmiany skutkujące istotną zmianą jego zakresu, skróceniem pierwotnie przewidzianego harmonogramu wdrożenia, dodaniem specyfikacji lub wymogów lub uczynieniem go bardziej restrykcyjnymi.”</w:t>
      </w:r>
    </w:p>
    <w:p w14:paraId="3E582DDB" w14:textId="77777777">
      <w:pPr>
        <w:pStyle w:val="BodyText"/>
        <w:ind w:left="1440"/>
        <w:jc w:val="right"/>
        <w:rPr>
          <w:i/>
          <w:iCs/>
        </w:rPr>
      </w:pPr>
    </w:p>
    <w:p w14:paraId="57E3F15D" w14:textId="51B7D3EF">
      <w:pPr>
        <w:pStyle w:val="BodyText"/>
        <w:ind w:left="1440"/>
        <w:jc w:val="right"/>
      </w:pPr>
      <w:r>
        <w:t xml:space="preserve">(art. 5 ust. 1 zdanie trzecie dyrektywy (UE) 2015/1535)</w:t>
      </w:r>
    </w:p>
    <w:p w14:paraId="3C5D4E98" w14:textId="77777777">
      <w:pPr>
        <w:widowControl w:val="0"/>
        <w:tabs>
          <w:tab w:val="left" w:pos="437"/>
        </w:tabs>
        <w:autoSpaceDE w:val="0"/>
        <w:autoSpaceDN w:val="0"/>
        <w:spacing w:after="0" w:line="240" w:lineRule="auto"/>
        <w:jc w:val="both"/>
      </w:pPr>
    </w:p>
    <w:p w14:paraId="0923F993" w14:textId="2074D78C">
      <w:pPr>
        <w:pStyle w:val="P68B1DB1-Normal13"/>
        <w:widowControl w:val="0"/>
        <w:autoSpaceDE w:val="0"/>
        <w:autoSpaceDN w:val="0"/>
        <w:spacing w:after="0" w:line="240" w:lineRule="auto"/>
        <w:jc w:val="both"/>
        <w:outlineLvl w:val="1"/>
      </w:pPr>
      <w:hyperlink r:id="rId84" w:history="1">
        <w:r>
          <w:rPr>
            <w:color w:val="0000FF"/>
            <w:u w:val="single"/>
          </w:rPr>
          <w:t xml:space="preserve">Wyrok z dnia 15 kwietnia 2010</w:t>
        </w:r>
      </w:hyperlink>
      <w:r>
        <w:t xml:space="preserve"> r., Sandström, C-433/05, EU:C:2010:184, pkt 47 i 48.</w:t>
      </w:r>
      <w:bookmarkEnd w:id="146"/>
    </w:p>
    <w:p w14:paraId="442A3D5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7AEB5DB" w14:textId="57E34DD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Zmiany w projekcie przepisów technicznych już zgłoszone Komisji, które jedynie łagodzą warunki stosowania przedmiotowego produktu, nie stanowią istotnej zmiany wymagającej dalszego zgłoszenia.</w:t>
      </w:r>
    </w:p>
    <w:p w14:paraId="14CAB084" w14:textId="77777777">
      <w:pPr>
        <w:widowControl w:val="0"/>
        <w:autoSpaceDE w:val="0"/>
        <w:autoSpaceDN w:val="0"/>
        <w:spacing w:after="0" w:line="240" w:lineRule="auto"/>
        <w:jc w:val="both"/>
        <w:rPr>
          <w:rFonts w:ascii="Times New Roman" w:hAnsi="Times New Roman" w:cs="Times New Roman" w:eastAsia="Times New Roman"/>
          <w:szCs w:val="20"/>
        </w:rPr>
      </w:pPr>
    </w:p>
    <w:p w14:paraId="711A665A" w14:textId="07F4B9B5">
      <w:pPr>
        <w:pStyle w:val="P68B1DB1-Normal15"/>
        <w:widowControl w:val="0"/>
        <w:autoSpaceDE w:val="0"/>
        <w:autoSpaceDN w:val="0"/>
        <w:spacing w:after="0" w:line="240" w:lineRule="auto"/>
        <w:ind w:left="567"/>
        <w:jc w:val="both"/>
      </w:pPr>
      <w:r>
        <w:t xml:space="preserve">„47. [...] w świetle celu dyrektywy 98/34, przypomnianego w pkt 41 niniejszego wyroku, zmiany wprowadzone do projektu przepisów technicznych już zgłoszonego Komisji na podstawie art. 8 ust. 1 akapit pierwszy dyrektywy 98/34, które zawierają w odniesieniu do zgłoszonego projektu jedynie złagodzenie warunków stosowania danego produktu i które w związku z tym zmniejszają ewentualny wpływ przepisu technicznego na handel, nie stanowią istotnej zmiany projektu w rozumieniu art. 8 ust. 1 akapit trzeci tej dyrektywy. Zmiany takie nie podlegają zatem obowiązkowi uprzedniej notyfikacji.</w:t>
      </w:r>
    </w:p>
    <w:p w14:paraId="1CD58368" w14:textId="77777777">
      <w:pPr>
        <w:pStyle w:val="P68B1DB1-Normal15"/>
        <w:widowControl w:val="0"/>
        <w:autoSpaceDE w:val="0"/>
        <w:autoSpaceDN w:val="0"/>
        <w:spacing w:after="0" w:line="240" w:lineRule="auto"/>
        <w:ind w:left="567"/>
        <w:jc w:val="both"/>
      </w:pPr>
    </w:p>
    <w:p w14:paraId="07688F8B" w14:textId="1AE41F0D">
      <w:pPr>
        <w:pStyle w:val="P68B1DB1-Normal15"/>
        <w:widowControl w:val="0"/>
        <w:autoSpaceDE w:val="0"/>
        <w:autoSpaceDN w:val="0"/>
        <w:spacing w:after="0" w:line="240" w:lineRule="auto"/>
        <w:ind w:left="567"/>
        <w:jc w:val="both"/>
        <w:rPr>
          <w:iCs/>
        </w:rPr>
      </w:pPr>
      <w:r>
        <w:t xml:space="preserve">48. O ile zgodnie z art. 8 ust. 3 dyrektywy 98/34 państwa członkowskie niezwłocznie przekazują Komisji ostateczny tekst przepisu technicznego, o tyle brak powiadomienia o nieistotnej zmianie takiego rozporządzenia przed jego przyjęciem nie ma wpływu na stosowanie tego rozporządzenia, jeżeli nie istnieje obowiązek uprzedniego zgłoszenia”.</w:t>
      </w:r>
    </w:p>
    <w:p w14:paraId="56651A14"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595AF62A" w14:textId="0AF157F1">
      <w:pPr>
        <w:pStyle w:val="P68B1DB1-Normal13"/>
        <w:widowControl w:val="0"/>
        <w:autoSpaceDE w:val="0"/>
        <w:autoSpaceDN w:val="0"/>
        <w:spacing w:after="0" w:line="240" w:lineRule="auto"/>
        <w:jc w:val="both"/>
        <w:outlineLvl w:val="1"/>
      </w:pPr>
      <w:hyperlink r:id="rId85" w:history="1">
        <w:r>
          <w:rPr>
            <w:color w:val="0000FF"/>
            <w:u w:val="single"/>
          </w:rPr>
          <w:t xml:space="preserve">Wyrok z dnia 31 stycznia 2013</w:t>
        </w:r>
      </w:hyperlink>
      <w:r>
        <w:t xml:space="preserve"> r., Belgische Petroleum Unie i in., C-26/11, EU:C:2013:44, pkt 56, 57</w:t>
      </w:r>
      <w:bookmarkEnd w:id="147"/>
    </w:p>
    <w:p w14:paraId="11A2865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307C232" w14:textId="029CC044">
      <w:pPr>
        <w:pStyle w:val="P68B1DB1-Normal14"/>
        <w:widowControl w:val="0"/>
        <w:tabs>
          <w:tab w:val="left" w:pos="412"/>
        </w:tabs>
        <w:autoSpaceDE w:val="0"/>
        <w:autoSpaceDN w:val="0"/>
        <w:spacing w:after="0" w:line="240" w:lineRule="auto"/>
        <w:jc w:val="both"/>
      </w:pPr>
      <w:r>
        <w:t xml:space="preserve">Dyrektywa nie wymaga ponownego zgłoszenia projektów przepisów krajowych, jeżeli po zgłoszeniu projekt został zmieniony w celu uwzględnienia uwag Komisji, a zmieniony projekt został następnie przekazany Komisji.</w:t>
      </w:r>
    </w:p>
    <w:p w14:paraId="7BB1B9C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8681219" w14:textId="6C2D482D">
      <w:pPr>
        <w:pStyle w:val="P68B1DB1-Normal15"/>
        <w:widowControl w:val="0"/>
        <w:tabs>
          <w:tab w:val="left" w:pos="412"/>
        </w:tabs>
        <w:autoSpaceDE w:val="0"/>
        <w:autoSpaceDN w:val="0"/>
        <w:spacing w:after="0" w:line="240" w:lineRule="auto"/>
        <w:ind w:left="567"/>
        <w:jc w:val="both"/>
      </w:pPr>
      <w:r>
        <w:t xml:space="preserve">„56. [...] w tych okolicznościach Królestwo Belgii ograniczyło się do zmiany przepisów projektu ustawy zgodnie z wnioskiem Komisji o usunięcie bariery w handlu, a zatem na podstawie art. 10 ust. 1 tiret ostatnie dyrektywy 98/34 obowiązek powiadomienia Komisji na podstawie art. 8 ust. 1 akapit pierwszy tej dyrektywy nie ma zastosowania do projektu ustawy o obowiązku mieszania.</w:t>
      </w:r>
    </w:p>
    <w:p w14:paraId="4B8B3C65" w14:textId="77777777">
      <w:pPr>
        <w:pStyle w:val="P68B1DB1-Normal15"/>
        <w:widowControl w:val="0"/>
        <w:tabs>
          <w:tab w:val="left" w:pos="412"/>
        </w:tabs>
        <w:autoSpaceDE w:val="0"/>
        <w:autoSpaceDN w:val="0"/>
        <w:spacing w:after="0" w:line="240" w:lineRule="auto"/>
        <w:ind w:left="567"/>
        <w:jc w:val="both"/>
      </w:pPr>
    </w:p>
    <w:p w14:paraId="2643CC13" w14:textId="30521DC9">
      <w:pPr>
        <w:pStyle w:val="P68B1DB1-Normal15"/>
        <w:widowControl w:val="0"/>
        <w:tabs>
          <w:tab w:val="left" w:pos="412"/>
        </w:tabs>
        <w:autoSpaceDE w:val="0"/>
        <w:autoSpaceDN w:val="0"/>
        <w:spacing w:after="0" w:line="240" w:lineRule="auto"/>
        <w:ind w:left="567"/>
        <w:jc w:val="both"/>
        <w:rPr>
          <w:iCs/>
        </w:rPr>
      </w:pPr>
      <w:r>
        <w:t xml:space="preserve">57. W tych okolicznościach na pytanie drugie należy odpowiedzieć, że art. 8 dyrektywy 98/34 w związku z art. 10 ust. 1 tiret ostatnie tej dyrektywy należy interpretować w ten sposób, że nie wymaga on notyfikacji projektu przepisów krajowych, które zobowiązują przedsiębiorstwa naftowe wprowadzające do obrotu benzynę lub oleje napędowe również do wprowadzenia do obrotu w tym samym roku kalendarzowym określonych procentów biopaliw, jeżeli po zgłoszeniu na podstawie art. 8 ust. 1 akapit pierwszy projekt został zmieniony w celu uwzględnienia uwag Komisji w jego przedmiocie, a zmieniony projekt został następnie przekazany Komisji”.</w:t>
      </w:r>
    </w:p>
    <w:p w14:paraId="236E4111"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43993F44" w14:textId="3D80E37E">
      <w:pPr>
        <w:pStyle w:val="P68B1DB1-Normal14"/>
        <w:widowControl w:val="0"/>
        <w:autoSpaceDE w:val="0"/>
        <w:autoSpaceDN w:val="0"/>
        <w:spacing w:after="0" w:line="240" w:lineRule="auto"/>
        <w:jc w:val="both"/>
        <w:outlineLvl w:val="1"/>
        <w:rPr>
          <w:b/>
          <w:i/>
        </w:rPr>
      </w:pPr>
      <w:hyperlink r:id="rId86" w:history="1">
        <w:r>
          <w:rPr>
            <w:b/>
            <w:i/>
            <w:color w:val="0000FF"/>
            <w:u w:val="single"/>
          </w:rPr>
          <w:t xml:space="preserve">Wyrok z dnia 10 lipca 2014 r.,</w:t>
        </w:r>
      </w:hyperlink>
      <w:r>
        <w:rPr>
          <w:b/>
          <w:i/>
        </w:rPr>
        <w:t xml:space="preserve"> Ivansson i</w:t>
      </w:r>
      <w:r>
        <w:rPr>
          <w:sz w:val="25"/>
        </w:rPr>
        <w:t xml:space="preserve"> in.,</w:t>
      </w:r>
      <w:r>
        <w:rPr>
          <w:rFonts w:ascii="Open Sans" w:hAnsi="Open Sans" w:cs="Open Sans" w:eastAsiaTheme="minorHAnsi"/>
          <w:color w:val="000000"/>
          <w:sz w:val="18"/>
          <w:szCs w:val="18"/>
        </w:rPr>
        <w:t xml:space="preserve"> </w:t>
      </w:r>
      <w:r>
        <w:rPr>
          <w:b/>
          <w:i/>
        </w:rPr>
        <w:t xml:space="preserve">C-307/13, EU:C:2014:2058, pkt 48–50</w:t>
      </w:r>
      <w:bookmarkEnd w:id="148"/>
    </w:p>
    <w:p w14:paraId="27463427" w14:textId="77777777">
      <w:pPr>
        <w:widowControl w:val="0"/>
        <w:autoSpaceDE w:val="0"/>
        <w:autoSpaceDN w:val="0"/>
        <w:spacing w:after="0" w:line="240" w:lineRule="auto"/>
        <w:ind w:left="-142"/>
        <w:jc w:val="both"/>
        <w:rPr>
          <w:rFonts w:ascii="Times New Roman" w:hAnsi="Times New Roman" w:cs="Times New Roman" w:eastAsia="Times New Roman"/>
          <w:szCs w:val="20"/>
        </w:rPr>
      </w:pPr>
    </w:p>
    <w:p w14:paraId="0B57A13E" w14:textId="12E99D5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O wszelkich istotnych zmianach w harmonogramie wdrażania środka krajowego, w tym o znacznym skróceniu, należy powiadomić Komisję. Niedopełnienie obowiązku zgłoszenia powoduje, że środek nie ma zastosowania i nie podlega wykonaniu wobec osób fizycznych.</w:t>
      </w:r>
    </w:p>
    <w:p w14:paraId="0B31DCA0" w14:textId="77777777">
      <w:pPr>
        <w:widowControl w:val="0"/>
        <w:autoSpaceDE w:val="0"/>
        <w:autoSpaceDN w:val="0"/>
        <w:spacing w:after="0" w:line="240" w:lineRule="auto"/>
        <w:ind w:hanging="142"/>
        <w:jc w:val="both"/>
        <w:rPr>
          <w:rFonts w:ascii="Times New Roman" w:hAnsi="Times New Roman" w:cs="Times New Roman" w:eastAsia="Times New Roman"/>
          <w:szCs w:val="20"/>
        </w:rPr>
      </w:pPr>
    </w:p>
    <w:p w14:paraId="2FC99E88" w14:textId="427CE55A">
      <w:pPr>
        <w:pStyle w:val="P68B1DB1-Normal15"/>
        <w:widowControl w:val="0"/>
        <w:tabs>
          <w:tab w:val="left" w:pos="396"/>
          <w:tab w:val="left" w:pos="407"/>
        </w:tabs>
        <w:autoSpaceDE w:val="0"/>
        <w:autoSpaceDN w:val="0"/>
        <w:spacing w:after="0" w:line="240" w:lineRule="auto"/>
        <w:ind w:left="567"/>
        <w:jc w:val="both"/>
      </w:pPr>
      <w:r>
        <w:t xml:space="preserve">„48. W tym względzie należy przypomnieć, że Trybunał orzekł, iż naruszenie obowiązku notyfikacji stanowi uchybienie proceduralne przy przyjmowaniu przepisów technicznych i powoduje brak możliwości stosowania tych przepisów technicznych, zatem nie można się na nie powołać wobec jednostek (zob. w szczególności wyroki: CIA Security International, C-194/94, EU:C:1996:172, pkt 54; Schwibbert, C-20/05, EU:C:2007:652, pkt 44). Na ów brak możliwości stosowania jednostki mogą powołać się przed sądem krajowym, na którym ciąży obowiązek odmowy zastosowania przepisu technicznego, który nie został notyfikowany zgodnie z dyrektywą 98/34 (zob. w szczególności wyrok Schwibbert, EU:C:2007:652, pkt 44 i przytoczone tam orzecznictwo).</w:t>
      </w:r>
    </w:p>
    <w:p w14:paraId="64D396E7" w14:textId="77777777">
      <w:pPr>
        <w:pStyle w:val="P68B1DB1-Normal15"/>
        <w:widowControl w:val="0"/>
        <w:tabs>
          <w:tab w:val="left" w:pos="396"/>
          <w:tab w:val="left" w:pos="407"/>
        </w:tabs>
        <w:autoSpaceDE w:val="0"/>
        <w:autoSpaceDN w:val="0"/>
        <w:spacing w:after="0" w:line="240" w:lineRule="auto"/>
        <w:ind w:left="567"/>
        <w:jc w:val="both"/>
      </w:pPr>
    </w:p>
    <w:p w14:paraId="24511168" w14:textId="41EC6123">
      <w:pPr>
        <w:pStyle w:val="P68B1DB1-Normal15"/>
        <w:widowControl w:val="0"/>
        <w:tabs>
          <w:tab w:val="left" w:pos="396"/>
          <w:tab w:val="left" w:pos="407"/>
        </w:tabs>
        <w:autoSpaceDE w:val="0"/>
        <w:autoSpaceDN w:val="0"/>
        <w:spacing w:after="0" w:line="240" w:lineRule="auto"/>
        <w:ind w:left="567"/>
        <w:jc w:val="both"/>
      </w:pPr>
      <w:r>
        <w:t xml:space="preserve">49. Wynika z tego, że jeżeli notyfikacja Komisji art. 9 rozporządzenia (1988:539) zawierała rzeczywiście datę 1 maja 2003 r. jako datę wejścia w życie i jeżeli skrócenie harmonogramu jego wdrożenia do 15 kwietnia tego samego roku miało istotny charakter, niedokonanie nowego przekazania Komisji sprawiło, że na przepis ten nie można się powołać wobec oskarżonych w postępowaniu głównym.</w:t>
      </w:r>
    </w:p>
    <w:p w14:paraId="5515956D" w14:textId="77777777">
      <w:pPr>
        <w:pStyle w:val="P68B1DB1-Normal15"/>
        <w:widowControl w:val="0"/>
        <w:tabs>
          <w:tab w:val="left" w:pos="396"/>
          <w:tab w:val="left" w:pos="407"/>
        </w:tabs>
        <w:autoSpaceDE w:val="0"/>
        <w:autoSpaceDN w:val="0"/>
        <w:spacing w:after="0" w:line="240" w:lineRule="auto"/>
        <w:ind w:left="567"/>
        <w:jc w:val="both"/>
      </w:pPr>
    </w:p>
    <w:p w14:paraId="74B7B30E" w14:textId="7B5C59D5">
      <w:pPr>
        <w:pStyle w:val="P68B1DB1-Normal15"/>
        <w:widowControl w:val="0"/>
        <w:tabs>
          <w:tab w:val="left" w:pos="396"/>
          <w:tab w:val="left" w:pos="407"/>
        </w:tabs>
        <w:autoSpaceDE w:val="0"/>
        <w:autoSpaceDN w:val="0"/>
        <w:spacing w:after="0" w:line="240" w:lineRule="auto"/>
        <w:ind w:left="567"/>
        <w:jc w:val="both"/>
      </w:pPr>
      <w:r>
        <w:t xml:space="preserve">50. Na pytanie drugie należy zatem odpowiedzieć, że gdyby skrócenie harmonogramu wejścia w życie przepisu technicznego podlegało obowiązkowi powiadomienia Komisji, o którym mowa w art. 8 ust. 1 akapit trzeci dyrektywy 98/34, brak takiego powiadomienia skutkowałby brakiem możliwości zastosowania tego przepisu krajowego, w związku z czym nie można go wyegzekwować wobec jednostek”.</w:t>
      </w:r>
    </w:p>
    <w:p w14:paraId="761A5A99" w14:textId="77777777">
      <w:pPr>
        <w:pStyle w:val="P68B1DB1-Normal15"/>
        <w:widowControl w:val="0"/>
        <w:tabs>
          <w:tab w:val="left" w:pos="396"/>
          <w:tab w:val="left" w:pos="407"/>
        </w:tabs>
        <w:autoSpaceDE w:val="0"/>
        <w:autoSpaceDN w:val="0"/>
        <w:spacing w:after="0" w:line="240" w:lineRule="auto"/>
        <w:jc w:val="both"/>
        <w:rPr>
          <w:iCs/>
        </w:rPr>
      </w:pPr>
    </w:p>
    <w:p w14:paraId="5BAF695F" w14:textId="64410CB4">
      <w:pPr>
        <w:pStyle w:val="P68B1DB1-Normal16"/>
        <w:spacing w:after="0" w:line="278" w:lineRule="auto"/>
      </w:pPr>
      <w:r>
        <w:br w:type="page"/>
      </w:r>
    </w:p>
    <w:p w14:paraId="6577BC49" w14:textId="03B1ACB8">
      <w:pPr>
        <w:pStyle w:val="P68B1DB1-Heading13"/>
        <w:numPr>
          <w:ilvl w:val="0"/>
          <w:numId w:val="34"/>
        </w:numPr>
        <w:spacing w:before="0" w:after="0"/>
        <w:jc w:val="center"/>
        <w:rPr>
          <w:bCs/>
          <w:color w:val="auto"/>
          <w:sz w:val="22"/>
          <w:szCs w:val="22"/>
        </w:rPr>
      </w:pPr>
      <w:bookmarkStart w:id="149" w:name="_Ref195517367"/>
      <w:bookmarkStart w:id="150" w:name="_Toc203035679"/>
      <w:r>
        <w:t xml:space="preserve">Wyjątki od obowiązku zgłoszenia</w:t>
      </w:r>
      <w:bookmarkEnd w:id="149"/>
      <w:bookmarkEnd w:id="150"/>
    </w:p>
    <w:p w14:paraId="3C30462C" w14:textId="2740E9B7">
      <w:pPr>
        <w:spacing w:after="0" w:line="278" w:lineRule="auto"/>
        <w:rPr>
          <w:rFonts w:ascii="Times New Roman" w:hAnsi="Times New Roman" w:cs="Times New Roman"/>
          <w:i/>
          <w:sz w:val="20"/>
          <w:szCs w:val="20"/>
        </w:rPr>
      </w:pPr>
    </w:p>
    <w:p w14:paraId="0F730AF8" w14:textId="3DA91853">
      <w:pPr>
        <w:pStyle w:val="P68B1DB1-Heading24"/>
        <w:numPr>
          <w:ilvl w:val="0"/>
          <w:numId w:val="37"/>
        </w:numPr>
        <w:spacing w:before="0" w:after="0"/>
        <w:jc w:val="center"/>
        <w:rPr>
          <w:bCs/>
          <w:color w:val="auto"/>
        </w:rPr>
      </w:pPr>
      <w:bookmarkStart w:id="151" w:name="_Ref194484715"/>
      <w:bookmarkStart w:id="152" w:name="_Ref194942600"/>
      <w:bookmarkStart w:id="153" w:name="_Toc203035680"/>
      <w:r>
        <w:t xml:space="preserve">Transpozycja aktu europejskiego</w:t>
      </w:r>
      <w:bookmarkEnd w:id="151"/>
      <w:bookmarkEnd w:id="152"/>
      <w:bookmarkEnd w:id="153"/>
    </w:p>
    <w:p w14:paraId="4B7876F4" w14:textId="77777777">
      <w:pPr>
        <w:pStyle w:val="BodyText"/>
        <w:rPr>
          <w:b/>
          <w:bCs/>
        </w:rPr>
      </w:pPr>
    </w:p>
    <w:p w14:paraId="61507248" w14:textId="663D0F44">
      <w:pPr>
        <w:pStyle w:val="P68B1DB1-BodyText11"/>
        <w:ind w:left="567"/>
        <w:rPr>
          <w:i/>
        </w:rPr>
      </w:pPr>
      <w:r>
        <w:t xml:space="preserve">„Art. 5 i 6 nie mają zastosowania do tych przepisów ustawowych, wykonawczych i administracyjnych państw członkowskich ani do dobrowolnych porozumień, na mocy których państwa członkowskie: </w:t>
      </w:r>
    </w:p>
    <w:p w14:paraId="2762B474" w14:textId="77777777">
      <w:pPr>
        <w:pStyle w:val="BodyText"/>
        <w:ind w:left="567"/>
        <w:rPr>
          <w:i/>
        </w:rPr>
      </w:pPr>
    </w:p>
    <w:p w14:paraId="753FC221" w14:textId="4E9C46C0">
      <w:pPr>
        <w:pStyle w:val="P68B1DB1-BodyText11"/>
        <w:ind w:left="1440"/>
        <w:rPr>
          <w:iCs/>
        </w:rPr>
      </w:pPr>
      <w:r>
        <w:t xml:space="preserve">a) są zgodne z wiążącymi aktami Unii, które skutkują przyjęciem specyfikacji technicznych lub zasad dotyczących usług;”;</w:t>
      </w:r>
    </w:p>
    <w:p w14:paraId="2A077376" w14:textId="77777777">
      <w:pPr>
        <w:pStyle w:val="BodyText"/>
        <w:ind w:left="567"/>
        <w:rPr>
          <w:i/>
          <w:iCs/>
        </w:rPr>
      </w:pPr>
    </w:p>
    <w:p w14:paraId="7AE538ED" w14:textId="4CFA3BCA">
      <w:pPr>
        <w:pStyle w:val="BodyText"/>
        <w:jc w:val="right"/>
      </w:pPr>
      <w:r>
        <w:t xml:space="preserve">(Art. 7 ust. 1 lit. a) dyrektywy (UE) 2015/1535)</w:t>
      </w:r>
    </w:p>
    <w:p w14:paraId="7807BF7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C483B06" w14:textId="24AB8D26">
      <w:pPr>
        <w:pStyle w:val="P68B1DB1-Normal13"/>
        <w:widowControl w:val="0"/>
        <w:autoSpaceDE w:val="0"/>
        <w:autoSpaceDN w:val="0"/>
        <w:spacing w:after="0" w:line="240" w:lineRule="auto"/>
        <w:jc w:val="both"/>
        <w:outlineLvl w:val="1"/>
      </w:pPr>
      <w:hyperlink r:id="rId87" w:history="1">
        <w:r>
          <w:rPr>
            <w:color w:val="0000FF"/>
            <w:u w:val="single"/>
          </w:rPr>
          <w:t xml:space="preserve">Wyrok z dnia 17 września 1996</w:t>
        </w:r>
      </w:hyperlink>
      <w:r>
        <w:t xml:space="preserve"> r., Komisja/Włochy, C-289/94, EU:C:1996:330, pkt 43–45.</w:t>
      </w:r>
      <w:bookmarkEnd w:id="154"/>
    </w:p>
    <w:p w14:paraId="5A0D4173"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4994C4AC" w14:textId="06B0EF04">
      <w:pPr>
        <w:pStyle w:val="P68B1DB1-Normal14"/>
        <w:widowControl w:val="0"/>
        <w:tabs>
          <w:tab w:val="left" w:pos="393"/>
          <w:tab w:val="left" w:pos="396"/>
        </w:tabs>
        <w:autoSpaceDE w:val="0"/>
        <w:autoSpaceDN w:val="0"/>
        <w:spacing w:after="0" w:line="240" w:lineRule="auto"/>
        <w:jc w:val="both"/>
      </w:pPr>
      <w:r>
        <w:t xml:space="preserve">Aby środek krajowy mógł zostać uznany za środek transpozycji zwolniony z obowiązku zgłoszenia, konieczne jest ustalenie bezpośredniego związku z wiążącym aktem wspólnotowym. </w:t>
      </w:r>
    </w:p>
    <w:p w14:paraId="6B49E9E7"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i/>
          <w:iCs/>
          <w:sz w:val="20"/>
          <w:szCs w:val="16"/>
        </w:rPr>
      </w:pPr>
    </w:p>
    <w:p w14:paraId="433CF3E1" w14:textId="20EF3A37">
      <w:pPr>
        <w:pStyle w:val="P68B1DB1-Normal15"/>
        <w:widowControl w:val="0"/>
        <w:tabs>
          <w:tab w:val="left" w:pos="393"/>
          <w:tab w:val="left" w:pos="396"/>
        </w:tabs>
        <w:autoSpaceDE w:val="0"/>
        <w:autoSpaceDN w:val="0"/>
        <w:spacing w:after="0" w:line="240" w:lineRule="auto"/>
        <w:ind w:left="567"/>
        <w:jc w:val="both"/>
      </w:pPr>
      <w:r>
        <w:t xml:space="preserve">„43. Dyrektywa 91/492 zawiera natomiast znacznie szersze przepisy dotyczące wprowadzania do obrotu nie tylko małży, ale również ślimaków morskich, osłonic i szkarłupni. Określono w nim nowe wymogi dotyczące wszystkich etapów gromadzenia, przetwarzania, przechowywania, transportu i dystrybucji mięczaków, a także wprowadzono system rejestracji i znakowania umożliwiający identyfikację pochodzenia każdej partii do celów zdrowotnych. </w:t>
      </w:r>
    </w:p>
    <w:p w14:paraId="7B3D1E4A" w14:textId="77777777">
      <w:pPr>
        <w:pStyle w:val="P68B1DB1-Normal15"/>
        <w:widowControl w:val="0"/>
        <w:tabs>
          <w:tab w:val="left" w:pos="393"/>
          <w:tab w:val="left" w:pos="396"/>
        </w:tabs>
        <w:autoSpaceDE w:val="0"/>
        <w:autoSpaceDN w:val="0"/>
        <w:spacing w:after="0" w:line="240" w:lineRule="auto"/>
        <w:ind w:left="567"/>
        <w:jc w:val="both"/>
      </w:pPr>
    </w:p>
    <w:p w14:paraId="48887BBE" w14:textId="149910F2">
      <w:pPr>
        <w:pStyle w:val="P68B1DB1-Normal15"/>
        <w:widowControl w:val="0"/>
        <w:tabs>
          <w:tab w:val="left" w:pos="393"/>
          <w:tab w:val="left" w:pos="396"/>
        </w:tabs>
        <w:autoSpaceDE w:val="0"/>
        <w:autoSpaceDN w:val="0"/>
        <w:spacing w:after="0" w:line="240" w:lineRule="auto"/>
        <w:ind w:left="567"/>
        <w:jc w:val="both"/>
      </w:pPr>
      <w:r>
        <w:t xml:space="preserve">44. Ponadto brak bezpośredniego związku między dyrektywą 91/492 a dwoma rozpatrywanymi dekretami znajduje potwierdzenie w twierdzeniu rządu włoskiego, zgodnie z którym dyrektywa ta została transponowana do prawa włoskiego dekretem ustawodawczym nr 530 z dnia 30 grudnia 1992 r., który, jak twierdzi sam, stanowi jedyny środek transpozycji dyrektywy 91/492, w odniesieniu do którego Komisja w dniu 27 stycznia 1993 r. przekazała szczegółową opinię krytykującą ten dekret w zakresie, w jakim dotyczy on innej toksyny (NSP) niewymienionej w dyrektywie 91/492. </w:t>
      </w:r>
    </w:p>
    <w:p w14:paraId="19342BDA" w14:textId="77777777">
      <w:pPr>
        <w:pStyle w:val="P68B1DB1-Normal15"/>
        <w:widowControl w:val="0"/>
        <w:tabs>
          <w:tab w:val="left" w:pos="393"/>
          <w:tab w:val="left" w:pos="396"/>
        </w:tabs>
        <w:autoSpaceDE w:val="0"/>
        <w:autoSpaceDN w:val="0"/>
        <w:spacing w:after="0" w:line="240" w:lineRule="auto"/>
        <w:ind w:left="567"/>
        <w:jc w:val="both"/>
      </w:pPr>
    </w:p>
    <w:p w14:paraId="1A450F93" w14:textId="4F2BD9E6">
      <w:pPr>
        <w:pStyle w:val="P68B1DB1-Normal15"/>
        <w:widowControl w:val="0"/>
        <w:tabs>
          <w:tab w:val="left" w:pos="393"/>
          <w:tab w:val="left" w:pos="396"/>
        </w:tabs>
        <w:autoSpaceDE w:val="0"/>
        <w:autoSpaceDN w:val="0"/>
        <w:spacing w:after="0" w:line="240" w:lineRule="auto"/>
        <w:ind w:left="567"/>
        <w:jc w:val="both"/>
      </w:pPr>
      <w:r>
        <w:t xml:space="preserve">45. Ponieważ nie stanowią one środków transponujących dyrektywę 91/492, które uzasadniałyby zastosowanie art. 10 dyrektywy 83/189, dekret nr 257 z dnia 1 sierpnia 1990 r. i dekret z dnia 1 września 1990 r. musiały zostać zgłoszone Komisji zgodnie z art. 8 tej ostatniej dyrektywy”.</w:t>
      </w:r>
    </w:p>
    <w:p w14:paraId="0EB5A280" w14:textId="77777777">
      <w:pPr>
        <w:pStyle w:val="P68B1DB1-Normal15"/>
        <w:widowControl w:val="0"/>
        <w:tabs>
          <w:tab w:val="left" w:pos="393"/>
          <w:tab w:val="left" w:pos="396"/>
        </w:tabs>
        <w:autoSpaceDE w:val="0"/>
        <w:autoSpaceDN w:val="0"/>
        <w:spacing w:after="0" w:line="240" w:lineRule="auto"/>
        <w:ind w:left="567"/>
        <w:jc w:val="both"/>
        <w:rPr>
          <w:iCs/>
        </w:rPr>
      </w:pPr>
    </w:p>
    <w:p w14:paraId="667344E1" w14:textId="52345967">
      <w:pPr>
        <w:pStyle w:val="P68B1DB1-Normal13"/>
        <w:widowControl w:val="0"/>
        <w:autoSpaceDE w:val="0"/>
        <w:autoSpaceDN w:val="0"/>
        <w:spacing w:after="0" w:line="240" w:lineRule="auto"/>
        <w:jc w:val="both"/>
        <w:outlineLvl w:val="1"/>
      </w:pPr>
      <w:hyperlink r:id="rId88" w:history="1">
        <w:r>
          <w:rPr>
            <w:color w:val="0000FF"/>
            <w:u w:val="single"/>
          </w:rPr>
          <w:t xml:space="preserve">Wyrok z dnia 26 września 2000</w:t>
        </w:r>
      </w:hyperlink>
      <w:r>
        <w:t xml:space="preserve"> r., Unilever, C-443/98, EU:C:2000:496, pkt 28, 29</w:t>
      </w:r>
      <w:bookmarkEnd w:id="155"/>
    </w:p>
    <w:p w14:paraId="6F265AB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72ABF8" w14:textId="6CA475E3">
      <w:pPr>
        <w:pStyle w:val="P68B1DB1-Normal14"/>
        <w:widowControl w:val="0"/>
        <w:autoSpaceDE w:val="0"/>
        <w:autoSpaceDN w:val="0"/>
        <w:spacing w:after="0" w:line="240" w:lineRule="auto"/>
        <w:jc w:val="both"/>
      </w:pPr>
      <w:r>
        <w:t xml:space="preserve">Jeżeli państwom członkowskim przysługuje szeroki zakres uznania przy transpozycji dyrektywy Unii, nie można uznać przyjętych w tym celu przepisów krajowych za przepisy krajowe „zgodne z wiążącym aktem wspólnotowym”.</w:t>
      </w:r>
    </w:p>
    <w:p w14:paraId="233C173F" w14:textId="77777777">
      <w:pPr>
        <w:widowControl w:val="0"/>
        <w:autoSpaceDE w:val="0"/>
        <w:autoSpaceDN w:val="0"/>
        <w:spacing w:after="0" w:line="240" w:lineRule="auto"/>
        <w:jc w:val="both"/>
        <w:rPr>
          <w:rFonts w:ascii="Times New Roman" w:hAnsi="Times New Roman" w:cs="Times New Roman" w:eastAsia="Times New Roman"/>
          <w:szCs w:val="20"/>
        </w:rPr>
      </w:pPr>
    </w:p>
    <w:p w14:paraId="4D09BAA2" w14:textId="2C7E5999">
      <w:pPr>
        <w:pStyle w:val="P68B1DB1-Normal15"/>
        <w:widowControl w:val="0"/>
        <w:autoSpaceDE w:val="0"/>
        <w:autoSpaceDN w:val="0"/>
        <w:spacing w:after="0" w:line="240" w:lineRule="auto"/>
        <w:ind w:left="567"/>
        <w:jc w:val="both"/>
      </w:pPr>
      <w:r>
        <w:t xml:space="preserve">„28. Po drugie, rząd włoski podnosi, że zaskarżona ustawa była zwolniona z obowiązku zgłoszenia na podstawie art. 10 dyrektywy 83/189, ponieważ została przyjęta zgodnie z dyrektywą Rady 79/112/EWG z dnia 18 grudnia 1978 r. w sprawie zbliżenia ustawodawstw państw członkowskich odnoszących się do etykietowania, prezentacji i reklamy środków spożywczych przeznaczonych do sprzedaży konsumentowi końcowemu (Dz.U. 1979, L 33, s. 1). Artykuł 3 ust. 1 pkt 7 tej dyrektywy wymaga, aby miejsce lub miejsce pochodzenia produktu było wskazane na etykiecie w przypadkach, gdy pominięcie takich informacji mogłoby wprowadzić konsumentów w błąd co do rzeczywistego pochodzenia lub pochodzenia środka spożywczego.</w:t>
      </w:r>
    </w:p>
    <w:p w14:paraId="0949ABBA" w14:textId="77777777">
      <w:pPr>
        <w:pStyle w:val="P68B1DB1-Normal15"/>
        <w:widowControl w:val="0"/>
        <w:autoSpaceDE w:val="0"/>
        <w:autoSpaceDN w:val="0"/>
        <w:spacing w:after="0" w:line="240" w:lineRule="auto"/>
        <w:ind w:left="567"/>
        <w:jc w:val="both"/>
      </w:pPr>
    </w:p>
    <w:p w14:paraId="7E20C2A2" w14:textId="32F76FBD">
      <w:pPr>
        <w:pStyle w:val="P68B1DB1-Normal15"/>
        <w:widowControl w:val="0"/>
        <w:autoSpaceDE w:val="0"/>
        <w:autoSpaceDN w:val="0"/>
        <w:spacing w:after="0" w:line="240" w:lineRule="auto"/>
        <w:ind w:left="567"/>
        <w:jc w:val="both"/>
      </w:pPr>
      <w:r>
        <w:t xml:space="preserve">29. Tej argumentacji nie można zaakceptować. Jak wskazała Komisja, ten przepis dyrektywy 79/112, sformułowany w sposób ogólny, pozostawia państwom członkowskim wystarczające pole manewru, aby stwierdzić, że przepisy krajowe dotyczące oznaczania pochodzenia, takie jak te przyjęte w zaskarżonej ustawie, nie mogą zostać uznane za przepisy krajowe zgodne z wiążącym aktem wspólnotowym w rozumieniu art. 10 ust. 1 tiret pierwsze dyrektywy 83/189”.</w:t>
      </w:r>
    </w:p>
    <w:p w14:paraId="49D7BF4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4D10AEF" w14:textId="6F48CDC6">
      <w:pPr>
        <w:pStyle w:val="P68B1DB1-Normal13"/>
        <w:widowControl w:val="0"/>
        <w:autoSpaceDE w:val="0"/>
        <w:autoSpaceDN w:val="0"/>
        <w:spacing w:after="0" w:line="240" w:lineRule="auto"/>
        <w:jc w:val="both"/>
        <w:outlineLvl w:val="1"/>
      </w:pPr>
      <w:hyperlink r:id="rId89" w:history="1">
        <w:r>
          <w:rPr>
            <w:color w:val="0000FF"/>
            <w:u w:val="single"/>
          </w:rPr>
          <w:t xml:space="preserve">Wyrok z dnia 22 stycznia 2000</w:t>
        </w:r>
      </w:hyperlink>
      <w:r>
        <w:t xml:space="preserve"> r., Canal Satélite Digital, C-390/99, EU:C:2002:34, pkt 48</w:t>
      </w:r>
      <w:bookmarkEnd w:id="156"/>
    </w:p>
    <w:p w14:paraId="129D695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DFD60C" w14:textId="77777777">
      <w:pPr>
        <w:pStyle w:val="P68B1DB1-Normal14"/>
        <w:widowControl w:val="0"/>
        <w:tabs>
          <w:tab w:val="left" w:pos="396"/>
          <w:tab w:val="left" w:pos="405"/>
        </w:tabs>
        <w:autoSpaceDE w:val="0"/>
        <w:autoSpaceDN w:val="0"/>
        <w:spacing w:after="0" w:line="240" w:lineRule="auto"/>
        <w:jc w:val="both"/>
      </w:pPr>
      <w:r>
        <w:t xml:space="preserve">Przepisy krajowe transponujące wiążące środki wspólnotowe zawierające „specyfikacje techniczne” nie podlegają obowiązkowi zgłoszenia, pod warunkiem że są ściśle ograniczone do takiej transpozycji.</w:t>
      </w:r>
    </w:p>
    <w:p w14:paraId="15236C38" w14:textId="77777777">
      <w:pPr>
        <w:pStyle w:val="P68B1DB1-Normal15"/>
        <w:widowControl w:val="0"/>
        <w:tabs>
          <w:tab w:val="left" w:pos="396"/>
          <w:tab w:val="left" w:pos="405"/>
        </w:tabs>
        <w:autoSpaceDE w:val="0"/>
        <w:autoSpaceDN w:val="0"/>
        <w:spacing w:after="0" w:line="240" w:lineRule="auto"/>
        <w:ind w:left="567" w:hanging="142"/>
        <w:jc w:val="both"/>
        <w:rPr>
          <w:iCs/>
        </w:rPr>
      </w:pPr>
      <w:r>
        <w:t xml:space="preserve">    </w:t>
      </w:r>
    </w:p>
    <w:p w14:paraId="6015C260" w14:textId="48904931">
      <w:pPr>
        <w:pStyle w:val="P68B1DB1-Normal15"/>
        <w:widowControl w:val="0"/>
        <w:tabs>
          <w:tab w:val="left" w:pos="396"/>
          <w:tab w:val="left" w:pos="405"/>
        </w:tabs>
        <w:autoSpaceDE w:val="0"/>
        <w:autoSpaceDN w:val="0"/>
        <w:spacing w:after="0" w:line="240" w:lineRule="auto"/>
        <w:ind w:left="567"/>
        <w:jc w:val="both"/>
      </w:pPr>
      <w:r>
        <w:t xml:space="preserve">„48. Co się tyczy drugiej części pytania trzeciego, która dotyczy wynikającego z art. 8 dyrektywy 83/189 obowiązku przekazania Komisji każdego projektu przepisów technicznych, z art. 10 tej dyrektywy wynika, że art. 8 i 9 nie mają zastosowania do przepisów ustawowych, wykonawczych i administracyjnych państw członkowskich ani do zawartych przez nie dobrowolnych porozumień, na mocy których państwa członkowskie stosują się do wiążących środków wspólnotowych skutkujących przyjęciem specyfikacji technicznych. Tak więc w zakresie, w jakim przepisy krajowe będące przedmiotem postępowania przed sądem krajowym transponują dyrektywę 95/47 i tylko w tym zakresie, nie będzie obowiązku notyfikacji na podstawie dyrektywy 83/189”.</w:t>
      </w:r>
    </w:p>
    <w:p w14:paraId="0E6C95FC"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i/>
          <w:iCs/>
          <w:sz w:val="20"/>
          <w:szCs w:val="16"/>
        </w:rPr>
      </w:pPr>
    </w:p>
    <w:p w14:paraId="6306D56B" w14:textId="28E735BF">
      <w:pPr>
        <w:pStyle w:val="P68B1DB1-Normal13"/>
        <w:widowControl w:val="0"/>
        <w:autoSpaceDE w:val="0"/>
        <w:autoSpaceDN w:val="0"/>
        <w:spacing w:after="0" w:line="240" w:lineRule="auto"/>
        <w:jc w:val="both"/>
        <w:outlineLvl w:val="1"/>
      </w:pPr>
      <w:hyperlink r:id="rId90" w:history="1">
        <w:r>
          <w:rPr>
            <w:color w:val="0000FF"/>
            <w:u w:val="single"/>
          </w:rPr>
          <w:t xml:space="preserve">Wyrok z dnia 8 września 2005</w:t>
        </w:r>
      </w:hyperlink>
      <w:r>
        <w:t xml:space="preserve"> r., Komisja/Portugalia, C-500/03, EU:C:2005:515, pkt 34 i 35.</w:t>
      </w:r>
      <w:bookmarkEnd w:id="157"/>
    </w:p>
    <w:p w14:paraId="183658EB"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630E23D4" w14:textId="570B0609">
      <w:pPr>
        <w:widowControl w:val="0"/>
        <w:tabs>
          <w:tab w:val="left" w:pos="467"/>
        </w:tabs>
        <w:autoSpaceDE w:val="0"/>
        <w:autoSpaceDN w:val="0"/>
        <w:spacing w:after="0" w:line="240" w:lineRule="auto"/>
        <w:jc w:val="both"/>
        <w:rPr>
          <w:rFonts w:ascii="Times New Roman" w:hAnsi="Times New Roman" w:cs="Times New Roman" w:eastAsia="Times New Roman"/>
          <w:szCs w:val="20"/>
        </w:rPr>
        <w:pStyle w:val="P68B1DB1-Normal14"/>
      </w:pPr>
      <w:r>
        <w:t xml:space="preserve">Przepisy krajowe określające cechy rekreacyjnych jednostek pływających nie mogą korzystać ze zwolnienia z obowiązku zgłoszenia zastrzeżonego dla transpozycji, jeżeli dyrektywa, na którą się powołuje, pozostawia państwom członkowskim swobodę w określaniu warunków, które uznają za niezbędne do ochrony środowiska, konfiguracji i bezpieczeństwa dróg wodnych.</w:t>
      </w:r>
    </w:p>
    <w:p w14:paraId="4D369937"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0FD9A15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(Wyrok jest dostępny wyłącznie w języku francuskim i portugalskim, poniższy tekst jest tłumaczeniem).</w:t>
      </w:r>
    </w:p>
    <w:p w14:paraId="6FE719E7" w14:textId="77777777">
      <w:pPr>
        <w:pStyle w:val="P68B1DB1-Normal31"/>
        <w:widowControl w:val="0"/>
        <w:tabs>
          <w:tab w:val="left" w:pos="396"/>
          <w:tab w:val="left" w:pos="405"/>
        </w:tabs>
        <w:autoSpaceDE w:val="0"/>
        <w:autoSpaceDN w:val="0"/>
        <w:spacing w:after="0" w:line="240" w:lineRule="auto"/>
        <w:ind w:left="567"/>
        <w:jc w:val="both"/>
      </w:pPr>
    </w:p>
    <w:p w14:paraId="747BC5AF" w14:textId="6053190E">
      <w:pPr>
        <w:pStyle w:val="P68B1DB1-Normal31"/>
        <w:widowControl w:val="0"/>
        <w:tabs>
          <w:tab w:val="left" w:pos="396"/>
          <w:tab w:val="left" w:pos="405"/>
        </w:tabs>
        <w:autoSpaceDE w:val="0"/>
        <w:autoSpaceDN w:val="0"/>
        <w:spacing w:after="0" w:line="240" w:lineRule="auto"/>
        <w:ind w:left="567"/>
        <w:jc w:val="both"/>
        <w:rPr>
          <w:iCs/>
        </w:rPr>
      </w:pPr>
      <w:r>
        <w:t xml:space="preserve">„34. [...] Państwa członkowskie mają prawo, zgodnie z art. 2 ust. 2 dyrektywy 94/25, do określenia na poziomie krajowym warunków, jakie uznają za niezbędne w odniesieniu do żeglugi na niektórych wodach w celu ochrony środowiska i budowy dróg wodnych oraz zapewnienia bezpieczeństwa na tych wodach. Jednakże te przepisy prawa krajowego nie mogą w żadnym wypadku zostać uznane za przyjęte w celu zastosowania się do wiążącego aktu wspólnotowego.</w:t>
      </w:r>
    </w:p>
    <w:p w14:paraId="4B5BC30F" w14:textId="77777777">
      <w:pPr>
        <w:widowControl w:val="0"/>
        <w:tabs>
          <w:tab w:val="left" w:pos="396"/>
          <w:tab w:val="left" w:pos="405"/>
        </w:tabs>
        <w:autoSpaceDE w:val="0"/>
        <w:autoSpaceDN w:val="0"/>
        <w:spacing w:after="0" w:line="240" w:lineRule="auto"/>
        <w:ind w:left="567"/>
        <w:jc w:val="both"/>
        <w:rPr>
          <w:rFonts w:ascii="Times New Roman" w:hAnsi="Times New Roman" w:cs="Times New Roman"/>
          <w:i/>
          <w:iCs/>
          <w:sz w:val="20"/>
          <w:szCs w:val="16"/>
        </w:rPr>
      </w:pPr>
    </w:p>
    <w:p w14:paraId="21B97694" w14:textId="6F5A910D">
      <w:pPr>
        <w:pStyle w:val="P68B1DB1-Normal31"/>
        <w:widowControl w:val="0"/>
        <w:tabs>
          <w:tab w:val="left" w:pos="396"/>
          <w:tab w:val="left" w:pos="405"/>
        </w:tabs>
        <w:autoSpaceDE w:val="0"/>
        <w:autoSpaceDN w:val="0"/>
        <w:spacing w:after="0" w:line="240" w:lineRule="auto"/>
        <w:ind w:left="567"/>
        <w:jc w:val="both"/>
      </w:pPr>
      <w:r>
        <w:t xml:space="preserve">35. Wynika z tego, że rozporządzenie w sprawie żeglugi w lagunach, które wprowadza ograniczenia techniczne dla rekreacyjnych jednostek pływających zgodnie z art. 2 ust. 2 dyrektywy 94/25, nie jest objęte zakresem stosowania art. 10 ust. 1 tiret pierwsze dyrektywy 98/34”.</w:t>
      </w:r>
    </w:p>
    <w:p w14:paraId="7D5DF054" w14:textId="4AE1CCCE">
      <w:pPr>
        <w:spacing w:after="0" w:line="278" w:lineRule="auto"/>
        <w:rPr>
          <w:rFonts w:ascii="Times New Roman" w:hAnsi="Times New Roman" w:cs="Times New Roman" w:eastAsia="Times New Roman"/>
          <w:i/>
          <w:iCs/>
          <w:sz w:val="20"/>
          <w:szCs w:val="16"/>
        </w:rPr>
      </w:pPr>
      <w:r>
        <w:br w:type="page"/>
      </w:r>
    </w:p>
    <w:p w14:paraId="17D9CF1D" w14:textId="0805DD41">
      <w:pPr>
        <w:pStyle w:val="P68B1DB1-Heading24"/>
        <w:numPr>
          <w:ilvl w:val="0"/>
          <w:numId w:val="37"/>
        </w:numPr>
        <w:spacing w:before="0" w:after="0"/>
        <w:jc w:val="center"/>
        <w:rPr>
          <w:bCs/>
          <w:color w:val="auto"/>
        </w:rPr>
      </w:pPr>
      <w:bookmarkStart w:id="158" w:name="_Ref195517548"/>
      <w:bookmarkStart w:id="159" w:name="_Toc203035681"/>
      <w:r>
        <w:t xml:space="preserve">Stosowanie klauzuli ochronnej</w:t>
      </w:r>
      <w:bookmarkEnd w:id="158"/>
      <w:bookmarkEnd w:id="159"/>
    </w:p>
    <w:p w14:paraId="19EB441C" w14:textId="77777777">
      <w:pPr>
        <w:pStyle w:val="BodyText"/>
        <w:ind w:left="567"/>
      </w:pPr>
    </w:p>
    <w:p w14:paraId="3421D751" w14:textId="45643AD7">
      <w:pPr>
        <w:pStyle w:val="P68B1DB1-BodyText11"/>
        <w:ind w:left="567"/>
        <w:rPr>
          <w:iCs/>
        </w:rPr>
      </w:pPr>
      <w:r>
        <w:t xml:space="preserve">„Artykuły 5 i 6 </w:t>
      </w:r>
      <w:r>
        <w:rPr>
          <w:i w:val="0"/>
        </w:rPr>
        <w:t xml:space="preserve">[dotyczące obowiązku powiadomienia i okresu zawieszenia] </w:t>
      </w:r>
      <w:r>
        <w:t xml:space="preserve">nie mają zastosowania do tych przepisów ustawowych, wykonawczych i administracyjnych państw członkowskich ani do dobrowolnych porozumień, na mocy których państwa członkowskie: </w:t>
      </w:r>
    </w:p>
    <w:p w14:paraId="034842B2" w14:textId="40165944">
      <w:pPr>
        <w:pStyle w:val="P68B1DB1-BodyText11"/>
        <w:ind w:left="1134" w:firstLine="306"/>
        <w:rPr>
          <w:iCs/>
        </w:rPr>
      </w:pPr>
      <w:r>
        <w:t>[...]</w:t>
      </w:r>
    </w:p>
    <w:p w14:paraId="412F859B" w14:textId="2872F60B">
      <w:pPr>
        <w:pStyle w:val="P68B1DB1-BodyText11"/>
        <w:ind w:left="1287" w:firstLine="153"/>
        <w:rPr>
          <w:iCs/>
        </w:rPr>
      </w:pPr>
      <w:r>
        <w:t xml:space="preserve">C) stosują klauzule ochronne przewidziane w wiążących aktach Unii;”;</w:t>
      </w:r>
    </w:p>
    <w:p w14:paraId="3AF0BFA4" w14:textId="77777777">
      <w:pPr>
        <w:pStyle w:val="P68B1DB1-BodyText11"/>
        <w:ind w:left="567"/>
        <w:rPr>
          <w:iCs/>
        </w:rPr>
      </w:pPr>
    </w:p>
    <w:p w14:paraId="6099E717" w14:textId="6C5840E7">
      <w:pPr>
        <w:pStyle w:val="BodyText"/>
        <w:jc w:val="right"/>
      </w:pPr>
      <w:r>
        <w:t xml:space="preserve">(Art. 7 ust. 1 lit. c) dyrektywy (UE) 2015/1535)</w:t>
      </w:r>
    </w:p>
    <w:p w14:paraId="0B43480F" w14:textId="77777777">
      <w:pPr>
        <w:pStyle w:val="BodyText"/>
        <w:jc w:val="right"/>
      </w:pPr>
    </w:p>
    <w:p w14:paraId="2F300DBD" w14:textId="39C2EC6A">
      <w:pPr>
        <w:pStyle w:val="P68B1DB1-BodyText11"/>
        <w:ind w:left="567"/>
        <w:rPr>
          <w:iCs/>
        </w:rPr>
      </w:pPr>
      <w:r>
        <w:t xml:space="preserve">„Powyższe środki harmonizujące obejmują, w odpowiednich przypadkach, klauzulę ochronną upoważniającą państwa członkowskie do podjęcia, z jednego lub więcej powodów pozagospodarczych, o których mowa w artykule 36, środków tymczasowych poddanych unijnej procedurze kontrolnej”.</w:t>
      </w:r>
    </w:p>
    <w:p w14:paraId="618BDE87" w14:textId="77777777">
      <w:pPr>
        <w:pStyle w:val="BodyText"/>
        <w:jc w:val="right"/>
      </w:pPr>
    </w:p>
    <w:p w14:paraId="4DE4DD33" w14:textId="77777777">
      <w:pPr>
        <w:pStyle w:val="BodyText"/>
        <w:jc w:val="right"/>
      </w:pPr>
      <w:r>
        <w:t xml:space="preserve">(Art. 114 ust. 10 Traktatu o funkcjonowaniu Unii Europejskiej)</w:t>
      </w:r>
    </w:p>
    <w:p w14:paraId="1738F0ED" w14:textId="77777777">
      <w:pPr>
        <w:widowControl w:val="0"/>
        <w:autoSpaceDE w:val="0"/>
        <w:autoSpaceDN w:val="0"/>
        <w:spacing w:after="0" w:line="240" w:lineRule="auto"/>
        <w:jc w:val="both"/>
        <w:outlineLvl w:val="1"/>
      </w:pPr>
    </w:p>
    <w:p w14:paraId="1204158B" w14:textId="77777777">
      <w:pPr>
        <w:pStyle w:val="P68B1DB1-Normal13"/>
        <w:widowControl w:val="0"/>
        <w:autoSpaceDE w:val="0"/>
        <w:autoSpaceDN w:val="0"/>
        <w:spacing w:after="0" w:line="240" w:lineRule="auto"/>
        <w:jc w:val="both"/>
        <w:outlineLvl w:val="1"/>
      </w:pPr>
      <w:hyperlink r:id="rId91" w:history="1">
        <w:r>
          <w:rPr>
            <w:color w:val="0000FF"/>
            <w:u w:val="single"/>
          </w:rPr>
          <w:t xml:space="preserve">Wyrok z dnia 8 września 2005</w:t>
        </w:r>
      </w:hyperlink>
      <w:r>
        <w:t xml:space="preserve"> r., Komisja/Portugalia, C-500/03, EU:C:2005:515, pkt 34 i 35.</w:t>
      </w:r>
      <w:bookmarkEnd w:id="160"/>
    </w:p>
    <w:p w14:paraId="41BB4299"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35A522BC" w14:textId="2746C9C6">
      <w:pPr>
        <w:pStyle w:val="P68B1DB1-Normal14"/>
        <w:widowControl w:val="0"/>
        <w:tabs>
          <w:tab w:val="left" w:pos="467"/>
        </w:tabs>
        <w:autoSpaceDE w:val="0"/>
        <w:autoSpaceDN w:val="0"/>
        <w:spacing w:after="0" w:line="240" w:lineRule="auto"/>
        <w:jc w:val="both"/>
      </w:pPr>
      <w:r>
        <w:t xml:space="preserve">Przepisy krajowe ustanawiające stałe środki nie mogą korzystać ze zwolnienia z obowiązku zgłoszenia zastrzeżonego dla klauzul ochronnych, ponieważ z definicji te ostatnie obejmują jedynie środki tymczasowe.</w:t>
      </w:r>
    </w:p>
    <w:p w14:paraId="5FE003FC"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3005B5D0" w14:textId="1B50DC69">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(Ponieważ wyrok jest dostępny wyłącznie w języku francuskim i portugalskim, poniższy tekst stanowi tłumaczenie.)</w:t>
      </w:r>
    </w:p>
    <w:p w14:paraId="3BBB6CDB"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5FBF5694" w14:textId="0105632E">
      <w:pPr>
        <w:pStyle w:val="P68B1DB1-BodyText25"/>
        <w:ind w:left="567"/>
        <w:rPr>
          <w:iCs/>
        </w:rPr>
      </w:pPr>
      <w:r>
        <w:t xml:space="preserve">„39. Ponieważ niniejsza skarga o stwierdzenie uchybienia zobowiązaniom państwa członkowskiego ogranicza się do wniosku o stwierdzenie nieprzestrzegania formalnej procedury uprzedniego powiadomienia, wystarczy przypomnieć, bez konieczności udzielania odpowiedzi na pozostałe argumenty stron, że Trybunał orzekł już, iż art. 8 ust. 1 dyrektywy 98/34 nakłada na państwa członkowskie obowiązek niezwłocznego przekazania Komisji wszelkich projektów przepisów technicznych (zob. podobnie, w odniesieniu do przepisów podobnych do przepisów tej dyrektywy, wyroki z dnia 2 sierpnia 1993 r. w sprawie C-139/92 Komisja przeciwko Włochom, Rec. str. I-3, pkt 31 i z dnia 11 stycznia 1996 r. w sprawie C-273/94 Komisja przeciwko Niderlandom [15], Rec. str. I-, pkt 31).</w:t>
      </w:r>
    </w:p>
    <w:p w14:paraId="4A696586" w14:textId="77777777">
      <w:pPr>
        <w:pStyle w:val="BodyText"/>
        <w:ind w:left="567"/>
        <w:rPr>
          <w:i/>
          <w:iCs/>
          <w:sz w:val="20"/>
          <w:szCs w:val="16"/>
        </w:rPr>
      </w:pPr>
    </w:p>
    <w:p w14:paraId="7FC8797C" w14:textId="46BA7B1B">
      <w:pPr>
        <w:pStyle w:val="P68B1DB1-BodyText25"/>
        <w:ind w:left="567"/>
        <w:jc w:val="left"/>
      </w:pPr>
      <w:r>
        <w:t xml:space="preserve">40. Ponieważ właściwe przepisy dekretu nr 783/98 stanowią przepisy techniczne w rozumieniu dyrektywy 98/34, jak wskazano w pkt 31 niniejszego wyroku, Republika Portugalska była zobowiązana do powiadomienia ich w formie projektu zgodnie z art. 8 ust. 1 dyrektywy 98/34 (zob. podobnie, w odniesieniu do przepisów podobnych do przepisów dyrektywy 98/34, wyroki: z dnia 7 maja 1998 r. w sprawie C-145/97 Komisja przeciwko Belgii, Rec. s. I-13, pkt 43; z dnia 21 kwietnia 2005 r. w sprawie C-267/03 Lindberg, Rec. s. I-, pkt).”</w:t>
      </w:r>
    </w:p>
    <w:p w14:paraId="4127997B" w14:textId="77777777">
      <w:pPr>
        <w:pStyle w:val="BodyText"/>
        <w:jc w:val="left"/>
      </w:pPr>
    </w:p>
    <w:p w14:paraId="74FE5E6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92" w:history="1">
        <w:r>
          <w:rPr>
            <w:color w:val="0000FF"/>
            <w:u w:val="single"/>
          </w:rPr>
          <w:t xml:space="preserve">Wyrok z dnia 8 października 2020</w:t>
        </w:r>
      </w:hyperlink>
      <w:r>
        <w:t xml:space="preserve"> r., Union des industries de la protection des plantes, C-514/19, EU:C:2020:803, pkt 46, 47.</w:t>
      </w:r>
      <w:bookmarkEnd w:id="161"/>
      <w:r>
        <w:t xml:space="preserve"> </w:t>
      </w:r>
    </w:p>
    <w:p w14:paraId="4EFFE1E6" w14:textId="09D2A0BD">
      <w:pPr>
        <w:widowControl w:val="0"/>
        <w:autoSpaceDE w:val="0"/>
        <w:autoSpaceDN w:val="0"/>
        <w:spacing w:after="0" w:line="240" w:lineRule="auto"/>
        <w:jc w:val="both"/>
        <w:outlineLvl w:val="1"/>
        <w:rPr>
          <w:rFonts w:ascii="Times New Roman" w:hAnsi="Times New Roman" w:cs="Times New Roman" w:eastAsia="Times New Roman"/>
          <w:b/>
          <w:i/>
          <w:szCs w:val="20"/>
        </w:rPr>
      </w:pPr>
      <w:bookmarkStart w:id="162" w:name="_Toc198043891"/>
      <w:r>
        <w:rPr>
          <w:rFonts w:ascii="Times New Roman" w:hAnsi="Times New Roman" w:cs="Times New Roman" w:eastAsia="Times New Roman"/>
          <w:b/>
          <w:i/>
          <w:szCs w:val="20"/>
        </w:rPr>
        <w:t xml:space="preserve">(odesłanie do </w:t>
      </w:r>
      <w:hyperlink r:id="rId93" w:history="1">
        <w:r>
          <w:rPr>
            <w:rStyle w:val="Hyperlink"/>
            <w:rFonts w:ascii="Times New Roman" w:hAnsi="Times New Roman" w:cs="Times New Roman" w:eastAsia="Times New Roman"/>
            <w:b/>
            <w:i/>
            <w:color w:val="0000FF"/>
            <w:szCs w:val="20"/>
          </w:rPr>
          <w:t xml:space="preserve">opinii rzecznik generalnej J. Kokott</w:t>
        </w:r>
      </w:hyperlink>
      <w:r>
        <w:rPr>
          <w:rFonts w:ascii="Times New Roman" w:hAnsi="Times New Roman" w:cs="Times New Roman" w:eastAsia="Times New Roman"/>
          <w:b/>
          <w:i/>
          <w:szCs w:val="20"/>
        </w:rPr>
        <w:t xml:space="preserve">, EU:C:2020:422, pkt 58)</w:t>
      </w:r>
      <w:bookmarkEnd w:id="162"/>
    </w:p>
    <w:p w14:paraId="498A15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705E59" w14:textId="4AA22297">
      <w:pPr>
        <w:pStyle w:val="P68B1DB1-Normal14"/>
        <w:widowControl w:val="0"/>
        <w:autoSpaceDE w:val="0"/>
        <w:autoSpaceDN w:val="0"/>
        <w:spacing w:after="0" w:line="240" w:lineRule="auto"/>
        <w:jc w:val="both"/>
      </w:pPr>
      <w:r>
        <w:t xml:space="preserve">Klauzula odpowiadająca definicji zawartej w art. 114 Traktatu o funkcjonowaniu Unii Europejskiej jest klauzulą ochronną, nawet jeśli nie jest tak określona w akcie, który ją przewiduje. W związku z tym korzysta ona ze zwolnienia z obowiązku zgłoszenia.</w:t>
      </w:r>
    </w:p>
    <w:p w14:paraId="1CAE009C" w14:textId="77777777">
      <w:pPr>
        <w:widowControl w:val="0"/>
        <w:autoSpaceDE w:val="0"/>
        <w:autoSpaceDN w:val="0"/>
        <w:spacing w:after="0" w:line="240" w:lineRule="auto"/>
        <w:jc w:val="both"/>
        <w:rPr>
          <w:rFonts w:ascii="Times New Roman" w:hAnsi="Times New Roman" w:cs="Times New Roman" w:eastAsia="Times New Roman"/>
          <w:szCs w:val="20"/>
        </w:rPr>
      </w:pPr>
    </w:p>
    <w:p w14:paraId="659EDCBA" w14:textId="7C97939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32"/>
      </w:pPr>
      <w:r>
        <w:t xml:space="preserve">(Wyrok Trybunału)</w:t>
      </w:r>
      <w:r>
        <w:rPr>
          <w:i/>
        </w:rPr>
        <w:t xml:space="preserve"> „46 [...] art. 71 ust. 1 tego rozporządzenia należy traktować jako klauzulę ochronną, jak wskazała rzecznik generalna w pkt 58 opinii.</w:t>
      </w:r>
    </w:p>
    <w:p w14:paraId="1A86B765" w14:textId="77777777">
      <w:pPr>
        <w:widowControl w:val="0"/>
        <w:autoSpaceDE w:val="0"/>
        <w:autoSpaceDN w:val="0"/>
        <w:spacing w:after="0" w:line="240" w:lineRule="auto"/>
        <w:ind w:left="567"/>
        <w:jc w:val="both"/>
        <w:rPr>
          <w:rFonts w:ascii="Times New Roman" w:hAnsi="Times New Roman" w:cs="Times New Roman" w:eastAsia="Times New Roman"/>
          <w:i/>
          <w:sz w:val="20"/>
          <w:szCs w:val="20"/>
        </w:rPr>
      </w:pPr>
    </w:p>
    <w:p w14:paraId="42FB846B" w14:textId="4A135D8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18"/>
      </w:pPr>
      <w:r>
        <w:t xml:space="preserve">47. Różnica między procedurami przewidzianymi odpowiednio w art. 5 tej dyrektywy i w art. 71 tego rozporządzenia znajduje zatem potwierdzenie w art. 7 ust. 1 lit. c) tej dyrektywy, który stanowi, że art. 5 i 6 tej dyrektywy nie mają zastosowania do przepisów państw członkowskich, na mocy których państwa te stosują klauzule ochronne przewidziane w wiążących aktach Unii”.</w:t>
      </w:r>
    </w:p>
    <w:p w14:paraId="285FA492" w14:textId="77777777">
      <w:pPr>
        <w:widowControl w:val="0"/>
        <w:autoSpaceDE w:val="0"/>
        <w:autoSpaceDN w:val="0"/>
        <w:spacing w:after="0" w:line="240" w:lineRule="auto"/>
        <w:ind w:left="567"/>
        <w:jc w:val="both"/>
        <w:rPr>
          <w:rFonts w:ascii="Times New Roman" w:hAnsi="Times New Roman" w:cs="Times New Roman" w:eastAsia="Times New Roman"/>
          <w:i/>
          <w:iCs/>
          <w:sz w:val="20"/>
          <w:szCs w:val="20"/>
        </w:rPr>
      </w:pPr>
    </w:p>
    <w:p w14:paraId="7FF60EBF" w14:textId="14EB520E">
      <w:pPr>
        <w:pStyle w:val="P68B1DB1-Normal32"/>
        <w:widowControl w:val="0"/>
        <w:autoSpaceDE w:val="0"/>
        <w:autoSpaceDN w:val="0"/>
        <w:spacing w:after="0" w:line="240" w:lineRule="auto"/>
        <w:ind w:left="567"/>
        <w:jc w:val="both"/>
        <w:rPr>
          <w:i/>
          <w:iCs/>
        </w:rPr>
      </w:pPr>
      <w:r>
        <w:t xml:space="preserve">(opinia rzecznik generalnej J. Kokott)</w:t>
      </w:r>
      <w:r>
        <w:rPr>
          <w:i/>
        </w:rPr>
        <w:t xml:space="preserve"> </w:t>
      </w:r>
      <w:bookmarkStart w:id="163" w:name="point58"/>
      <w:r>
        <w:rPr>
          <w:i/>
        </w:rPr>
        <w:t>„</w:t>
      </w:r>
      <w:bookmarkEnd w:id="163"/>
      <w:r>
        <w:rPr>
          <w:i/>
        </w:rPr>
        <w:t xml:space="preserve">58.      Artykuł 71 rozporządzenia w sprawie ochrony roślin, w przeciwieństwie do niektórych porównywalnych uregulowań, nie jest, co prawda, opatrzony tytułem „klauzula bezpieczeństwa”, ale pod względem treści przepis ten spełnia definicję klauzul ochronnych zawartą w art. 114 ust. 10 TFUE. Można je zatem również uznać za klauzulę ochronną w rozumieniu art. 7 ust. 1 lit. c) dyrektywy notyfikacyjnej”.</w:t>
      </w:r>
    </w:p>
    <w:p w14:paraId="09CE6B87" w14:textId="77777777">
      <w:pPr>
        <w:pStyle w:val="BodyText"/>
        <w:jc w:val="left"/>
      </w:pPr>
    </w:p>
    <w:p w14:paraId="34956999" w14:textId="0CAA93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94" w:history="1">
        <w:r>
          <w:rPr>
            <w:rStyle w:val="Hyperlink"/>
            <w:rFonts w:ascii="Times New Roman" w:hAnsi="Times New Roman" w:cs="Times New Roman" w:eastAsia="Times New Roman"/>
            <w:b/>
            <w:i/>
            <w:color w:val="0000FF"/>
            <w:szCs w:val="20"/>
          </w:rPr>
          <w:t xml:space="preserve">Wyrok z dnia 9 marca 2023</w:t>
        </w:r>
      </w:hyperlink>
      <w:r>
        <w:rPr>
          <w:rFonts w:ascii="Times New Roman" w:hAnsi="Times New Roman" w:cs="Times New Roman" w:eastAsia="Times New Roman"/>
          <w:b/>
          <w:i/>
          <w:szCs w:val="20"/>
        </w:rPr>
        <w:t xml:space="preserve"> r., Vapo Atlantic,</w:t>
        <w:noBreakHyphen/>
        <w:t xml:space="preserve">C 604/21, EU:C:2023:175, pkt 55–57</w:t>
      </w:r>
      <w:bookmarkEnd w:id="164"/>
    </w:p>
    <w:p w14:paraId="6300E3F4" w14:textId="77777777">
      <w:pPr>
        <w:widowControl w:val="0"/>
        <w:autoSpaceDE w:val="0"/>
        <w:autoSpaceDN w:val="0"/>
        <w:spacing w:after="0" w:line="240" w:lineRule="auto"/>
        <w:jc w:val="both"/>
        <w:rPr>
          <w:rFonts w:ascii="Times New Roman" w:hAnsi="Times New Roman" w:cs="Times New Roman" w:eastAsia="Times New Roman"/>
          <w:szCs w:val="20"/>
        </w:rPr>
      </w:pPr>
    </w:p>
    <w:p w14:paraId="13992C07" w14:textId="74D47E48">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165" w:name="_Toc198043893"/>
      <w:r>
        <w:t xml:space="preserve">Wyjątek od wymogu zgłoszenia oparty na „klauzuli ochronnej” jest możliwy tylko wtedy, gdy przywołany akt harmonizacyjny wyraźnie zawiera klauzulę odpowiadającą definicji zawartej w art. 114 Traktatu o funkcjonowaniu Unii Europejskiej.</w:t>
      </w:r>
      <w:bookmarkEnd w:id="165"/>
    </w:p>
    <w:p w14:paraId="701D9589"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E98A7C3" w14:textId="65F75C30">
      <w:pPr>
        <w:pStyle w:val="P68B1DB1-Normal20"/>
        <w:widowControl w:val="0"/>
        <w:autoSpaceDE w:val="0"/>
        <w:autoSpaceDN w:val="0"/>
        <w:spacing w:after="0" w:line="240" w:lineRule="auto"/>
        <w:ind w:left="567"/>
        <w:jc w:val="both"/>
        <w:outlineLvl w:val="1"/>
      </w:pPr>
      <w:bookmarkStart w:id="166" w:name="_Toc198043894"/>
      <w:r>
        <w:t xml:space="preserve">„55. Należy zauważyć, że dwa pierwsze akapity art. 4 ust. 1 dyrektywy 2009/30 ograniczają się do wyznaczenia państwom członkowskim terminu na jej transpozycję – najpóźniej do dnia 31 grudnia 2010 r. – w drodze niezbędnych w tym celu przepisów ustawowych, wykonawczych lub administracyjnych, a jednocześnie wymagają od nich niezwłocznego przekazania Komisji tekstu tych przepisów. Akapit trzeci tego przepisu przewiduje z kolei, że gdy państwa członkowskie przyjmują te przepisy, odsyłają w nich do dyrektywy 2009/30.</w:t>
      </w:r>
      <w:bookmarkEnd w:id="166"/>
    </w:p>
    <w:p w14:paraId="3168B0DE" w14:textId="77777777">
      <w:pPr>
        <w:pStyle w:val="P68B1DB1-Normal20"/>
        <w:widowControl w:val="0"/>
        <w:autoSpaceDE w:val="0"/>
        <w:autoSpaceDN w:val="0"/>
        <w:spacing w:after="0" w:line="240" w:lineRule="auto"/>
        <w:ind w:left="567"/>
        <w:jc w:val="both"/>
        <w:outlineLvl w:val="1"/>
      </w:pPr>
    </w:p>
    <w:p w14:paraId="18560400" w14:textId="0F72F49C">
      <w:pPr>
        <w:pStyle w:val="P68B1DB1-Normal20"/>
        <w:widowControl w:val="0"/>
        <w:autoSpaceDE w:val="0"/>
        <w:autoSpaceDN w:val="0"/>
        <w:spacing w:after="0" w:line="240" w:lineRule="auto"/>
        <w:ind w:left="567"/>
        <w:jc w:val="both"/>
        <w:outlineLvl w:val="1"/>
      </w:pPr>
      <w:bookmarkStart w:id="167" w:name="_Toc198043895"/>
      <w:r>
        <w:t xml:space="preserve">56. Z kolei nic w treści art. 4 ust. 1 dyrektywy 2009/30 nie pozwala sądzić, że prawodawca Unii zamierzał wprowadzić do tej dyrektywy klauzulę bezpieczeństwa będącą klauzulą ochronną w rozumieniu art. 114 ust. 10 TFUE, z której państwa członkowskie mogłyby skorzystać.</w:t>
      </w:r>
      <w:bookmarkEnd w:id="167"/>
    </w:p>
    <w:p w14:paraId="36E43530" w14:textId="77777777">
      <w:pPr>
        <w:pStyle w:val="P68B1DB1-Normal20"/>
        <w:widowControl w:val="0"/>
        <w:autoSpaceDE w:val="0"/>
        <w:autoSpaceDN w:val="0"/>
        <w:spacing w:after="0" w:line="240" w:lineRule="auto"/>
        <w:ind w:left="567"/>
        <w:jc w:val="both"/>
        <w:outlineLvl w:val="1"/>
      </w:pPr>
    </w:p>
    <w:p w14:paraId="50D2526D" w14:textId="49B1A184">
      <w:pPr>
        <w:pStyle w:val="P68B1DB1-Normal20"/>
        <w:widowControl w:val="0"/>
        <w:autoSpaceDE w:val="0"/>
        <w:autoSpaceDN w:val="0"/>
        <w:spacing w:after="0" w:line="240" w:lineRule="auto"/>
        <w:ind w:left="567"/>
        <w:jc w:val="both"/>
        <w:outlineLvl w:val="1"/>
        <w:rPr>
          <w:iCs/>
        </w:rPr>
      </w:pPr>
      <w:bookmarkStart w:id="168" w:name="_Toc198043896"/>
      <w:r>
        <w:t xml:space="preserve">57. W tym względzie to ostatnie postanowienie przewiduje, że środki harmonizujące obejmują w odpowiednich przypadkach klauzulę ochronną upoważniającą państwa członkowskie do podjęcia, z jednego lub więcej powodów pozagospodarczych, o których mowa w art. 36 TFUE, środków tymczasowych poddanych unijnej procedurze kontrolnej. Wynika z tego, że taka klauzula ochronna powinna być wyraźnie przewidziana w akcie harmonizującym. Artykuł 4 ust. 1 dyrektywy 2009/30 nie posiada tych cech, a zatem nie może stanowić takiej klauzuli ochronnej”.</w:t>
      </w:r>
      <w:bookmarkEnd w:id="168"/>
    </w:p>
    <w:p w14:paraId="12FF84E6" w14:textId="18A9A21E">
      <w:pPr>
        <w:pStyle w:val="P68B1DB1-Normal29"/>
        <w:spacing w:after="0" w:line="240" w:lineRule="auto"/>
      </w:pPr>
      <w:r>
        <w:br w:type="page"/>
      </w:r>
    </w:p>
    <w:p w14:paraId="6087D716" w14:textId="3F11D8EF">
      <w:pPr>
        <w:pStyle w:val="P68B1DB1-Heading24"/>
        <w:numPr>
          <w:ilvl w:val="0"/>
          <w:numId w:val="37"/>
        </w:numPr>
        <w:spacing w:before="0" w:after="0"/>
        <w:jc w:val="center"/>
        <w:rPr>
          <w:bCs/>
          <w:color w:val="auto"/>
        </w:rPr>
      </w:pPr>
      <w:bookmarkStart w:id="169" w:name="_Ref195517564"/>
      <w:bookmarkStart w:id="170" w:name="_Toc203035682"/>
      <w:r>
        <w:t xml:space="preserve">Zmiana zgodna z wnioskiem Komisji</w:t>
      </w:r>
      <w:bookmarkEnd w:id="169"/>
      <w:bookmarkEnd w:id="170"/>
    </w:p>
    <w:p w14:paraId="049085CF" w14:textId="77777777">
      <w:pPr>
        <w:pStyle w:val="BodyText"/>
        <w:jc w:val="left"/>
      </w:pPr>
    </w:p>
    <w:p w14:paraId="40F4BBF6" w14:textId="77777777">
      <w:pPr>
        <w:pStyle w:val="P68B1DB1-BodyText11"/>
        <w:ind w:left="567"/>
        <w:rPr>
          <w:iCs/>
        </w:rPr>
      </w:pPr>
      <w:r>
        <w:t xml:space="preserve">„Artykuły 5 i 6 </w:t>
      </w:r>
      <w:r>
        <w:rPr>
          <w:i w:val="0"/>
        </w:rPr>
        <w:t xml:space="preserve">[dotyczące obowiązku powiadomienia i okresu zawieszenia] </w:t>
      </w:r>
      <w:r>
        <w:t xml:space="preserve">nie mają zastosowania do tych przepisów ustawowych, wykonawczych i administracyjnych państw członkowskich ani do dobrowolnych porozumień, na mocy których państwa członkowskie: </w:t>
      </w:r>
    </w:p>
    <w:p w14:paraId="07DBADDA" w14:textId="77777777">
      <w:pPr>
        <w:pStyle w:val="P68B1DB1-BodyText11"/>
        <w:ind w:left="1287" w:firstLine="153"/>
        <w:rPr>
          <w:iCs/>
        </w:rPr>
      </w:pPr>
      <w:r>
        <w:t>[...]</w:t>
      </w:r>
    </w:p>
    <w:p w14:paraId="11A943BD" w14:textId="080C60F0">
      <w:pPr>
        <w:pStyle w:val="P68B1DB1-BodyText11"/>
        <w:ind w:left="1440"/>
        <w:rPr>
          <w:iCs/>
        </w:rPr>
      </w:pPr>
      <w:r>
        <w:t xml:space="preserve">ograniczają się do zmiany przepisów technicznych w rozumieniu art. 1 ust. 1 lit. f), zgodnie z wnioskiem Komisji, w celu usunięcia barier w handlu lub, w przypadku przepisów dotyczących usług, w swobodnym przepływie usług lub w swobodzie przedsiębiorczości podmiotów gospodarczych usług.”;</w:t>
      </w:r>
    </w:p>
    <w:p w14:paraId="21F03EA5" w14:textId="77777777">
      <w:pPr>
        <w:pStyle w:val="BodyText"/>
        <w:jc w:val="center"/>
      </w:pPr>
    </w:p>
    <w:p w14:paraId="7883B4B7" w14:textId="369773F7">
      <w:pPr>
        <w:pStyle w:val="BodyText"/>
        <w:jc w:val="right"/>
      </w:pPr>
      <w:r>
        <w:t xml:space="preserve">(Art. 7 ust. 1 lit. f) dyrektywy (UE) 2015/1535)</w:t>
      </w:r>
    </w:p>
    <w:p w14:paraId="21BFE903" w14:textId="77777777">
      <w:pPr>
        <w:pStyle w:val="BodyText"/>
        <w:jc w:val="left"/>
      </w:pPr>
    </w:p>
    <w:p w14:paraId="46B1E740" w14:textId="2C38BA2E">
      <w:pPr>
        <w:pStyle w:val="P68B1DB1-Normal13"/>
        <w:widowControl w:val="0"/>
        <w:autoSpaceDE w:val="0"/>
        <w:autoSpaceDN w:val="0"/>
        <w:spacing w:after="0" w:line="240" w:lineRule="auto"/>
        <w:jc w:val="both"/>
        <w:outlineLvl w:val="1"/>
      </w:pPr>
      <w:hyperlink r:id="rId95" w:history="1">
        <w:r>
          <w:rPr>
            <w:color w:val="0000FF"/>
            <w:u w:val="single"/>
          </w:rPr>
          <w:t xml:space="preserve">Wyrok z dnia 31 stycznia 2013</w:t>
        </w:r>
      </w:hyperlink>
      <w:r>
        <w:t xml:space="preserve"> r., Belgische Petroleum Unie i in., C-26/11, EU:C:2013:44, pkt 56, 57</w:t>
      </w:r>
      <w:bookmarkEnd w:id="171"/>
    </w:p>
    <w:p w14:paraId="320154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95DB689" w14:textId="2F4EA0A1">
      <w:pPr>
        <w:widowControl w:val="0"/>
        <w:tabs>
          <w:tab w:val="left" w:pos="412"/>
        </w:tabs>
        <w:autoSpaceDE w:val="0"/>
        <w:autoSpaceDN w:val="0"/>
        <w:spacing w:after="0" w:line="240" w:lineRule="auto"/>
        <w:jc w:val="both"/>
        <w:rPr>
          <w:rFonts w:ascii="Times New Roman" w:hAnsi="Times New Roman" w:cs="Times New Roman" w:eastAsia="Times New Roman"/>
          <w:szCs w:val="20"/>
        </w:rPr>
        <w:pStyle w:val="P68B1DB1-Normal14"/>
      </w:pPr>
      <w:r>
        <w:t xml:space="preserve">Dyrektywa nie wymaga zgłaszania projektów przepisów krajowych, jeżeli po wstępnym zgłoszeniu projekt został zmieniony w celu uwzględnienia uwag Komisji, a zmieniona wersja została następnie przekazana Komisji.</w:t>
      </w:r>
    </w:p>
    <w:p w14:paraId="0634FD8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D4E24F0" w14:textId="03842035">
      <w:pPr>
        <w:pStyle w:val="P68B1DB1-Normal15"/>
        <w:widowControl w:val="0"/>
        <w:tabs>
          <w:tab w:val="left" w:pos="412"/>
        </w:tabs>
        <w:autoSpaceDE w:val="0"/>
        <w:autoSpaceDN w:val="0"/>
        <w:spacing w:after="0" w:line="240" w:lineRule="auto"/>
        <w:ind w:left="567"/>
        <w:jc w:val="both"/>
      </w:pPr>
      <w:r>
        <w:t xml:space="preserve">„56. [...] w tych okolicznościach Królestwo Belgii ograniczyło się do zmiany przepisów projektu ustawy zgodnie z wnioskiem Komisji o usunięcie bariery w handlu, a zatem na podstawie art. 10 ust. 1 tiret ostatnie dyrektywy 98/34 obowiązek powiadomienia Komisji na podstawie art. 8 ust. 1 akapit pierwszy tej dyrektywy nie ma zastosowania do projektu ustawy o obowiązku mieszania.</w:t>
      </w:r>
    </w:p>
    <w:p w14:paraId="39EC120F" w14:textId="77777777">
      <w:pPr>
        <w:pStyle w:val="P68B1DB1-Normal15"/>
        <w:widowControl w:val="0"/>
        <w:tabs>
          <w:tab w:val="left" w:pos="412"/>
        </w:tabs>
        <w:autoSpaceDE w:val="0"/>
        <w:autoSpaceDN w:val="0"/>
        <w:spacing w:after="0" w:line="240" w:lineRule="auto"/>
        <w:ind w:left="567"/>
        <w:jc w:val="both"/>
      </w:pPr>
    </w:p>
    <w:p w14:paraId="2E743C69" w14:textId="2B1CBA3C">
      <w:pPr>
        <w:pStyle w:val="P68B1DB1-Normal15"/>
        <w:widowControl w:val="0"/>
        <w:tabs>
          <w:tab w:val="left" w:pos="412"/>
        </w:tabs>
        <w:autoSpaceDE w:val="0"/>
        <w:autoSpaceDN w:val="0"/>
        <w:spacing w:after="0" w:line="240" w:lineRule="auto"/>
        <w:ind w:left="567"/>
        <w:jc w:val="both"/>
        <w:rPr>
          <w:iCs/>
        </w:rPr>
      </w:pPr>
      <w:r>
        <w:t xml:space="preserve">57. W tych okolicznościach na pytanie drugie należy odpowiedzieć, że art. 8 dyrektywy 98/34 w związku z art. 10 ust. 1 tiret ostatnie tej dyrektywy należy interpretować w ten sposób, że nie wymaga on notyfikacji projektu przepisów krajowych, które zobowiązują przedsiębiorstwa naftowe wprowadzające do obrotu benzynę lub oleje napędowe również do wprowadzenia do obrotu w tym samym roku kalendarzowym określonych procentów biopaliw, jeżeli po zgłoszeniu na podstawie art. 8 ust. 1 akapit pierwszy projekt został zmieniony w celu uwzględnienia uwag Komisji w jego przedmiocie, a zmieniony projekt został następnie przekazany Komisji”.</w:t>
      </w:r>
    </w:p>
    <w:p w14:paraId="1F05DBDF" w14:textId="3ED0BCB3">
      <w:pPr>
        <w:spacing w:after="0" w:line="278" w:lineRule="auto"/>
        <w:rPr>
          <w:rFonts w:ascii="Times New Roman" w:hAnsi="Times New Roman" w:cs="Times New Roman" w:eastAsia="Times New Roman"/>
          <w:sz w:val="24"/>
          <w:szCs w:val="20"/>
        </w:rPr>
      </w:pPr>
      <w:r>
        <w:br w:type="page"/>
      </w:r>
    </w:p>
    <w:p w14:paraId="4DF08AEF" w14:textId="0EBF7EE3">
      <w:pPr>
        <w:pStyle w:val="P68B1DB1-Heading24"/>
        <w:numPr>
          <w:ilvl w:val="1"/>
          <w:numId w:val="1"/>
        </w:numPr>
        <w:spacing w:before="0" w:after="0"/>
        <w:jc w:val="center"/>
        <w:rPr>
          <w:bCs/>
          <w:color w:val="auto"/>
        </w:rPr>
      </w:pPr>
      <w:bookmarkStart w:id="172" w:name="_Ref195517581"/>
      <w:bookmarkStart w:id="173" w:name="_Toc203035683"/>
      <w:r>
        <w:t xml:space="preserve">Okoliczności, które nie stanowią wyjątków</w:t>
      </w:r>
      <w:bookmarkEnd w:id="172"/>
      <w:bookmarkEnd w:id="173"/>
    </w:p>
    <w:p w14:paraId="6006C68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EFB943D" w14:textId="7608A244">
      <w:pPr>
        <w:pStyle w:val="P68B1DB1-Normal13"/>
        <w:widowControl w:val="0"/>
        <w:autoSpaceDE w:val="0"/>
        <w:autoSpaceDN w:val="0"/>
        <w:spacing w:after="0" w:line="240" w:lineRule="auto"/>
        <w:jc w:val="both"/>
        <w:outlineLvl w:val="1"/>
      </w:pPr>
      <w:hyperlink r:id="rId96" w:history="1">
        <w:r>
          <w:rPr>
            <w:color w:val="0000FF"/>
            <w:u w:val="single"/>
          </w:rPr>
          <w:t xml:space="preserve">Wyrok z dnia 11 stycznia 1996</w:t>
        </w:r>
      </w:hyperlink>
      <w:r>
        <w:t xml:space="preserve"> r., Komisja/Niderlandy, C-273/94, EU:C:1996:4, pkt 14 i 15.</w:t>
      </w:r>
      <w:bookmarkEnd w:id="174"/>
    </w:p>
    <w:p w14:paraId="1472EEE2"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18431E5C" w14:textId="0D0BB9C0">
      <w:pPr>
        <w:pStyle w:val="P68B1DB1-Normal14"/>
        <w:widowControl w:val="0"/>
        <w:tabs>
          <w:tab w:val="left" w:pos="396"/>
          <w:tab w:val="left" w:pos="405"/>
        </w:tabs>
        <w:autoSpaceDE w:val="0"/>
        <w:autoSpaceDN w:val="0"/>
        <w:spacing w:after="0" w:line="240" w:lineRule="auto"/>
        <w:jc w:val="both"/>
      </w:pPr>
      <w:r>
        <w:t xml:space="preserve">Obowiązek zgłoszenia nie zależy od zakładanego wpływu przepisu na handel między państwami członkowskimi.</w:t>
      </w:r>
    </w:p>
    <w:p w14:paraId="61F0631F" w14:textId="77777777">
      <w:pPr>
        <w:widowControl w:val="0"/>
        <w:tabs>
          <w:tab w:val="left" w:pos="396"/>
          <w:tab w:val="left" w:pos="405"/>
        </w:tabs>
        <w:autoSpaceDE w:val="0"/>
        <w:autoSpaceDN w:val="0"/>
        <w:spacing w:after="0" w:line="240" w:lineRule="auto"/>
        <w:ind w:hanging="142"/>
        <w:jc w:val="both"/>
        <w:rPr>
          <w:rFonts w:ascii="Times New Roman" w:hAnsi="Times New Roman" w:cs="Times New Roman" w:eastAsia="Times New Roman"/>
          <w:szCs w:val="20"/>
        </w:rPr>
      </w:pPr>
    </w:p>
    <w:p w14:paraId="4DB865D5" w14:textId="0821625F">
      <w:pPr>
        <w:pStyle w:val="P68B1DB1-Normal15"/>
        <w:widowControl w:val="0"/>
        <w:tabs>
          <w:tab w:val="left" w:pos="396"/>
          <w:tab w:val="left" w:pos="405"/>
        </w:tabs>
        <w:autoSpaceDE w:val="0"/>
        <w:autoSpaceDN w:val="0"/>
        <w:spacing w:after="0" w:line="240" w:lineRule="auto"/>
        <w:ind w:left="567"/>
        <w:jc w:val="both"/>
        <w:rPr>
          <w:iCs/>
        </w:rPr>
      </w:pPr>
      <w:r>
        <w:t xml:space="preserve">„14. Oceny tej nie podważa argument rządu niderlandzkiego, zgodnie z którym sporne zarządzenie ma na celu zachęcanie do wprowadzania do obrotu margaryny, a zatem jest zgodne z głównym celem dyrektywy, jakim jest wyeliminowanie barier w wewnątrzwspólnotowej wymianie towarowej. </w:t>
      </w:r>
    </w:p>
    <w:p w14:paraId="0A0FB981" w14:textId="77777777">
      <w:pPr>
        <w:pStyle w:val="P68B1DB1-Normal15"/>
        <w:widowControl w:val="0"/>
        <w:tabs>
          <w:tab w:val="left" w:pos="396"/>
          <w:tab w:val="left" w:pos="405"/>
        </w:tabs>
        <w:autoSpaceDE w:val="0"/>
        <w:autoSpaceDN w:val="0"/>
        <w:spacing w:after="0" w:line="240" w:lineRule="auto"/>
        <w:ind w:left="567"/>
        <w:jc w:val="both"/>
        <w:rPr>
          <w:iCs/>
        </w:rPr>
      </w:pPr>
    </w:p>
    <w:p w14:paraId="6299CAB3" w14:textId="03C7906F">
      <w:pPr>
        <w:pStyle w:val="P68B1DB1-Normal15"/>
        <w:widowControl w:val="0"/>
        <w:tabs>
          <w:tab w:val="left" w:pos="396"/>
          <w:tab w:val="left" w:pos="405"/>
        </w:tabs>
        <w:autoSpaceDE w:val="0"/>
        <w:autoSpaceDN w:val="0"/>
        <w:spacing w:after="0" w:line="240" w:lineRule="auto"/>
        <w:ind w:left="567"/>
        <w:jc w:val="both"/>
        <w:rPr>
          <w:iCs/>
        </w:rPr>
      </w:pPr>
      <w:r>
        <w:t xml:space="preserve">15. Państwa członkowskie są zobowiązane do przekazywania Komisji wszelkich projektów przepisów technicznych zgodnie z art. 8 dyrektywy. Obowiązek taki nie może być uzależniony od jednostronnej oceny przez państwo członkowskie, które opracowało rozporządzenie, skutków, jakie może on mieć dla wymiany handlowej między państwami członkowskimi”.</w:t>
      </w:r>
    </w:p>
    <w:p w14:paraId="41021C9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90F34A8" w14:textId="346D3994">
      <w:pPr>
        <w:pStyle w:val="P68B1DB1-Normal13"/>
        <w:widowControl w:val="0"/>
        <w:autoSpaceDE w:val="0"/>
        <w:autoSpaceDN w:val="0"/>
        <w:spacing w:after="0" w:line="240" w:lineRule="auto"/>
        <w:jc w:val="both"/>
        <w:outlineLvl w:val="1"/>
      </w:pPr>
      <w:hyperlink r:id="rId97" w:history="1">
        <w:r>
          <w:rPr>
            <w:color w:val="0000FF"/>
            <w:u w:val="single"/>
          </w:rPr>
          <w:t xml:space="preserve">Wyrok z dnia 16 czerwca 1998</w:t>
        </w:r>
      </w:hyperlink>
      <w:r>
        <w:t xml:space="preserve"> r., Lemmens, C-226/97, EU:C:1998:296, pkt 18–20</w:t>
      </w:r>
      <w:bookmarkEnd w:id="175"/>
    </w:p>
    <w:p w14:paraId="2763D12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5C4B0B" w14:textId="36C19F49">
      <w:pPr>
        <w:pStyle w:val="P68B1DB1-Normal14"/>
        <w:widowControl w:val="0"/>
        <w:tabs>
          <w:tab w:val="left" w:pos="396"/>
          <w:tab w:val="left" w:pos="461"/>
        </w:tabs>
        <w:autoSpaceDE w:val="0"/>
        <w:autoSpaceDN w:val="0"/>
        <w:spacing w:after="0" w:line="240" w:lineRule="auto"/>
        <w:jc w:val="both"/>
      </w:pPr>
      <w:r>
        <w:t xml:space="preserve">Dyrektywa ma zastosowanie do „przepisów technicznych” niezależnie od przyczyny ich przyjęcia. Fakt, że środek obejmuje prawo karne, nie zwalnia go z obowiązku zgłoszenia. W związku z tym przepisy krajowe regulujące aparaturę do analizy dróg oddechowych stosowaną przez policję do pomiaru zawartości alkoholu stanowią przepis techniczny, który powinien był zostać zgłoszony Komisji przed jego przyjęciem.</w:t>
      </w:r>
    </w:p>
    <w:p w14:paraId="5EB7B877"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B871DF8" w14:textId="6718B4DE">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„18. Rząd francuski ze swej strony twierdzi, że dyrektywa nie ma zastosowania do produktów, które – tak jak w niniejszej sprawie – są przeznaczone do wykorzystania w ramach wykonywania władzy publicznej, a tym bardziej w postępowaniach karnych wszczętych przez państwa członkowskie.</w:t>
      </w:r>
    </w:p>
    <w:p w14:paraId="09959B2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6EE31E9F" w14:textId="39DFA6E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19. Argumentów tych nie można przyjąć. O ile co do zasady ustawodawstwo karne i przepisy postępowania karnego należą do kompetencji państw członkowskich, o tyle nie wynika z tego, że prawo wspólnotowe nie może mieć wpływu na tę część prawa (zob. podobnie wyroki: z dnia 12 grudnia 1989 r. w sprawie 186/87 Cowan, Rec. s. 195, pkt 19; z dnia 15 marca 1981 r. w sprawie 203/80 Casati, Rec. s. 2595, pkt 27).</w:t>
      </w:r>
    </w:p>
    <w:p w14:paraId="1A1AA4B0"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06227DC3" w14:textId="6F9850E1">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20. W niniejszej sprawie nic w dyrektywie nie wskazuje na to, że przepisy techniczne w rozumieniu jej art. 1 są wyłączone z obowiązku zgłoszenia, ponieważ wchodzą w zakres prawa karnego, ani że zakres stosowania dyrektywy ogranicza się do produktów przeznaczonych do stosowania w inny sposób niż w związku z wykonywaniem władzy publicznej. Jak już stwierdził Trybunał w wyroku z dnia 17 lipca 1997 r. w sprawie C-13/96 Bic Benelux, Rec. s. I-1753, pkt 19, dyrektywa ma zastosowanie do przepisów technicznych niezależnie od powodów, dla których zostały przyjęte”.</w:t>
      </w:r>
    </w:p>
    <w:p w14:paraId="28C6FF3B"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743F486D" w14:textId="7F85DF8F">
      <w:pPr>
        <w:pStyle w:val="P68B1DB1-Normal13"/>
        <w:widowControl w:val="0"/>
        <w:autoSpaceDE w:val="0"/>
        <w:autoSpaceDN w:val="0"/>
        <w:spacing w:after="0" w:line="240" w:lineRule="auto"/>
        <w:jc w:val="both"/>
        <w:outlineLvl w:val="1"/>
      </w:pPr>
      <w:hyperlink r:id="rId98" w:history="1">
        <w:r>
          <w:rPr>
            <w:color w:val="0000FF"/>
            <w:u w:val="single"/>
          </w:rPr>
          <w:t xml:space="preserve">Wyrok z dnia 21 kwietnia 2005</w:t>
        </w:r>
      </w:hyperlink>
      <w:r>
        <w:t xml:space="preserve"> r., Lindberg, C-267/03, EU:C:2005:246, pkt 86, 91 i 92</w:t>
      </w:r>
      <w:bookmarkEnd w:id="176"/>
    </w:p>
    <w:p w14:paraId="3ACA6C58"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02AB316E" w14:textId="77777777">
      <w:pPr>
        <w:pStyle w:val="P68B1DB1-Normal14"/>
        <w:widowControl w:val="0"/>
        <w:tabs>
          <w:tab w:val="left" w:pos="396"/>
          <w:tab w:val="left" w:pos="425"/>
        </w:tabs>
        <w:autoSpaceDE w:val="0"/>
        <w:autoSpaceDN w:val="0"/>
        <w:spacing w:after="0" w:line="240" w:lineRule="auto"/>
        <w:jc w:val="both"/>
      </w:pPr>
      <w:r>
        <w:t xml:space="preserve">Wartość produktu, do którego odnosi się dana reguła, rozmiar jego rynku oraz wpływ tej reguły na handel wewnątrzwspólnotowy nie są kryteriami istotnymi dla ustalenia, czy „przepisy techniczne” muszą być notyfikowane.</w:t>
      </w:r>
    </w:p>
    <w:p w14:paraId="7C940B0B" w14:textId="77777777">
      <w:pPr>
        <w:pStyle w:val="P68B1DB1-ListParagraph2"/>
        <w:tabs>
          <w:tab w:val="left" w:pos="396"/>
          <w:tab w:val="left" w:pos="425"/>
        </w:tabs>
        <w:ind w:left="0" w:right="0" w:firstLine="0"/>
        <w:rPr>
          <w:i/>
          <w:iCs/>
          <w:sz w:val="20"/>
          <w:szCs w:val="16"/>
        </w:rPr>
      </w:pPr>
    </w:p>
    <w:p w14:paraId="097F5F5F" w14:textId="000A86FC">
      <w:pPr>
        <w:pStyle w:val="P68B1DB1-P68B1DB1-ListParagraph226"/>
        <w:tabs>
          <w:tab w:val="left" w:pos="396"/>
          <w:tab w:val="left" w:pos="425"/>
        </w:tabs>
        <w:ind w:left="709"/>
      </w:pPr>
      <w:r>
        <w:t xml:space="preserve">„86. W czwartym pytaniu sąd krajowy pragnie się dowiedzieć, jaką wagę należy przywiązywać do poniższych okoliczności z punktu widzenia obowiązku notyfikacji, który nakłada dyrektywa 83/189:</w:t>
      </w:r>
    </w:p>
    <w:p w14:paraId="767A8711" w14:textId="77777777">
      <w:pPr>
        <w:pStyle w:val="P68B1DB1-P68B1DB1-ListParagraph226"/>
        <w:tabs>
          <w:tab w:val="left" w:pos="396"/>
          <w:tab w:val="left" w:pos="425"/>
        </w:tabs>
        <w:ind w:left="709"/>
      </w:pPr>
      <w:r>
        <w:t xml:space="preserve">— Zastąpienie wymogu posiadania zezwolenia zakazem ustanowionym w prawie krajowym,</w:t>
      </w:r>
    </w:p>
    <w:p w14:paraId="559C82EC" w14:textId="77777777">
      <w:pPr>
        <w:pStyle w:val="P68B1DB1-P68B1DB1-ListParagraph226"/>
        <w:tabs>
          <w:tab w:val="left" w:pos="396"/>
          <w:tab w:val="left" w:pos="425"/>
        </w:tabs>
        <w:ind w:left="709"/>
      </w:pPr>
      <w:r>
        <w:t xml:space="preserve">— Większa lub mniejsza wartość produktu/usługi,</w:t>
      </w:r>
    </w:p>
    <w:p w14:paraId="7057795D" w14:textId="77777777">
      <w:pPr>
        <w:pStyle w:val="P68B1DB1-P68B1DB1-ListParagraph226"/>
        <w:tabs>
          <w:tab w:val="left" w:pos="396"/>
          <w:tab w:val="left" w:pos="425"/>
        </w:tabs>
        <w:ind w:left="709"/>
      </w:pPr>
      <w:r>
        <w:t xml:space="preserve">— Wielkość rynku produktu/usługi lub</w:t>
      </w:r>
    </w:p>
    <w:p w14:paraId="7E4DCD6F" w14:textId="27AB1FF7">
      <w:pPr>
        <w:pStyle w:val="P68B1DB1-P68B1DB1-ListParagraph226"/>
        <w:tabs>
          <w:tab w:val="left" w:pos="396"/>
          <w:tab w:val="left" w:pos="425"/>
        </w:tabs>
        <w:ind w:left="709"/>
      </w:pPr>
      <w:r>
        <w:t xml:space="preserve">— Wpływ nowego przepisu krajowego na używanie, który mógłby być albo całkowitym zakazem używania, albo zakazem lub ograniczeniem w ramach jednego z możliwych obszarów stosowania?”</w:t>
      </w:r>
    </w:p>
    <w:p w14:paraId="09CF2785" w14:textId="77777777">
      <w:pPr>
        <w:pStyle w:val="P68B1DB1-ListParagraph2"/>
        <w:tabs>
          <w:tab w:val="left" w:pos="396"/>
          <w:tab w:val="left" w:pos="425"/>
        </w:tabs>
        <w:ind w:left="567" w:right="0" w:firstLine="0"/>
        <w:rPr>
          <w:i/>
          <w:iCs/>
          <w:sz w:val="20"/>
          <w:szCs w:val="16"/>
        </w:rPr>
      </w:pPr>
    </w:p>
    <w:p w14:paraId="3F0A28BA" w14:textId="4FD6ACDF">
      <w:pPr>
        <w:pStyle w:val="P68B1DB1-P68B1DB1-ListParagraph226"/>
        <w:tabs>
          <w:tab w:val="left" w:pos="396"/>
          <w:tab w:val="left" w:pos="425"/>
        </w:tabs>
        <w:ind w:firstLine="0"/>
      </w:pPr>
      <w:r>
        <w:t xml:space="preserve">„91. Jeśli chodzi o okoliczności drugą i trzecią, o których mowa w czwartym pytaniu prejudycjalnym, należy przypomnieć, że – jak zostało to już zauważone w pkt 50 niniejszego wyroku – dyrektywa 83/189 zawiera proceduralny mechanizm kontroli prewencyjnej pozwalający sprawdzić, czy regulacja krajowa zawierająca przepis techniczny podlega postanowieniom traktatu dotyczącym swobodnego przepływu towarów oraz, jeśli tak, zbadać, czy regulacja ta jest zgodna z tymi postanowieniami.</w:t>
      </w:r>
    </w:p>
    <w:p w14:paraId="057FE2DD" w14:textId="77777777">
      <w:pPr>
        <w:pStyle w:val="P68B1DB1-P68B1DB1-ListParagraph226"/>
        <w:tabs>
          <w:tab w:val="left" w:pos="396"/>
          <w:tab w:val="left" w:pos="425"/>
        </w:tabs>
        <w:ind w:firstLine="0"/>
      </w:pPr>
    </w:p>
    <w:p w14:paraId="56F7C7B8" w14:textId="2531A314">
      <w:pPr>
        <w:pStyle w:val="P68B1DB1-P68B1DB1-ListParagraph226"/>
        <w:tabs>
          <w:tab w:val="left" w:pos="396"/>
          <w:tab w:val="left" w:pos="425"/>
        </w:tabs>
        <w:ind w:firstLine="0"/>
      </w:pPr>
      <w:r>
        <w:t xml:space="preserve">92. W tym względzie w pkt 51 niniejszego wyroku stwierdzono, że ewentualny wpływ przepisu technicznego na handel wewnątrzwspólnotowy nie stanowi kryterium dla określenia zakresu stosowania dyrektywy 83/189, w szczególności w odniesieniu do przewidzianego w niej obowiązku notyfikacji”.</w:t>
      </w:r>
    </w:p>
    <w:p w14:paraId="197312D1" w14:textId="0484FE14">
      <w:pPr>
        <w:pStyle w:val="P68B1DB1-Normal33"/>
        <w:spacing w:after="0" w:line="278" w:lineRule="auto"/>
        <w:rPr>
          <w:rFonts w:ascii="Times New Roman" w:hAnsi="Times New Roman" w:cs="Times New Roman" w:eastAsia="Times New Roman"/>
          <w:i/>
          <w:iCs/>
        </w:rPr>
      </w:pPr>
      <w:r>
        <w:br w:type="page"/>
      </w:r>
    </w:p>
    <w:p w14:paraId="2785F247" w14:textId="4A9302E3">
      <w:pPr>
        <w:pStyle w:val="P68B1DB1-Heading13"/>
        <w:numPr>
          <w:ilvl w:val="0"/>
          <w:numId w:val="34"/>
        </w:numPr>
        <w:spacing w:before="0" w:after="0"/>
        <w:jc w:val="center"/>
        <w:rPr>
          <w:bCs/>
          <w:color w:val="auto"/>
        </w:rPr>
      </w:pPr>
      <w:bookmarkStart w:id="177" w:name="_Ref194485817"/>
      <w:bookmarkStart w:id="178" w:name="_Toc203035684"/>
      <w:r>
        <w:t xml:space="preserve">Brak możliwości zastosowania</w:t>
      </w:r>
      <w:bookmarkEnd w:id="177"/>
      <w:bookmarkEnd w:id="178"/>
    </w:p>
    <w:p w14:paraId="20AC6D1C" w14:textId="77777777">
      <w:pPr>
        <w:pStyle w:val="BodyText"/>
        <w:ind w:left="2715"/>
        <w:rPr>
          <w:b/>
          <w:bCs/>
          <w:sz w:val="28"/>
          <w:szCs w:val="22"/>
        </w:rPr>
      </w:pPr>
    </w:p>
    <w:p w14:paraId="58AC44F0" w14:textId="1BBB272D">
      <w:pPr>
        <w:pStyle w:val="P68B1DB1-Heading24"/>
        <w:numPr>
          <w:ilvl w:val="0"/>
          <w:numId w:val="38"/>
        </w:numPr>
        <w:spacing w:before="0" w:after="0"/>
        <w:jc w:val="center"/>
        <w:rPr>
          <w:bCs/>
          <w:color w:val="auto"/>
        </w:rPr>
      </w:pPr>
      <w:bookmarkStart w:id="179" w:name="_Ref194485057"/>
      <w:bookmarkStart w:id="180" w:name="_Toc203035685"/>
      <w:r>
        <w:t xml:space="preserve">Niemożność zastosowania w przypadku braku powiadomienia</w:t>
      </w:r>
      <w:bookmarkEnd w:id="179"/>
      <w:bookmarkEnd w:id="180"/>
    </w:p>
    <w:p w14:paraId="39906D0F"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41D0CCA" w14:textId="7E812DB1">
      <w:pPr>
        <w:pStyle w:val="P68B1DB1-Normal13"/>
        <w:widowControl w:val="0"/>
        <w:autoSpaceDE w:val="0"/>
        <w:autoSpaceDN w:val="0"/>
        <w:spacing w:after="0" w:line="240" w:lineRule="auto"/>
        <w:jc w:val="both"/>
        <w:outlineLvl w:val="1"/>
      </w:pPr>
      <w:hyperlink r:id="rId99" w:history="1">
        <w:r>
          <w:rPr>
            <w:color w:val="0000FF"/>
            <w:u w:val="single"/>
          </w:rPr>
          <w:t xml:space="preserve">Wyrok z dnia 30 kwietnia 1996</w:t>
        </w:r>
      </w:hyperlink>
      <w:r>
        <w:t xml:space="preserve"> r., CIA Security International SA, C-194/94, EU:C:1996:172, pkt 48 i 55.</w:t>
      </w:r>
      <w:bookmarkEnd w:id="181"/>
    </w:p>
    <w:p w14:paraId="6980445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8CBEA0B" w14:textId="2A001F71">
      <w:pPr>
        <w:pStyle w:val="P68B1DB1-Normal14"/>
        <w:widowControl w:val="0"/>
        <w:tabs>
          <w:tab w:val="left" w:pos="409"/>
        </w:tabs>
        <w:autoSpaceDE w:val="0"/>
        <w:autoSpaceDN w:val="0"/>
        <w:spacing w:after="0" w:line="240" w:lineRule="auto"/>
        <w:jc w:val="both"/>
      </w:pPr>
      <w:r>
        <w:t xml:space="preserve">Naruszenie obowiązku zgłoszenia powoduje, że przedmiotowe „przepisy techniczne” nie mają zastosowania, w związku z czym nie można ich wyegzekwować wobec jednostek. Jednostki mogą powoływać się na art. 8 i 9 dyrektywy 83/189 przed sądem krajowym, który musi odmówić stosowania krajowego „przepisu technicznego”, który nie został notyfikowany zgodnie z tą dyrektywą.</w:t>
      </w:r>
    </w:p>
    <w:p w14:paraId="41DE99AA"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13B9D75E" w14:textId="7C49EE29">
      <w:pPr>
        <w:pStyle w:val="P68B1DB1-Normal18"/>
        <w:widowControl w:val="0"/>
        <w:tabs>
          <w:tab w:val="left" w:pos="409"/>
        </w:tabs>
        <w:autoSpaceDE w:val="0"/>
        <w:autoSpaceDN w:val="0"/>
        <w:spacing w:after="0" w:line="240" w:lineRule="auto"/>
        <w:ind w:left="567"/>
        <w:jc w:val="both"/>
        <w:rPr>
          <w:iCs/>
        </w:rPr>
      </w:pPr>
      <w:r>
        <w:t xml:space="preserve">„48. Taki właśnie skutek naruszenia obowiązków wynikających z dyrektywy 83/189 nie zależy od żadnego wyraźnego przepisu, który by go przewidywał. Jak już zostało stwierdzone, bezsporne jest, że celem dyrektywy jest ochrona swobodnego przepływu towarów poprzez uprzednią kontrolę o charakterze prewencyjnym i że obowiązek notyfikacji stanowi zasadniczy sposób wykonywania tej kontroli wspólnotowej. Skuteczność kontroli wspólnotowej będzie o wiele większa, jeżeli dyrektywa będzie interpretowana w ten sposób, że naruszenie obowiązku zgłoszenia stanowi istotne uchybienie proceduralne, które powoduje, że dane przepisy techniczne nie mają zastosowania do jednostek”.</w:t>
      </w:r>
    </w:p>
    <w:p w14:paraId="5B87E4FF" w14:textId="77777777">
      <w:pPr>
        <w:widowControl w:val="0"/>
        <w:tabs>
          <w:tab w:val="left" w:pos="409"/>
        </w:tabs>
        <w:autoSpaceDE w:val="0"/>
        <w:autoSpaceDN w:val="0"/>
        <w:spacing w:after="0" w:line="240" w:lineRule="auto"/>
        <w:ind w:left="567"/>
        <w:jc w:val="both"/>
        <w:rPr>
          <w:rFonts w:ascii="Times New Roman" w:hAnsi="Times New Roman" w:cs="Times New Roman" w:eastAsia="Times New Roman"/>
          <w:i/>
          <w:iCs/>
          <w:sz w:val="20"/>
          <w:szCs w:val="20"/>
        </w:rPr>
      </w:pPr>
    </w:p>
    <w:p w14:paraId="0768FF27" w14:textId="3B428811">
      <w:pPr>
        <w:pStyle w:val="P68B1DB1-Normal18"/>
        <w:widowControl w:val="0"/>
        <w:tabs>
          <w:tab w:val="left" w:pos="409"/>
        </w:tabs>
        <w:autoSpaceDE w:val="0"/>
        <w:autoSpaceDN w:val="0"/>
        <w:spacing w:after="0" w:line="240" w:lineRule="auto"/>
        <w:ind w:left="567"/>
        <w:jc w:val="both"/>
        <w:rPr>
          <w:iCs/>
        </w:rPr>
      </w:pPr>
      <w:r>
        <w:t xml:space="preserve">„55. Na pytania piąte i szóste należy zatem odpowiedzieć, że art. 8 i 9 dyrektywy 83/189 należy interpretować w ten sposób, że jednostki mogą powoływać się na nie przed sądem krajowym, który powinien odmówić stosowania krajowego przepisu technicznego, który nie został notyfikowany zgodnie z tą dyrektywą”.</w:t>
      </w:r>
    </w:p>
    <w:p w14:paraId="44EDD958"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A6C3DD6" w14:textId="2CAC6094">
      <w:pPr>
        <w:pStyle w:val="P68B1DB1-Normal13"/>
        <w:widowControl w:val="0"/>
        <w:autoSpaceDE w:val="0"/>
        <w:autoSpaceDN w:val="0"/>
        <w:spacing w:after="0" w:line="240" w:lineRule="auto"/>
        <w:jc w:val="both"/>
        <w:outlineLvl w:val="1"/>
      </w:pPr>
      <w:hyperlink r:id="rId100" w:history="1">
        <w:r>
          <w:rPr>
            <w:color w:val="0000FF"/>
            <w:u w:val="single"/>
          </w:rPr>
          <w:t xml:space="preserve">Wyrok z dnia 16 czerwca 1998</w:t>
        </w:r>
      </w:hyperlink>
      <w:r>
        <w:t xml:space="preserve"> r., Lemmens, C-226/97, EU:C:1998:296, pkt 34–37</w:t>
      </w:r>
      <w:bookmarkEnd w:id="182"/>
    </w:p>
    <w:p w14:paraId="758CEF0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ABB4A98" w14:textId="10F576AA">
      <w:pPr>
        <w:pStyle w:val="P68B1DB1-Normal14"/>
        <w:widowControl w:val="0"/>
        <w:tabs>
          <w:tab w:val="left" w:pos="406"/>
        </w:tabs>
        <w:autoSpaceDE w:val="0"/>
        <w:autoSpaceDN w:val="0"/>
        <w:spacing w:after="0" w:line="240" w:lineRule="auto"/>
        <w:jc w:val="both"/>
      </w:pPr>
      <w:r>
        <w:t xml:space="preserve">Niedopełnienie obowiązku notyfikacji przepisów technicznych odnoszących się do aparatury do analizy dróg oddechowych nie skutkuje tym, że wobec osoby, na której spoczywa ciężar kierowania pojazdem pod wpływem alkoholu, nie można powoływać się na dowody uzyskane za pomocą aparatu do analizy dróg oddechowych dopuszczonego zgodnie z zasadami, które nie zostały notyfikowane.</w:t>
      </w:r>
    </w:p>
    <w:p w14:paraId="3E297BB7" w14:textId="77777777">
      <w:pPr>
        <w:widowControl w:val="0"/>
        <w:tabs>
          <w:tab w:val="left" w:pos="406"/>
        </w:tabs>
        <w:autoSpaceDE w:val="0"/>
        <w:autoSpaceDN w:val="0"/>
        <w:spacing w:after="0" w:line="240" w:lineRule="auto"/>
        <w:jc w:val="both"/>
        <w:rPr>
          <w:rFonts w:ascii="Times New Roman" w:hAnsi="Times New Roman" w:cs="Times New Roman" w:eastAsia="Times New Roman"/>
          <w:szCs w:val="20"/>
        </w:rPr>
      </w:pPr>
    </w:p>
    <w:p w14:paraId="25103538" w14:textId="65BB17C7">
      <w:pPr>
        <w:pStyle w:val="P68B1DB1-Normal15"/>
        <w:widowControl w:val="0"/>
        <w:tabs>
          <w:tab w:val="left" w:pos="409"/>
        </w:tabs>
        <w:autoSpaceDE w:val="0"/>
        <w:autoSpaceDN w:val="0"/>
        <w:spacing w:after="0" w:line="240" w:lineRule="auto"/>
        <w:ind w:left="567"/>
        <w:jc w:val="both"/>
      </w:pPr>
      <w:r>
        <w:t xml:space="preserve">„34. W postępowaniu karnym takim jak rozpatrywane w postępowaniu głównym przepisami mającymi zastosowanie do oskarżonych są przepisy, które z jednej strony zakazują prowadzenia pojazdu pod wpływem alkoholu i ukarają je, a z drugiej strony nakładają na kierowcę obowiązek oddychania do aparatu przeznaczonego do pomiaru zawartości alkoholu, co stanowi dowód w postępowaniu karnym. Przepisy te różnią się od tych, które nie zostały zgłoszone Komisji zgodnie z dyrektywą i które nie mogą być egzekwowane wobec osób fizycznych.</w:t>
      </w:r>
    </w:p>
    <w:p w14:paraId="79D66062" w14:textId="77777777">
      <w:pPr>
        <w:pStyle w:val="P68B1DB1-Normal15"/>
        <w:widowControl w:val="0"/>
        <w:tabs>
          <w:tab w:val="left" w:pos="409"/>
        </w:tabs>
        <w:autoSpaceDE w:val="0"/>
        <w:autoSpaceDN w:val="0"/>
        <w:spacing w:after="0" w:line="240" w:lineRule="auto"/>
        <w:ind w:left="567"/>
        <w:jc w:val="both"/>
      </w:pPr>
    </w:p>
    <w:p w14:paraId="1F291ACA" w14:textId="0D4F54FD">
      <w:pPr>
        <w:pStyle w:val="P68B1DB1-Normal15"/>
        <w:widowControl w:val="0"/>
        <w:tabs>
          <w:tab w:val="left" w:pos="409"/>
        </w:tabs>
        <w:autoSpaceDE w:val="0"/>
        <w:autoSpaceDN w:val="0"/>
        <w:spacing w:after="0" w:line="240" w:lineRule="auto"/>
        <w:ind w:left="567"/>
        <w:jc w:val="both"/>
      </w:pPr>
      <w:r>
        <w:t xml:space="preserve">35. O ile brak notyfikacji przepisów technicznych, który stanowi uchybienie proceduralne w ich przyjmowaniu, powoduje, że takie przepisy nie mają zastosowania w zakresie, w jakim utrudniają one używanie lub wprowadzanie do obrotu produktu niezgodnego z tymi przepisami, o tyle nie skutkuje ono niezgodnością z prawem jakiegokolwiek używania produktu zgodnego z przepisami, które nie zostały zgłoszone.</w:t>
      </w:r>
    </w:p>
    <w:p w14:paraId="06F58C0E" w14:textId="77777777">
      <w:pPr>
        <w:pStyle w:val="P68B1DB1-Normal15"/>
        <w:widowControl w:val="0"/>
        <w:tabs>
          <w:tab w:val="left" w:pos="409"/>
        </w:tabs>
        <w:autoSpaceDE w:val="0"/>
        <w:autoSpaceDN w:val="0"/>
        <w:spacing w:after="0" w:line="240" w:lineRule="auto"/>
        <w:ind w:left="567"/>
        <w:jc w:val="both"/>
      </w:pPr>
    </w:p>
    <w:p w14:paraId="56671D2C" w14:textId="0E44A6B4">
      <w:pPr>
        <w:pStyle w:val="P68B1DB1-Normal15"/>
        <w:widowControl w:val="0"/>
        <w:tabs>
          <w:tab w:val="left" w:pos="409"/>
        </w:tabs>
        <w:autoSpaceDE w:val="0"/>
        <w:autoSpaceDN w:val="0"/>
        <w:spacing w:after="0" w:line="240" w:lineRule="auto"/>
        <w:ind w:left="567"/>
        <w:jc w:val="both"/>
      </w:pPr>
      <w:r>
        <w:t xml:space="preserve">36. Użycie produktu przez władze publiczne w takim przypadku jak w niniejszej sprawie nie może stanowić przeszkody w handlu, której można by uniknąć, gdyby zastosowano procedurę zgłoszenia.</w:t>
      </w:r>
    </w:p>
    <w:p w14:paraId="4CD6FBB9" w14:textId="77777777">
      <w:pPr>
        <w:pStyle w:val="P68B1DB1-Normal15"/>
        <w:widowControl w:val="0"/>
        <w:tabs>
          <w:tab w:val="left" w:pos="409"/>
        </w:tabs>
        <w:autoSpaceDE w:val="0"/>
        <w:autoSpaceDN w:val="0"/>
        <w:spacing w:after="0" w:line="240" w:lineRule="auto"/>
        <w:ind w:left="567"/>
        <w:jc w:val="both"/>
      </w:pPr>
    </w:p>
    <w:p w14:paraId="638FC610" w14:textId="5C3DE903">
      <w:pPr>
        <w:pStyle w:val="P68B1DB1-Normal15"/>
        <w:widowControl w:val="0"/>
        <w:tabs>
          <w:tab w:val="left" w:pos="409"/>
        </w:tabs>
        <w:autoSpaceDE w:val="0"/>
        <w:autoSpaceDN w:val="0"/>
        <w:spacing w:after="0" w:line="240" w:lineRule="auto"/>
        <w:ind w:left="567"/>
        <w:jc w:val="both"/>
      </w:pPr>
      <w:r>
        <w:t xml:space="preserve">37. Na pytanie pierwsze należy zatem odpowiedzieć, że dyrektywę należy interpretować w ten sposób, że naruszenie nałożonego w jej art. 8 obowiązku notyfikowania przepisu technicznego dotyczącego aparatury do analizy dróg oddechowych nie skutkuje uniemożliwieniem powołania się na dowody uzyskane za pomocą takiego urządzenia, dopuszczonego zgodnie z niezgłoszonymi przepisami, przeciwko osobie, której zarzuca się prowadzenie pojazdu pod wpływem alkoholu”.</w:t>
      </w:r>
    </w:p>
    <w:p w14:paraId="03B0AE9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AD84CA2" w14:textId="7A7E4DF0">
      <w:pPr>
        <w:pStyle w:val="P68B1DB1-Normal13"/>
        <w:widowControl w:val="0"/>
        <w:autoSpaceDE w:val="0"/>
        <w:autoSpaceDN w:val="0"/>
        <w:spacing w:after="0" w:line="240" w:lineRule="auto"/>
        <w:jc w:val="both"/>
        <w:outlineLvl w:val="1"/>
      </w:pPr>
      <w:hyperlink r:id="rId101" w:history="1">
        <w:r>
          <w:rPr>
            <w:color w:val="0000FF"/>
            <w:u w:val="single"/>
          </w:rPr>
          <w:t xml:space="preserve">Wyrok z dnia 6 czerwca 2002</w:t>
        </w:r>
      </w:hyperlink>
      <w:r>
        <w:t xml:space="preserve"> r., Sapod Audic, C-159/00, EU:C:2002:343, pkt 52, 53</w:t>
      </w:r>
      <w:bookmarkEnd w:id="183"/>
    </w:p>
    <w:p w14:paraId="7700A11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8E293C" w14:textId="6294F0EB">
      <w:pPr>
        <w:widowControl w:val="0"/>
        <w:tabs>
          <w:tab w:val="left" w:pos="409"/>
        </w:tabs>
        <w:autoSpaceDE w:val="0"/>
        <w:autoSpaceDN w:val="0"/>
        <w:spacing w:after="0" w:line="240" w:lineRule="auto"/>
        <w:jc w:val="both"/>
        <w:rPr>
          <w:rFonts w:ascii="Times New Roman" w:hAnsi="Times New Roman" w:cs="Times New Roman" w:eastAsia="Times New Roman"/>
          <w:szCs w:val="20"/>
        </w:rPr>
        <w:pStyle w:val="P68B1DB1-Normal14"/>
      </w:pPr>
      <w:r>
        <w:t xml:space="preserve">Do sądu krajowego należy odmowa zastosowania przepisów, które nie mają zastosowania ze względu na brak zawiadomienia. Konsekwencje takiej niemożności stosowania są regulowane przez prawo krajowe, pod warunkiem że nie są one mniej korzystne niż w przypadku podobnych postępowań krajowych i nie uniemożliwiają wykonywania praw Unii.</w:t>
      </w:r>
    </w:p>
    <w:p w14:paraId="1E2D83F5"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4757B367" w14:textId="5B286B77">
      <w:pPr>
        <w:pStyle w:val="P68B1DB1-Normal15"/>
        <w:widowControl w:val="0"/>
        <w:tabs>
          <w:tab w:val="left" w:pos="409"/>
        </w:tabs>
        <w:autoSpaceDE w:val="0"/>
        <w:autoSpaceDN w:val="0"/>
        <w:spacing w:after="0"/>
        <w:ind w:left="567"/>
        <w:jc w:val="both"/>
      </w:pPr>
      <w:r>
        <w:t xml:space="preserve">„52. Należy jednak zauważyć, że kwestia konsekwencji, jakie należy wyciągnąć w postępowaniu głównym z braku możliwości zastosowania art. 4 akapit drugi dekretu nr 92-377 w odniesieniu do surowości sankcji przewidzianej we właściwym prawie krajowym, takiej jak nieważność lub niewykonalność umowy między Sapodami a Eco-Emballages, jest kwestią uregulowaną w prawie krajowym, w szczególności w odniesieniu do przepisów i zasad prawa umów, które ograniczają lub korygują tę sankcję w celu zapewnienia jej proporcjonalnego charakteru do stwierdzonej wady. Jednakże te przepisy i zasady nie mogą być mniej korzystne niż te dotyczące podobnych środków prawnych o charakterze wewnętrznym (zasada równoważności) i nie mogą być sformułowane w sposób uniemożliwiający w praktyce korzystanie z uprawnień przyznanych przez prawo wspólnotowe (zasada skuteczności) (zob. w szczególności wyroki: z dnia 13 lipca 1976 r. w sprawie 33/76 Rewe przeciwko Landwirtschaftskammer für das Saarland, Rec. s. 1989, pkt 5; z dnia 20 marca 2001 r. w sprawach połączonych C-52/99 i C-53/99 Camorotto i Vignone, Rec. s. I-1395, pkt 21).</w:t>
      </w:r>
    </w:p>
    <w:p w14:paraId="0A8A5A27" w14:textId="77777777">
      <w:pPr>
        <w:pStyle w:val="P68B1DB1-Normal15"/>
        <w:widowControl w:val="0"/>
        <w:tabs>
          <w:tab w:val="left" w:pos="409"/>
        </w:tabs>
        <w:autoSpaceDE w:val="0"/>
        <w:autoSpaceDN w:val="0"/>
        <w:spacing w:after="0"/>
        <w:ind w:left="567"/>
        <w:jc w:val="both"/>
      </w:pPr>
    </w:p>
    <w:p w14:paraId="26C97D99" w14:textId="2C79F108">
      <w:pPr>
        <w:pStyle w:val="P68B1DB1-Normal15"/>
        <w:widowControl w:val="0"/>
        <w:tabs>
          <w:tab w:val="left" w:pos="409"/>
        </w:tabs>
        <w:autoSpaceDE w:val="0"/>
        <w:autoSpaceDN w:val="0"/>
        <w:spacing w:after="0"/>
        <w:ind w:left="567"/>
        <w:jc w:val="both"/>
      </w:pPr>
      <w:r>
        <w:t xml:space="preserve">53. Na drugą część pytania drugiego w zakresie, w jakim dotyczy ona dyrektywy 83/189, należy zatem odpowiedzieć, że w przypadku gdyby przepis krajowy taki jak art. 4 akapit drugi dekretu nr 92-377 należało interpretować w ten sposób, że wymaga on stosowania znaku towarowego lub etykiety, jednostka może powołać się na brak notyfikacji tego przepisu krajowego zgodnie z art. 8 tej dyrektywy. Do sądu krajowego należy zatem odmowa zastosowania tego przepisu, ponieważ kwestia wniosków, jakie należy wyciągnąć z braku możliwości zastosowania tego przepisu krajowego w odniesieniu do surowości sankcji przewidzianej w mającym zastosowanie prawie krajowym, takiej jak nieważność lub niewykonalność umowy, jest kwestią uregulowaną w prawie krajowym. Wniosek ten jest jednak uzależniony od warunku, że mające zastosowanie przepisy prawa krajowego nie są mniej korzystne niż przepisy regulujące podobne sprawy o charakterze wewnętrznym i nie są sformułowane w sposób uniemożliwiający w praktyce wykonywanie praw przyznanych przez prawo wspólnotowe”.</w:t>
      </w:r>
    </w:p>
    <w:p w14:paraId="7ECA13E2" w14:textId="77777777">
      <w:pPr>
        <w:pStyle w:val="P68B1DB1-Normal15"/>
        <w:widowControl w:val="0"/>
        <w:tabs>
          <w:tab w:val="left" w:pos="409"/>
        </w:tabs>
        <w:autoSpaceDE w:val="0"/>
        <w:autoSpaceDN w:val="0"/>
        <w:spacing w:after="0"/>
        <w:jc w:val="both"/>
      </w:pPr>
    </w:p>
    <w:p w14:paraId="25CD0695" w14:textId="4587EFBF">
      <w:pPr>
        <w:pStyle w:val="P68B1DB1-Normal13"/>
        <w:widowControl w:val="0"/>
        <w:autoSpaceDE w:val="0"/>
        <w:autoSpaceDN w:val="0"/>
        <w:spacing w:after="0" w:line="240" w:lineRule="auto"/>
        <w:jc w:val="both"/>
        <w:outlineLvl w:val="1"/>
      </w:pPr>
      <w:hyperlink r:id="rId102" w:history="1">
        <w:r>
          <w:rPr>
            <w:color w:val="0000FF"/>
            <w:u w:val="single"/>
          </w:rPr>
          <w:t xml:space="preserve">Wyrok z dnia 8 września 2005</w:t>
        </w:r>
      </w:hyperlink>
      <w:r>
        <w:t xml:space="preserve"> r., Lidl Italia, C-303/04, EU:C:2005:528, pkt 22 i 23</w:t>
      </w:r>
    </w:p>
    <w:p w14:paraId="4582547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63F8A9D" w14:textId="77777777">
      <w:pPr>
        <w:pStyle w:val="P68B1DB1-Normal14"/>
        <w:widowControl w:val="0"/>
        <w:tabs>
          <w:tab w:val="left" w:pos="403"/>
        </w:tabs>
        <w:autoSpaceDE w:val="0"/>
        <w:autoSpaceDN w:val="0"/>
        <w:spacing w:after="0" w:line="240" w:lineRule="auto"/>
        <w:jc w:val="both"/>
      </w:pPr>
      <w:r>
        <w:t xml:space="preserve">Naruszenie obowiązku notyfikacji stanowi istotne uchybienie proceduralne, które powoduje, że omawiane „przepisy techniczne” nie mają zastosowania, a zatem nie mogą być egzekwowane wobec jednostek.</w:t>
      </w:r>
    </w:p>
    <w:p w14:paraId="099B7D88"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54B8211C" w14:textId="31CFA17B">
      <w:pPr>
        <w:pStyle w:val="P68B1DB1-Normal15"/>
        <w:widowControl w:val="0"/>
        <w:tabs>
          <w:tab w:val="left" w:pos="393"/>
        </w:tabs>
        <w:autoSpaceDE w:val="0"/>
        <w:autoSpaceDN w:val="0"/>
        <w:spacing w:after="0" w:line="240" w:lineRule="auto"/>
        <w:ind w:left="567"/>
        <w:jc w:val="both"/>
      </w:pPr>
      <w:r>
        <w:t xml:space="preserve">„22. [...] zgodnie z utrwalonym orzecznictwem dyrektywa 98/34 ma na celu ochronę, poprzez kontrolę prewencyjną, swobodnego przepływu towarów, który stanowi jeden z fundamentów Wspólnoty, i że kontrola ta służy celowi, w którym przepisy techniczne objęte zakresem stosowania tej dyrektywy mogą stanowić przeszkody w handlu towarami między państwami członkowskimi, przy czym przeszkody te są dopuszczalne tylko wtedy, gdy są niezbędne do spełnienia nadrzędnych wymogów interesu ogólnego (zob. podobnie wyroki: z dnia 12 grudnia 1996 r. w sprawie C-194/94 CIA Security International, Rec. s. I-2201, pkt 40; z dnia 14 maja 1998 r. w sprawie C-226/97 Lemmens, Rec. s. I-3711, pkt 32).</w:t>
      </w:r>
    </w:p>
    <w:p w14:paraId="36DAFFCC" w14:textId="77777777">
      <w:pPr>
        <w:pStyle w:val="P68B1DB1-Normal15"/>
        <w:widowControl w:val="0"/>
        <w:tabs>
          <w:tab w:val="left" w:pos="393"/>
        </w:tabs>
        <w:autoSpaceDE w:val="0"/>
        <w:autoSpaceDN w:val="0"/>
        <w:spacing w:after="0" w:line="240" w:lineRule="auto"/>
        <w:ind w:left="567"/>
        <w:jc w:val="both"/>
      </w:pPr>
    </w:p>
    <w:p w14:paraId="149570C3" w14:textId="7B9615CB">
      <w:pPr>
        <w:pStyle w:val="P68B1DB1-Normal15"/>
        <w:widowControl w:val="0"/>
        <w:tabs>
          <w:tab w:val="left" w:pos="393"/>
        </w:tabs>
        <w:autoSpaceDE w:val="0"/>
        <w:autoSpaceDN w:val="0"/>
        <w:spacing w:after="0" w:line="240" w:lineRule="auto"/>
        <w:ind w:left="567"/>
        <w:jc w:val="both"/>
      </w:pPr>
      <w:r>
        <w:t xml:space="preserve">23. Ponieważ obowiązek notyfikacji, o którym mowa w szczególności w art. 8 ust. 1 akapit pierwszy dyrektywy 98/34, ma zasadnicze znaczenie dla przeprowadzenia tej kontroli wspólnotowej, skuteczność takiej kontroli będzie o wiele większa, jeżeli dyrektywa ta będzie interpretowana w ten sposób, że naruszenie obowiązku notyfikacji stanowi istotne uchybienie proceduralne, które powoduje, że rozpatrywane przepisy techniczne nie mają zastosowania, a zatem nie mogą być egzekwowane wobec jednostek (ww. wyroki: w sprawie CIA Security International, pkt 44, 48, 54; a także w sprawie Lemmens, pkt 33).</w:t>
      </w:r>
    </w:p>
    <w:p w14:paraId="6E201D8A" w14:textId="77777777">
      <w:pPr>
        <w:pStyle w:val="P68B1DB1-Normal15"/>
        <w:widowControl w:val="0"/>
        <w:tabs>
          <w:tab w:val="left" w:pos="393"/>
        </w:tabs>
        <w:autoSpaceDE w:val="0"/>
        <w:autoSpaceDN w:val="0"/>
        <w:spacing w:after="0" w:line="240" w:lineRule="auto"/>
        <w:ind w:left="567"/>
        <w:jc w:val="both"/>
        <w:rPr>
          <w:i w:val="0"/>
          <w:iCs/>
          <w:szCs w:val="20"/>
        </w:rPr>
      </w:pPr>
    </w:p>
    <w:p w14:paraId="3A7A3401" w14:textId="5474014F">
      <w:pPr>
        <w:pStyle w:val="P68B1DB1-Normal13"/>
        <w:widowControl w:val="0"/>
        <w:autoSpaceDE w:val="0"/>
        <w:autoSpaceDN w:val="0"/>
        <w:spacing w:after="0" w:line="240" w:lineRule="auto"/>
        <w:jc w:val="both"/>
        <w:outlineLvl w:val="1"/>
      </w:pPr>
      <w:hyperlink r:id="rId103" w:history="1">
        <w:r>
          <w:rPr>
            <w:color w:val="0000FF"/>
            <w:u w:val="single"/>
          </w:rPr>
          <w:t xml:space="preserve">Wyrok z dnia 31 stycznia 2013</w:t>
        </w:r>
      </w:hyperlink>
      <w:r>
        <w:t xml:space="preserve"> r., Belgische Petroleum Unie i in.,</w:t>
        <w:noBreakHyphen/>
        <w:t xml:space="preserve">C 26/11, EU:C:2013:44, pkt 50</w:t>
      </w:r>
      <w:bookmarkEnd w:id="184"/>
    </w:p>
    <w:p w14:paraId="7D29DEE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A5859BF" w14:textId="23CC69D0">
      <w:pPr>
        <w:pStyle w:val="P68B1DB1-Normal14"/>
        <w:widowControl w:val="0"/>
        <w:tabs>
          <w:tab w:val="left" w:pos="403"/>
        </w:tabs>
        <w:autoSpaceDE w:val="0"/>
        <w:autoSpaceDN w:val="0"/>
        <w:spacing w:after="0" w:line="240" w:lineRule="auto"/>
        <w:jc w:val="both"/>
      </w:pPr>
      <w:r>
        <w:t xml:space="preserve">Naruszenie obowiązku notyfikacji stanowi istotne uchybienie proceduralne, które powoduje, że omawiane „przepisy techniczne” nie mają zastosowania, a zatem nie mogą być egzekwowane wobec jednostek.</w:t>
      </w:r>
    </w:p>
    <w:p w14:paraId="3A77BF8A"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1EFBF218" w14:textId="0E7DE8F3">
      <w:pPr>
        <w:pStyle w:val="P68B1DB1-Normal15"/>
        <w:widowControl w:val="0"/>
        <w:tabs>
          <w:tab w:val="left" w:pos="403"/>
        </w:tabs>
        <w:autoSpaceDE w:val="0"/>
        <w:autoSpaceDN w:val="0"/>
        <w:spacing w:after="0" w:line="240" w:lineRule="auto"/>
        <w:ind w:left="567"/>
        <w:jc w:val="both"/>
        <w:rPr>
          <w:iCs/>
        </w:rPr>
      </w:pPr>
      <w:r>
        <w:t>„</w:t>
      </w:r>
      <w:bookmarkStart w:id="185" w:name="point50"/>
      <w:r>
        <w:t>50</w:t>
      </w:r>
      <w:bookmarkEnd w:id="185"/>
      <w:r>
        <w:t xml:space="preserve">.  Ponieważ obowiązek notyfikacji, o którym mowa w art. 8 ust. 1 akapit pierwszy dyrektywy 98/34, ma zasadnicze znaczenie dla osiągnięcia tej kontroli, skuteczność takiej kontroli będzie o wiele większa, jeżeli dyrektywa ta będzie interpretowana w ten sposób, że naruszenie obowiązku zgłoszenia stanowi materialną wadę proceduralną, która sprawia, że rozpatrywane przepisy techniczne nie mają zastosowania, a zatem nie mogą być egzekwowane wobec jednostek (zob. ww. wyroki: w sprawie Lidl Italia, pkt 23; w sprawie Sandström, pkt 43).</w:t>
      </w:r>
    </w:p>
    <w:p w14:paraId="5A7C1A1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F877C96" w14:textId="12F7ED6C">
      <w:pPr>
        <w:pStyle w:val="P68B1DB1-Normal13"/>
        <w:widowControl w:val="0"/>
        <w:autoSpaceDE w:val="0"/>
        <w:autoSpaceDN w:val="0"/>
        <w:spacing w:after="0" w:line="240" w:lineRule="auto"/>
        <w:jc w:val="both"/>
        <w:outlineLvl w:val="1"/>
      </w:pPr>
      <w:hyperlink r:id="rId104" w:history="1">
        <w:r>
          <w:rPr>
            <w:color w:val="0000FF"/>
            <w:u w:val="single"/>
          </w:rPr>
          <w:t xml:space="preserve">Wyrok z dnia 2 lutego 2016</w:t>
        </w:r>
      </w:hyperlink>
      <w:r>
        <w:t xml:space="preserve"> r., Ince, C-336/14, EU:C:2016:72, pkt 67, 68</w:t>
      </w:r>
      <w:bookmarkEnd w:id="186"/>
    </w:p>
    <w:p w14:paraId="5109C791" w14:textId="77777777">
      <w:pPr>
        <w:pStyle w:val="P68B1DB1-Normal13"/>
        <w:widowControl w:val="0"/>
        <w:autoSpaceDE w:val="0"/>
        <w:autoSpaceDN w:val="0"/>
        <w:spacing w:after="0" w:line="240" w:lineRule="auto"/>
        <w:jc w:val="both"/>
        <w:outlineLvl w:val="1"/>
      </w:pPr>
    </w:p>
    <w:p w14:paraId="0118741A" w14:textId="59CA11D9">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Brak zgłoszenia „przepisów technicznych” sprawia, że nie ma on zastosowania i nie może być stosowany wobec osób fizycznych. Ten ostatni może powołać się na art. 8 dyrektywy 98/34 przed sądami krajowymi, które są w związku z tym zobowiązane do odmowy zastosowania niezgłoszonej zasady.</w:t>
      </w:r>
    </w:p>
    <w:p w14:paraId="33041BEA" w14:textId="77777777">
      <w:pPr>
        <w:widowControl w:val="0"/>
        <w:autoSpaceDE w:val="0"/>
        <w:autoSpaceDN w:val="0"/>
        <w:spacing w:after="0" w:line="240" w:lineRule="auto"/>
        <w:jc w:val="both"/>
        <w:rPr>
          <w:rFonts w:ascii="Times New Roman" w:hAnsi="Times New Roman" w:cs="Times New Roman" w:eastAsia="Times New Roman"/>
          <w:i/>
          <w:iCs/>
          <w:sz w:val="20"/>
          <w:szCs w:val="20"/>
        </w:rPr>
      </w:pPr>
    </w:p>
    <w:p w14:paraId="0B90620E" w14:textId="22B6DE21">
      <w:pPr>
        <w:pStyle w:val="P68B1DB1-Normal18"/>
        <w:widowControl w:val="0"/>
        <w:autoSpaceDE w:val="0"/>
        <w:autoSpaceDN w:val="0"/>
        <w:spacing w:after="0" w:line="240" w:lineRule="auto"/>
        <w:ind w:left="567"/>
        <w:jc w:val="both"/>
      </w:pPr>
      <w:r>
        <w:t xml:space="preserve">„67. Na wstępie należy przypomnieć, że naruszenie obowiązku notyfikowania przewidzianego w art. 8 ust. 1 dyrektywy 98/34 stanowi uchybienie proceduralne przy przyjmowaniu przepisów technicznych i powoduje brak możliwości stosowania tych przepisów technicznych, tak że nie można się na nie powołać wobec jednostek (zob. w szczególności wyrok Ivansson i in., C-307/13, EU:C:2014:2058, pkt 48 i przytoczone tam orzecznictwo).</w:t>
      </w:r>
    </w:p>
    <w:p w14:paraId="3D0E63B7" w14:textId="77777777">
      <w:pPr>
        <w:pStyle w:val="P68B1DB1-Normal18"/>
        <w:widowControl w:val="0"/>
        <w:autoSpaceDE w:val="0"/>
        <w:autoSpaceDN w:val="0"/>
        <w:spacing w:after="0" w:line="240" w:lineRule="auto"/>
        <w:ind w:left="567"/>
        <w:jc w:val="both"/>
      </w:pPr>
    </w:p>
    <w:p w14:paraId="0BF09E0D" w14:textId="771301DC">
      <w:pPr>
        <w:pStyle w:val="P68B1DB1-Normal18"/>
        <w:widowControl w:val="0"/>
        <w:autoSpaceDE w:val="0"/>
        <w:autoSpaceDN w:val="0"/>
        <w:spacing w:after="0" w:line="240" w:lineRule="auto"/>
        <w:ind w:left="567"/>
        <w:jc w:val="both"/>
        <w:rPr>
          <w:iCs/>
        </w:rPr>
      </w:pPr>
      <w:r>
        <w:t xml:space="preserve">68. W tym względzie należy podkreślić, że – jak zauważył rzecznik generalny w pkt 60 opinii – mimo iż art. 8 ust. 1 tej dyrektywy wymaga przekazania Komisji całego projektu ustawy zawierającego przepisy techniczne (zob. podobnie wyrok Komisja/Włochy, C-279/94, EU:C:1997:396, pkt 40, 41), niemożność zastosowania wynikająca z naruszenia tego obowiązku obejmuje nie wszystkie przepisy takiej ustawy, lecz jedynie zawarte w niej przepisy techniczne”.</w:t>
      </w:r>
    </w:p>
    <w:p w14:paraId="3958CBE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3409741" w14:textId="429ECE6F">
      <w:pPr>
        <w:pStyle w:val="P68B1DB1-Normal13"/>
        <w:widowControl w:val="0"/>
        <w:autoSpaceDE w:val="0"/>
        <w:autoSpaceDN w:val="0"/>
        <w:spacing w:after="0" w:line="240" w:lineRule="auto"/>
        <w:jc w:val="both"/>
        <w:outlineLvl w:val="1"/>
      </w:pPr>
      <w:hyperlink r:id="rId105" w:history="1">
        <w:r>
          <w:rPr>
            <w:color w:val="0000FF"/>
            <w:u w:val="single"/>
          </w:rPr>
          <w:t xml:space="preserve">Postanowienie z dnia 21 kwietnia 2016</w:t>
        </w:r>
      </w:hyperlink>
      <w:r>
        <w:t xml:space="preserve"> r., Beca Engineering, C-285/15, EU:C:2016:295, pkt 37</w:t>
      </w:r>
      <w:bookmarkEnd w:id="187"/>
    </w:p>
    <w:p w14:paraId="4FF7730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95C5D13" w14:textId="319BB418">
      <w:pPr>
        <w:widowControl w:val="0"/>
        <w:tabs>
          <w:tab w:val="left" w:pos="436"/>
        </w:tabs>
        <w:autoSpaceDE w:val="0"/>
        <w:autoSpaceDN w:val="0"/>
        <w:spacing w:after="0" w:line="240" w:lineRule="auto"/>
        <w:jc w:val="both"/>
        <w:rPr>
          <w:rFonts w:ascii="Times New Roman" w:hAnsi="Times New Roman" w:cs="Times New Roman" w:eastAsia="Times New Roman"/>
          <w:szCs w:val="20"/>
        </w:rPr>
        <w:pStyle w:val="P68B1DB1-Normal14"/>
      </w:pPr>
      <w:r>
        <w:t xml:space="preserve">Brak notyfikacji „przepisu technicznego” sprawia, że nie ma on zastosowania i nie może być stosowany wobec jednostek, które mogą powoływać się na art. 8 dyrektywy 98/34 przed sądami krajowymi, które w konsekwencji są zobowiązane do odrzucenia jego stosowania.</w:t>
      </w:r>
    </w:p>
    <w:p w14:paraId="4B5D090C"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4CE283BE" w14:textId="354C4BFD">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(Ponieważ zamówienie jest dostępne wyłącznie w języku francuskim i włoskim, poniższy tekst stanowi tłumaczenie.)</w:t>
      </w:r>
    </w:p>
    <w:p w14:paraId="71B521E7"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176B997E" w14:textId="2F3B42D8">
      <w:pPr>
        <w:pStyle w:val="P68B1DB1-Normal15"/>
        <w:widowControl w:val="0"/>
        <w:tabs>
          <w:tab w:val="left" w:pos="436"/>
        </w:tabs>
        <w:autoSpaceDE w:val="0"/>
        <w:autoSpaceDN w:val="0"/>
        <w:spacing w:after="0" w:line="240" w:lineRule="auto"/>
        <w:ind w:left="567"/>
        <w:jc w:val="both"/>
        <w:rPr>
          <w:iCs/>
        </w:rPr>
      </w:pPr>
      <w:r>
        <w:t xml:space="preserve">„37. Zgodnie z utrwalonym orzecznictwem niedopełnienie przez państwa członkowskie przewidzianego w art. 8 dyrektywy 98/34 obowiązku natychmiastowego powiadomienia Komisji o przepisach technicznych powoduje, że dane przepisy techniczne nie mają zastosowania, w związku z czym nie mogą one być egzekwowane wobec jednostek i w związku z tym mogą one powołać się na art. 8 dyrektywy 98/34 przed sądem krajowym, który powinien odmówić stosowania krajowego przepisu technicznego, który nie został notyfikowany zgodnie z tą dyrektywą (zob. podobnie wyrok z dnia 30 kwietnia 1996 r., CIA Security International, 194/94</w:t>
        <w:noBreakHyphen/>
        <w:t xml:space="preserve">, EU:C:1996:172, pkt 44, 54); z dnia 26 września 2000 r., Unilever</w:t>
        <w:noBreakHyphen/>
        <w:t xml:space="preserve">, 443/98, EU:C:2000:496, pkt 49; oraz z dnia 16 lipca 2015 r., UNIC i Uni.co.pel,</w:t>
        <w:noBreakHyphen/>
        <w:t xml:space="preserve">95/14, EU:C:2015:492, pkt 29.”.</w:t>
      </w:r>
    </w:p>
    <w:p w14:paraId="316A0C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2DF0B9D" w14:textId="49BEF45B">
      <w:pPr>
        <w:pStyle w:val="P68B1DB1-Normal13"/>
        <w:widowControl w:val="0"/>
        <w:autoSpaceDE w:val="0"/>
        <w:autoSpaceDN w:val="0"/>
        <w:spacing w:after="0" w:line="240" w:lineRule="auto"/>
        <w:jc w:val="both"/>
        <w:outlineLvl w:val="1"/>
      </w:pPr>
      <w:hyperlink r:id="rId106" w:history="1">
        <w:r>
          <w:rPr>
            <w:color w:val="0000FF"/>
            <w:u w:val="single"/>
          </w:rPr>
          <w:t xml:space="preserve">Wyrok z dnia 1 lutego 2017</w:t>
        </w:r>
      </w:hyperlink>
      <w:r>
        <w:t xml:space="preserve"> r., Município de Palmela,</w:t>
        <w:noBreakHyphen/>
        <w:t xml:space="preserve">C 144/16, EU:C:2017:76, pkt 36, 37</w:t>
      </w:r>
      <w:bookmarkEnd w:id="188"/>
    </w:p>
    <w:p w14:paraId="71CD8C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48608F0" w14:textId="4E7B20FD">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Niemożność stosowania niezgłoszonych przepisów technicznych rozciąga się jedynie na przepisy kwalifikujące się jako takie, a nie na cały tekst, w którym zostały ustanowione. </w:t>
      </w:r>
    </w:p>
    <w:p w14:paraId="75A4341D" w14:textId="77777777">
      <w:pPr>
        <w:widowControl w:val="0"/>
        <w:tabs>
          <w:tab w:val="left" w:pos="506"/>
        </w:tabs>
        <w:autoSpaceDE w:val="0"/>
        <w:autoSpaceDN w:val="0"/>
        <w:spacing w:after="0" w:line="240" w:lineRule="auto"/>
        <w:jc w:val="both"/>
        <w:rPr>
          <w:rFonts w:ascii="Times New Roman" w:hAnsi="Times New Roman" w:cs="Times New Roman" w:eastAsia="Times New Roman"/>
          <w:szCs w:val="20"/>
        </w:rPr>
      </w:pPr>
    </w:p>
    <w:p w14:paraId="0AB4BF23" w14:textId="0FC0DDA5">
      <w:pPr>
        <w:pStyle w:val="P68B1DB1-Normal15"/>
        <w:widowControl w:val="0"/>
        <w:tabs>
          <w:tab w:val="left" w:pos="506"/>
        </w:tabs>
        <w:autoSpaceDE w:val="0"/>
        <w:autoSpaceDN w:val="0"/>
        <w:spacing w:after="0" w:line="240" w:lineRule="auto"/>
        <w:ind w:left="567"/>
        <w:jc w:val="both"/>
      </w:pPr>
      <w:r>
        <w:t xml:space="preserve">„36. Ponadto sankcja za niedopełnienie takiego obowiązku zgłoszenia polega na tym, że przepisy techniczne, które nie zostały notyfikowane, nie będą miały zastosowania (zob. podobnie w odniesieniu do dyrektywy 83/189 wyrok z dnia 30 kwietnia 1996 r., CIA Security International, C-194/94, EU:C:1996:172, pkt 54; a także, w odniesieniu do dyrektywy 98/34, wyrok z dnia 4 lutego 2016 r., Ince, C-336/14, EU:C:2016:72, pkt 67 i przytoczone tam orzecznictwo).</w:t>
      </w:r>
    </w:p>
    <w:p w14:paraId="53154754" w14:textId="77777777">
      <w:pPr>
        <w:pStyle w:val="P68B1DB1-Normal15"/>
        <w:widowControl w:val="0"/>
        <w:tabs>
          <w:tab w:val="left" w:pos="506"/>
        </w:tabs>
        <w:autoSpaceDE w:val="0"/>
        <w:autoSpaceDN w:val="0"/>
        <w:spacing w:after="0" w:line="240" w:lineRule="auto"/>
        <w:ind w:left="567"/>
        <w:jc w:val="both"/>
      </w:pPr>
    </w:p>
    <w:p w14:paraId="3D0698B5" w14:textId="300775AA">
      <w:pPr>
        <w:pStyle w:val="P68B1DB1-Normal15"/>
        <w:widowControl w:val="0"/>
        <w:tabs>
          <w:tab w:val="left" w:pos="506"/>
        </w:tabs>
        <w:autoSpaceDE w:val="0"/>
        <w:autoSpaceDN w:val="0"/>
        <w:spacing w:after="0" w:line="240" w:lineRule="auto"/>
        <w:ind w:left="567"/>
        <w:jc w:val="both"/>
        <w:rPr>
          <w:iCs/>
        </w:rPr>
      </w:pPr>
      <w:r>
        <w:t xml:space="preserve">37. Co się tyczy zakresu takiej sankcji, nawet jeśli art. 8 ust. 1 dyrektywy 83/189 i art. 8 ust. 1 dyrektywy 98/34 wymagają przekazania Komisji całego projektu ustawy zawierającej przepisy techniczne, to niemożność zastosowania wynikająca z naruszenia tego obowiązku rozciąga się nie na wszystkie przepisy takiej ustawy, lecz jedynie na zawarte w niej przepisy techniczne (zob. podobnie wyrok z dnia 4 lutego 2016 r., Ince, C-336/14, EU:C:2016:72, pkt 68).”</w:t>
      </w:r>
    </w:p>
    <w:p w14:paraId="554FD6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6C171BE6" w14:textId="2B08C6DC">
      <w:pPr>
        <w:pStyle w:val="P68B1DB1-Normal13"/>
        <w:widowControl w:val="0"/>
        <w:autoSpaceDE w:val="0"/>
        <w:autoSpaceDN w:val="0"/>
        <w:spacing w:after="0" w:line="240" w:lineRule="auto"/>
        <w:jc w:val="both"/>
        <w:outlineLvl w:val="1"/>
      </w:pPr>
      <w:hyperlink r:id="rId107" w:history="1">
        <w:r>
          <w:rPr>
            <w:color w:val="0000FF"/>
            <w:u w:val="single"/>
          </w:rPr>
          <w:t xml:space="preserve">Wyrok z dnia 12 września 2019</w:t>
        </w:r>
      </w:hyperlink>
      <w:r>
        <w:t xml:space="preserve"> r., VG Media, C-299/17, EU:C:2019:716, pkt 39</w:t>
      </w:r>
      <w:bookmarkEnd w:id="189"/>
    </w:p>
    <w:p w14:paraId="4D9638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70EAA48" w14:textId="672654D1">
      <w:pPr>
        <w:pStyle w:val="P68B1DB1-Normal14"/>
        <w:widowControl w:val="0"/>
        <w:tabs>
          <w:tab w:val="left" w:pos="396"/>
        </w:tabs>
        <w:autoSpaceDE w:val="0"/>
        <w:autoSpaceDN w:val="0"/>
        <w:spacing w:after="0" w:line="240" w:lineRule="auto"/>
        <w:jc w:val="both"/>
      </w:pPr>
      <w:r>
        <w:t xml:space="preserve">Niemożność zastosowania niezgłoszonego „przepisu technicznego” może być powoływana w sporze między jednostkami.</w:t>
      </w:r>
    </w:p>
    <w:p w14:paraId="28A74567" w14:textId="77777777">
      <w:pPr>
        <w:widowControl w:val="0"/>
        <w:tabs>
          <w:tab w:val="left" w:pos="396"/>
        </w:tabs>
        <w:autoSpaceDE w:val="0"/>
        <w:autoSpaceDN w:val="0"/>
        <w:spacing w:after="0" w:line="240" w:lineRule="auto"/>
        <w:jc w:val="both"/>
        <w:rPr>
          <w:rFonts w:ascii="Times New Roman" w:hAnsi="Times New Roman" w:cs="Times New Roman" w:eastAsia="Times New Roman"/>
          <w:szCs w:val="20"/>
        </w:rPr>
      </w:pPr>
    </w:p>
    <w:p w14:paraId="341E5191" w14:textId="072C374E">
      <w:pPr>
        <w:pStyle w:val="P68B1DB1-Normal15"/>
        <w:widowControl w:val="0"/>
        <w:tabs>
          <w:tab w:val="left" w:pos="396"/>
        </w:tabs>
        <w:autoSpaceDE w:val="0"/>
        <w:autoSpaceDN w:val="0"/>
        <w:spacing w:after="0" w:line="240" w:lineRule="auto"/>
        <w:ind w:left="567"/>
        <w:jc w:val="both"/>
        <w:rPr>
          <w:iCs/>
        </w:rPr>
      </w:pPr>
      <w:r>
        <w:t>„</w:t>
      </w:r>
      <w:bookmarkStart w:id="190" w:name="point39"/>
      <w:r>
        <w:t>39</w:t>
      </w:r>
      <w:bookmarkEnd w:id="190"/>
      <w:r>
        <w:t xml:space="preserve">. W zakresie, w jakim norma taka jak ta rozpatrywana w postępowaniu głównym odnosi się konkretnie do usług społeczeństwa informacyjnego, projekt przepisu technicznego powinien podlegać uprzedniej notyfikacji Komisji na mocy art. 8 ust. 1 dyrektywy 98/34. W przeciwnym razie, zgodnie z utrwalonym orzecznictwem, niemożność zastosowania przepisu technicznego, który nie został notyfikowany zgodnie z tym przepisem, może być powoływana w ramach sporu między jednostkami (wyrok z dnia 27 października 2016 r., James Elliott Construction, C</w:t>
        <w:noBreakHyphen/>
        <w:t xml:space="preserve">613/14, EU:C:2016:821, pkt 64 i przytoczone tam orzecznictwo).”</w:t>
      </w:r>
    </w:p>
    <w:p w14:paraId="67343887" w14:textId="77777777">
      <w:pPr>
        <w:pStyle w:val="P68B1DB1-Normal16"/>
        <w:spacing w:after="0" w:line="240" w:lineRule="auto"/>
        <w:rPr>
          <w:i/>
          <w:iCs/>
        </w:rPr>
      </w:pPr>
      <w:r>
        <w:br w:type="page"/>
      </w:r>
    </w:p>
    <w:p w14:paraId="3EE7303A" w14:textId="250577BE">
      <w:pPr>
        <w:pStyle w:val="P68B1DB1-Heading24"/>
        <w:numPr>
          <w:ilvl w:val="0"/>
          <w:numId w:val="38"/>
        </w:numPr>
        <w:spacing w:before="0" w:after="0"/>
        <w:jc w:val="center"/>
        <w:rPr>
          <w:bCs/>
          <w:color w:val="auto"/>
        </w:rPr>
      </w:pPr>
      <w:bookmarkStart w:id="191" w:name="_Ref194485069"/>
      <w:bookmarkStart w:id="192" w:name="_Toc203035686"/>
      <w:r>
        <w:t xml:space="preserve">Niemożność zastosowania w przypadku przyjęcia w okresie zawieszenia</w:t>
      </w:r>
      <w:bookmarkEnd w:id="191"/>
      <w:bookmarkEnd w:id="192"/>
    </w:p>
    <w:p w14:paraId="37876FE6" w14:textId="77777777">
      <w:pPr>
        <w:widowControl w:val="0"/>
        <w:tabs>
          <w:tab w:val="left" w:pos="396"/>
        </w:tabs>
        <w:autoSpaceDE w:val="0"/>
        <w:autoSpaceDN w:val="0"/>
        <w:spacing w:after="0" w:line="240" w:lineRule="auto"/>
        <w:ind w:left="567"/>
        <w:jc w:val="both"/>
        <w:rPr>
          <w:rFonts w:ascii="Times New Roman" w:hAnsi="Times New Roman" w:cs="Times New Roman" w:eastAsia="Times New Roman"/>
          <w:i/>
          <w:iCs/>
          <w:sz w:val="20"/>
          <w:szCs w:val="16"/>
        </w:rPr>
      </w:pPr>
    </w:p>
    <w:p w14:paraId="0D0639E5" w14:textId="5783481F">
      <w:pPr>
        <w:pStyle w:val="P68B1DB1-Normal13"/>
        <w:widowControl w:val="0"/>
        <w:autoSpaceDE w:val="0"/>
        <w:autoSpaceDN w:val="0"/>
        <w:spacing w:after="0" w:line="240" w:lineRule="auto"/>
        <w:jc w:val="both"/>
        <w:outlineLvl w:val="1"/>
      </w:pPr>
      <w:hyperlink r:id="rId108" w:history="1">
        <w:r>
          <w:rPr>
            <w:color w:val="0000FF"/>
            <w:u w:val="single"/>
          </w:rPr>
          <w:t xml:space="preserve">Wyrok z dnia 26 września 2000</w:t>
        </w:r>
      </w:hyperlink>
      <w:r>
        <w:t xml:space="preserve"> r., Unilever, C-443/98, EU:C:2000:496, pkt 44, 49</w:t>
      </w:r>
      <w:bookmarkEnd w:id="193"/>
    </w:p>
    <w:p w14:paraId="42E7AF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BBEE81D" w14:textId="01D7910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Naruszenie obowiązku odroczenia przyjęcia „przepisów technicznych” stanowi istotne uchybienie proceduralne, a wynikające z tego niemożność zastosowania może zostać podniesiona w postępowaniach cywilnych dotyczących prawa umów.</w:t>
      </w:r>
    </w:p>
    <w:p w14:paraId="44D1FDCE" w14:textId="77777777">
      <w:pPr>
        <w:widowControl w:val="0"/>
        <w:autoSpaceDE w:val="0"/>
        <w:autoSpaceDN w:val="0"/>
        <w:spacing w:after="0" w:line="240" w:lineRule="auto"/>
        <w:jc w:val="both"/>
        <w:rPr>
          <w:rFonts w:ascii="Times New Roman" w:hAnsi="Times New Roman" w:cs="Times New Roman" w:eastAsia="Times New Roman"/>
          <w:szCs w:val="20"/>
        </w:rPr>
      </w:pPr>
    </w:p>
    <w:p w14:paraId="75DB8828" w14:textId="28728DEC">
      <w:pPr>
        <w:pStyle w:val="P68B1DB1-Normal15"/>
        <w:widowControl w:val="0"/>
        <w:autoSpaceDE w:val="0"/>
        <w:autoSpaceDN w:val="0"/>
        <w:spacing w:after="0"/>
        <w:ind w:left="567"/>
        <w:jc w:val="both"/>
      </w:pPr>
      <w:r>
        <w:t xml:space="preserve">„44. O ile w pkt 48 ww. wyroku w sprawie CIA Security, przypomniawszy, że celem dyrektywy 83/189 była ochrona swobodnego przepływu towarów poprzez kontrolę prewencyjną oraz że obowiązek zgłoszenia był niezbędny do przeprowadzenia takiej kontroli wspólnotowej, Trybunał stwierdził, że skuteczność takiej kontroli byłaby o wiele większa, gdyby dyrektywę tę interpretować w ten sposób, że naruszenie obowiązku notyfikacji stanowi istotne uchybienie proceduralne, które powoduje, że rozpatrywane przepisy techniczne nie mają zastosowania do jednostek, o tyle z rozważań przedstawionych w pkt 40–43 niniejszego wyroku wynika, że naruszenie obowiązku odroczenia przyjęcia, o którym mowa w art. 9 dyrektywy 83/189, stanowi również istotne uchybienie proceduralne, które powoduje, że przepisy techniczne nie mają zastosowania”.</w:t>
      </w:r>
    </w:p>
    <w:p w14:paraId="02036EC1"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58BC9E48" w14:textId="635AF4A5">
      <w:pPr>
        <w:pStyle w:val="P68B1DB1-Normal15"/>
        <w:widowControl w:val="0"/>
        <w:autoSpaceDE w:val="0"/>
        <w:autoSpaceDN w:val="0"/>
        <w:spacing w:after="0" w:line="240" w:lineRule="auto"/>
        <w:ind w:left="567"/>
        <w:jc w:val="both"/>
        <w:rPr>
          <w:iCs/>
        </w:rPr>
      </w:pPr>
      <w:r>
        <w:t xml:space="preserve">„49. Z orzecznictwa Trybunału wynika zatem, że niemożność stosowania przepisu technicznego, który nie został notyfikowany zgodnie z art. 8 dyrektywy 83/189, może być podnoszona w ramach sporu między jednostkami z powodów przedstawionych w pkt 40–43 niniejszego wyroku. To samo dotyczy nieprzestrzegania obowiązków przewidzianych w art. 9 tej dyrektywy i nie ma w tym względzie potrzeby odmiennego traktowania sporów między jednostkami w sprawach dotyczących nieuczciwej konkurencji, jak w sprawie CIA Security International, od sporów między jednostkami dotyczących praw i obowiązków o charakterze umownym, tak jak w postępowaniu głównym”.</w:t>
      </w:r>
    </w:p>
    <w:p w14:paraId="2398ED1C"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DE1608D" w14:textId="65CDF631">
      <w:pPr>
        <w:pStyle w:val="P68B1DB1-Normal13"/>
        <w:widowControl w:val="0"/>
        <w:autoSpaceDE w:val="0"/>
        <w:autoSpaceDN w:val="0"/>
        <w:spacing w:after="0" w:line="240" w:lineRule="auto"/>
        <w:jc w:val="both"/>
        <w:outlineLvl w:val="1"/>
      </w:pPr>
      <w:hyperlink r:id="rId109" w:history="1">
        <w:r>
          <w:rPr>
            <w:color w:val="0000FF"/>
            <w:u w:val="single"/>
          </w:rPr>
          <w:t xml:space="preserve">Wyrok z dnia 16 lipca 2015</w:t>
        </w:r>
      </w:hyperlink>
      <w:r>
        <w:t xml:space="preserve"> r., UNIC i Uni.co.pel, C-95/14, EU:C:2015:492, pkt 29 i 30.</w:t>
      </w:r>
      <w:bookmarkEnd w:id="194"/>
    </w:p>
    <w:p w14:paraId="1A2641F5" w14:textId="77777777">
      <w:pPr>
        <w:pStyle w:val="P68B1DB1-Normal13"/>
        <w:widowControl w:val="0"/>
        <w:autoSpaceDE w:val="0"/>
        <w:autoSpaceDN w:val="0"/>
        <w:spacing w:after="0" w:line="240" w:lineRule="auto"/>
        <w:jc w:val="both"/>
        <w:outlineLvl w:val="1"/>
        <w:rPr>
          <w:color w:val="0000FF"/>
          <w:u w:val="single"/>
        </w:rPr>
      </w:pPr>
    </w:p>
    <w:p w14:paraId="6A41CA20" w14:textId="5D78CD99">
      <w:pPr>
        <w:pStyle w:val="P68B1DB1-Normal14"/>
        <w:widowControl w:val="0"/>
        <w:tabs>
          <w:tab w:val="left" w:pos="458"/>
        </w:tabs>
        <w:autoSpaceDE w:val="0"/>
        <w:autoSpaceDN w:val="0"/>
        <w:spacing w:after="0" w:line="240" w:lineRule="auto"/>
        <w:jc w:val="both"/>
      </w:pPr>
      <w:r>
        <w:t xml:space="preserve">„Przepis techniczny” nie może być stosowany, jeżeli nie został notyfikowany lub jeżeli mimo zgłoszenia został przyjęty i wdrożony przed końcem okresu zawieszenia. Niedochowanie tego okresu zawieszenia stanowi materialną wadę proceduralną, która powoduje, że omawiane „przepisy techniczne” nie mają zastosowania i nie mogą być stosowane wobec jednostek.</w:t>
      </w:r>
    </w:p>
    <w:p w14:paraId="78F423B5" w14:textId="77777777">
      <w:pPr>
        <w:widowControl w:val="0"/>
        <w:tabs>
          <w:tab w:val="left" w:pos="458"/>
        </w:tabs>
        <w:autoSpaceDE w:val="0"/>
        <w:autoSpaceDN w:val="0"/>
        <w:spacing w:after="0" w:line="240" w:lineRule="auto"/>
        <w:jc w:val="both"/>
        <w:rPr>
          <w:rFonts w:ascii="Times New Roman" w:hAnsi="Times New Roman" w:cs="Times New Roman" w:eastAsia="Times New Roman"/>
          <w:szCs w:val="20"/>
        </w:rPr>
      </w:pPr>
    </w:p>
    <w:p w14:paraId="671D359F" w14:textId="02315FA1">
      <w:pPr>
        <w:pStyle w:val="P68B1DB1-Normal15"/>
        <w:widowControl w:val="0"/>
        <w:tabs>
          <w:tab w:val="left" w:pos="413"/>
        </w:tabs>
        <w:autoSpaceDE w:val="0"/>
        <w:autoSpaceDN w:val="0"/>
        <w:spacing w:after="0" w:line="240" w:lineRule="auto"/>
        <w:ind w:left="567"/>
        <w:jc w:val="both"/>
      </w:pPr>
      <w:r>
        <w:t xml:space="preserve">„29. Należy w tym względzie przypomnieć, że przepisy techniczne nie mogą zostać przyjęte, jeśli nie zostały notyfikowane zgodnie z art. 8 ust. 1 dyrektywy 98/34 lub jeśli – nawet wówczas, gdy zostały notyfikowane – zostały zatwierdzone i wykonane przed wygaśnięciem okresu obowiązywania zasady standstill wynoszącego trzy miesiące, przewidzianego w art. 9 ust. 1 wskazanej dyrektywy (zob. wyroki: CIA Security International, C-194/94, EU:C:1996:172, pkt 41, 44, 54; Unilever, C-443/98, EU:C:2000:496, pkt 49).</w:t>
      </w:r>
    </w:p>
    <w:p w14:paraId="669F0D65" w14:textId="77777777">
      <w:pPr>
        <w:pStyle w:val="P68B1DB1-Normal15"/>
        <w:widowControl w:val="0"/>
        <w:tabs>
          <w:tab w:val="left" w:pos="413"/>
        </w:tabs>
        <w:autoSpaceDE w:val="0"/>
        <w:autoSpaceDN w:val="0"/>
        <w:spacing w:after="0" w:line="240" w:lineRule="auto"/>
        <w:ind w:left="567"/>
        <w:jc w:val="both"/>
      </w:pPr>
    </w:p>
    <w:p w14:paraId="6F40553C" w14:textId="5546CC32">
      <w:pPr>
        <w:pStyle w:val="P68B1DB1-Normal15"/>
        <w:widowControl w:val="0"/>
        <w:tabs>
          <w:tab w:val="left" w:pos="413"/>
        </w:tabs>
        <w:autoSpaceDE w:val="0"/>
        <w:autoSpaceDN w:val="0"/>
        <w:spacing w:after="0" w:line="240" w:lineRule="auto"/>
        <w:ind w:left="567"/>
        <w:jc w:val="both"/>
        <w:rPr>
          <w:iCs/>
        </w:rPr>
      </w:pPr>
      <w:r>
        <w:t xml:space="preserve">30. W konsekwencji w postępowaniu głównym do sądu odsyłającego należy zbadanie, czy ustawa nr 8/2013 weszła w życie z naruszeniem okresu zawieszenia wymaganego na podstawie art. 9 dyrektywy 98/34. W przypadku udzielenia odpowiedzi twierdzącej brak poszanowania owego terminu stanowi istotne uchybienie proceduralne, które może skutkować brakiem możliwości zastosowania rozpatrywanego przepisu technicznego. Jak wskazała rzecznik generalna w pkt 44–47 opinii, art. 3 ust. 2 ustawy nr 8/2103 nie byłby w tym przypadku bezskuteczny wobec jednostek”.</w:t>
      </w:r>
    </w:p>
    <w:p w14:paraId="6059C0D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3CFB923" w14:textId="1D33D9D9">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10" w:history="1">
        <w:r>
          <w:rPr>
            <w:rStyle w:val="Hyperlink"/>
            <w:rFonts w:ascii="Times New Roman" w:hAnsi="Times New Roman" w:cs="Times New Roman" w:eastAsia="Times New Roman"/>
            <w:b/>
            <w:i/>
            <w:color w:val="0000FF"/>
            <w:szCs w:val="20"/>
          </w:rPr>
          <w:t xml:space="preserve">Wyrok z dnia 21 grudnia 2023</w:t>
        </w:r>
      </w:hyperlink>
      <w:r>
        <w:rPr>
          <w:rFonts w:ascii="Times New Roman" w:hAnsi="Times New Roman" w:cs="Times New Roman" w:eastAsia="Times New Roman"/>
          <w:b/>
          <w:i/>
          <w:szCs w:val="20"/>
        </w:rPr>
        <w:t xml:space="preserve"> r., Papier Mettler Italia, C-86/22, EU:C:2023:1023, pkt 48, 51</w:t>
      </w:r>
      <w:bookmarkEnd w:id="195"/>
    </w:p>
    <w:p w14:paraId="72FE2D2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184A21" w14:textId="5074D777">
      <w:pPr>
        <w:pStyle w:val="P68B1DB1-Normal17"/>
        <w:widowControl w:val="0"/>
        <w:autoSpaceDE w:val="0"/>
        <w:autoSpaceDN w:val="0"/>
        <w:spacing w:after="0" w:line="240" w:lineRule="auto"/>
        <w:jc w:val="both"/>
      </w:pPr>
      <w:r>
        <w:t xml:space="preserve">Przyjęcie projektu „przepisów technicznych” sześć dni po jego notyfikacji jest sprzeczne z dyrektywą.</w:t>
      </w:r>
    </w:p>
    <w:p w14:paraId="6AE096BF" w14:textId="77777777">
      <w:pPr>
        <w:widowControl w:val="0"/>
        <w:autoSpaceDE w:val="0"/>
        <w:autoSpaceDN w:val="0"/>
        <w:spacing w:after="0" w:line="240" w:lineRule="auto"/>
        <w:jc w:val="both"/>
        <w:rPr>
          <w:rFonts w:ascii="Times New Roman" w:hAnsi="Times New Roman" w:cs="Times New Roman" w:eastAsia="Times New Roman"/>
        </w:rPr>
      </w:pPr>
    </w:p>
    <w:p w14:paraId="49072627" w14:textId="0533C648">
      <w:pPr>
        <w:pStyle w:val="P68B1DB1-Normal17"/>
        <w:widowControl w:val="0"/>
        <w:autoSpaceDE w:val="0"/>
        <w:autoSpaceDN w:val="0"/>
        <w:spacing w:after="0" w:line="240" w:lineRule="auto"/>
        <w:jc w:val="both"/>
      </w:pPr>
      <w:r>
        <w:t xml:space="preserve">Klauzule uzależniające wejście w życie przepisów od braku reakcji Komisji na te przepisy („klauzule zawieszające”) są sprzeczne z dyrektywą, ponieważ przyjęcie takich przepisów nie pozwala na uwzględnienie opinii innych państw członkowskich i narusza zasadę pewności prawa. </w:t>
      </w:r>
    </w:p>
    <w:p w14:paraId="324F8208"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F3C3AE8" w14:textId="66B8593F">
      <w:pPr>
        <w:pStyle w:val="P68B1DB1-Normal15"/>
        <w:widowControl w:val="0"/>
        <w:autoSpaceDE w:val="0"/>
        <w:autoSpaceDN w:val="0"/>
        <w:spacing w:after="0" w:line="240" w:lineRule="auto"/>
        <w:ind w:left="567"/>
        <w:jc w:val="both"/>
        <w:outlineLvl w:val="1"/>
        <w:rPr>
          <w:iCs/>
        </w:rPr>
      </w:pPr>
      <w:bookmarkStart w:id="196" w:name="_Toc198043912"/>
      <w:r>
        <w:t>„</w:t>
      </w:r>
      <w:bookmarkStart w:id="197" w:name="point48"/>
      <w:r>
        <w:t>48</w:t>
      </w:r>
      <w:bookmarkEnd w:id="197"/>
      <w:r>
        <w:t xml:space="preserve">. Po drugie, przyjęcie spornego w postępowaniu głównym dekretu w terminie sześciu dni od jego notyfikowania Komisji na podstawie art. 8 ust. 1 tej dyrektywy narusza również obowiązek przewidziany w art. 9 ust. 1 tej dyrektywy, zgodnie z którym państwa członkowskie odraczają przyjęcie „projektu przepisów technicznych” o trzy miesiące od daty otrzymania przez Komisję powiadomienia, o którym mowa w art. 8 ust. 1 tej dyrektywy”.</w:t>
      </w:r>
      <w:bookmarkEnd w:id="196"/>
    </w:p>
    <w:p w14:paraId="34ACB37E" w14:textId="77777777">
      <w:pPr>
        <w:widowControl w:val="0"/>
        <w:autoSpaceDE w:val="0"/>
        <w:autoSpaceDN w:val="0"/>
        <w:spacing w:after="0" w:line="240" w:lineRule="auto"/>
        <w:ind w:left="567"/>
        <w:jc w:val="both"/>
        <w:outlineLvl w:val="1"/>
      </w:pPr>
    </w:p>
    <w:p w14:paraId="14BB6DC8" w14:textId="1355B8C7">
      <w:pPr>
        <w:pStyle w:val="P68B1DB1-Normal15"/>
        <w:widowControl w:val="0"/>
        <w:autoSpaceDE w:val="0"/>
        <w:autoSpaceDN w:val="0"/>
        <w:spacing w:after="0" w:line="240" w:lineRule="auto"/>
        <w:ind w:left="567"/>
        <w:jc w:val="both"/>
        <w:rPr>
          <w:iCs/>
        </w:rPr>
      </w:pPr>
      <w:r>
        <w:t>„</w:t>
      </w:r>
      <w:bookmarkStart w:id="198" w:name="point51"/>
      <w:r>
        <w:t>51</w:t>
      </w:r>
      <w:bookmarkEnd w:id="198"/>
      <w:r>
        <w:t xml:space="preserve">. Z drugiej strony ów rząd utrzymuje, że wejście w życie dekretu rozpatrywanego w postępowaniu głównym było uzależnione, zgodnie z jego art. 6, od „pomyślnego zakończenia” procedury notyfikacji wszczętej w dniu 12 marca 2013 r. na podstawie art. 8 ust. 1 dyrektywy 98/34. Tymczasem procedura ta nie zakończyła się w ten sposób, ponieważ Komisja nie wydała opinii na temat tego dekretu. Argument ten należy oddalić, ponieważ, po pierwsze, przyjęcie i publikacja tego dekretu mogą samo w sobie mieć pewne skutki dla swobodnego przepływu danych towarów; po drugie, nie pozwalały one na uwzględnienie uwag i szczegółowych opinii wydanych przez Królestwo Niderlandów, Królestwo Szwecji i Zjednoczone Królestwo Wielkiej Brytanii i Irlandii Północnej; po trzecie, jak zauważył rzecznik generalny w pkt 52 opinii, stanowią one technikę legislacyjną niezgodną z zasadą pewności prawa”.</w:t>
      </w:r>
    </w:p>
    <w:p w14:paraId="4AC163BF" w14:textId="77777777">
      <w:pPr>
        <w:pStyle w:val="P68B1DB1-Normal16"/>
        <w:spacing w:after="0" w:line="240" w:lineRule="auto"/>
        <w:rPr>
          <w:i/>
          <w:iCs/>
        </w:rPr>
      </w:pPr>
      <w:r>
        <w:br w:type="page"/>
      </w:r>
    </w:p>
    <w:p w14:paraId="781C6309" w14:textId="325A6AD3">
      <w:pPr>
        <w:pStyle w:val="P68B1DB1-Heading24"/>
        <w:numPr>
          <w:ilvl w:val="0"/>
          <w:numId w:val="38"/>
        </w:numPr>
        <w:spacing w:before="0" w:after="0"/>
        <w:jc w:val="center"/>
        <w:rPr>
          <w:bCs/>
          <w:color w:val="auto"/>
        </w:rPr>
      </w:pPr>
      <w:bookmarkStart w:id="199" w:name="_Ref194485197"/>
      <w:bookmarkStart w:id="200" w:name="_Toc203035687"/>
      <w:r>
        <w:t xml:space="preserve">Wyjaśnienie skutków braku możliwości zastosowania</w:t>
      </w:r>
      <w:bookmarkEnd w:id="199"/>
      <w:bookmarkEnd w:id="200"/>
    </w:p>
    <w:p w14:paraId="606EC11D" w14:textId="756F529E">
      <w:pPr>
        <w:pStyle w:val="P68B1DB1-Normal15"/>
        <w:widowControl w:val="0"/>
        <w:autoSpaceDE w:val="0"/>
        <w:autoSpaceDN w:val="0"/>
        <w:spacing w:after="0" w:line="240" w:lineRule="auto"/>
        <w:ind w:left="567"/>
        <w:jc w:val="both"/>
        <w:rPr>
          <w:iCs/>
        </w:rPr>
      </w:pPr>
      <w:r>
        <w:t xml:space="preserve">          </w:t>
      </w:r>
    </w:p>
    <w:p w14:paraId="7D2667CD" w14:textId="02A04B70">
      <w:pPr>
        <w:pStyle w:val="P68B1DB1-Normal13"/>
        <w:widowControl w:val="0"/>
        <w:autoSpaceDE w:val="0"/>
        <w:autoSpaceDN w:val="0"/>
        <w:spacing w:after="0" w:line="240" w:lineRule="auto"/>
        <w:jc w:val="both"/>
        <w:outlineLvl w:val="1"/>
      </w:pPr>
      <w:hyperlink r:id="rId111" w:anchor="ctx1" w:history="1">
        <w:r>
          <w:rPr>
            <w:color w:val="0000FF"/>
            <w:u w:val="single"/>
          </w:rPr>
          <w:t xml:space="preserve">Wyrok z dnia 11 czerwca 2015</w:t>
        </w:r>
      </w:hyperlink>
      <w:r>
        <w:t xml:space="preserve"> r., Berlington Hungary i in., C-98/14, EU:C:2015:386, pkt 108, 109</w:t>
      </w:r>
      <w:bookmarkEnd w:id="201"/>
    </w:p>
    <w:p w14:paraId="4569287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68A195" w14:textId="7B49416F">
      <w:pPr>
        <w:widowControl w:val="0"/>
        <w:tabs>
          <w:tab w:val="left" w:pos="416"/>
        </w:tabs>
        <w:autoSpaceDE w:val="0"/>
        <w:autoSpaceDN w:val="0"/>
        <w:spacing w:after="0" w:line="240" w:lineRule="auto"/>
        <w:jc w:val="both"/>
        <w:rPr>
          <w:rFonts w:ascii="Times New Roman" w:hAnsi="Times New Roman" w:cs="Times New Roman" w:eastAsia="Times New Roman"/>
          <w:szCs w:val="20"/>
        </w:rPr>
        <w:pStyle w:val="P68B1DB1-Normal14"/>
      </w:pPr>
      <w:r>
        <w:t xml:space="preserve">Obowiązki w zakresie powiadamiania i zawieszania nie mają na celu przyznania praw jednostkom. W związku z tym ich naruszenie przez państwo członkowskie nie przyznaje na mocy prawa Unii jednostkom prawa do żądania od tego państwa członkowskiego odszkodowania za wszelkie wynikające z tego szkody.</w:t>
      </w:r>
    </w:p>
    <w:p w14:paraId="3D1B5CA6" w14:textId="77777777">
      <w:pPr>
        <w:widowControl w:val="0"/>
        <w:tabs>
          <w:tab w:val="left" w:pos="416"/>
        </w:tabs>
        <w:autoSpaceDE w:val="0"/>
        <w:autoSpaceDN w:val="0"/>
        <w:spacing w:after="0" w:line="240" w:lineRule="auto"/>
        <w:jc w:val="both"/>
        <w:rPr>
          <w:rFonts w:ascii="Times New Roman" w:hAnsi="Times New Roman" w:cs="Times New Roman" w:eastAsia="Times New Roman"/>
          <w:szCs w:val="20"/>
        </w:rPr>
      </w:pPr>
    </w:p>
    <w:p w14:paraId="689BAE8B" w14:textId="2C62B4CE">
      <w:pPr>
        <w:pStyle w:val="P68B1DB1-Normal15"/>
        <w:widowControl w:val="0"/>
        <w:tabs>
          <w:tab w:val="left" w:pos="416"/>
        </w:tabs>
        <w:autoSpaceDE w:val="0"/>
        <w:autoSpaceDN w:val="0"/>
        <w:spacing w:after="0" w:line="240" w:lineRule="auto"/>
        <w:ind w:left="567"/>
        <w:jc w:val="both"/>
      </w:pPr>
      <w:r>
        <w:t xml:space="preserve">„108. W tym względzie z orzecznictwa wynika, że o ile dyrektywa 98/34 ma na celu zapewnienie swobodnego przepływu towarów poprzez ustanowienie kontroli prewencyjnej, której skuteczność wymaga odstąpienia od stosowania, w ramach sporu między jednostkami, środka krajowego przyjętego z naruszeniem jej art. 8 i 9, o tyle dyrektywa ta w żaden sposób nie określa zakresu materialnego przepisu prawnego, na podstawie którego sąd krajowy powinien rozstrzygnąć zawisły przed nim spór. Dyrektywa ta nie ustanawia zatem ani praw, ani obowiązków jednostek (wyrok Unilever, C-443/98, EU:C:2000:496, pkt 51).</w:t>
      </w:r>
    </w:p>
    <w:p w14:paraId="3783F5A5" w14:textId="77777777">
      <w:pPr>
        <w:pStyle w:val="P68B1DB1-Normal15"/>
        <w:widowControl w:val="0"/>
        <w:tabs>
          <w:tab w:val="left" w:pos="416"/>
        </w:tabs>
        <w:autoSpaceDE w:val="0"/>
        <w:autoSpaceDN w:val="0"/>
        <w:spacing w:after="0" w:line="240" w:lineRule="auto"/>
        <w:ind w:left="567"/>
        <w:jc w:val="both"/>
      </w:pPr>
    </w:p>
    <w:p w14:paraId="6B92FF8B" w14:textId="78BC6D0C">
      <w:pPr>
        <w:pStyle w:val="P68B1DB1-Normal15"/>
        <w:widowControl w:val="0"/>
        <w:tabs>
          <w:tab w:val="left" w:pos="416"/>
        </w:tabs>
        <w:autoSpaceDE w:val="0"/>
        <w:autoSpaceDN w:val="0"/>
        <w:spacing w:after="0" w:line="240" w:lineRule="auto"/>
        <w:ind w:left="567"/>
        <w:jc w:val="both"/>
        <w:rPr>
          <w:iCs/>
        </w:rPr>
      </w:pPr>
      <w:r>
        <w:t xml:space="preserve">109. W tych okolicznościach należy stwierdzić, że pierwsza z przesłanek wymienionych w pkt 104 nie jest spełniona, w związku z czym jednostki nie mogą powoływać się na naruszenie art. 8 i 9 tej dyrektywy w celu ustalenia odpowiedzialności danego państwa członkowskiego na podstawie prawa Unii”.</w:t>
      </w:r>
    </w:p>
    <w:p w14:paraId="73CEA11C" w14:textId="62A8886A">
      <w:pPr>
        <w:pStyle w:val="P68B1DB1-Normal29"/>
        <w:spacing w:after="0" w:line="240" w:lineRule="auto"/>
        <w:rPr>
          <w:i/>
          <w:iCs/>
        </w:rPr>
      </w:pPr>
      <w:r>
        <w:br w:type="page"/>
      </w:r>
    </w:p>
    <w:p w14:paraId="1EE58DB8" w14:textId="063FB854">
      <w:pPr>
        <w:pStyle w:val="P68B1DB1-Heading24"/>
        <w:numPr>
          <w:ilvl w:val="0"/>
          <w:numId w:val="38"/>
        </w:numPr>
        <w:spacing w:before="0" w:after="0"/>
        <w:jc w:val="center"/>
        <w:rPr>
          <w:bCs/>
          <w:color w:val="auto"/>
        </w:rPr>
      </w:pPr>
      <w:bookmarkStart w:id="202" w:name="_Ref194943555"/>
      <w:bookmarkStart w:id="203" w:name="_Toc198043914"/>
      <w:bookmarkStart w:id="204" w:name="_Toc203035688"/>
      <w:r>
        <w:t xml:space="preserve">Postępowanie w sprawie uchybienia zobowiązaniom państwa członkowskiego</w:t>
      </w:r>
      <w:bookmarkEnd w:id="202"/>
      <w:bookmarkEnd w:id="203"/>
      <w:bookmarkEnd w:id="204"/>
    </w:p>
    <w:p w14:paraId="7CCCC14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2B64A1E" w14:textId="69A5682B">
      <w:pPr>
        <w:pStyle w:val="P68B1DB1-Normal13"/>
        <w:widowControl w:val="0"/>
        <w:autoSpaceDE w:val="0"/>
        <w:autoSpaceDN w:val="0"/>
        <w:spacing w:after="0" w:line="240" w:lineRule="auto"/>
        <w:jc w:val="both"/>
        <w:outlineLvl w:val="1"/>
      </w:pPr>
      <w:hyperlink r:id="rId112" w:history="1">
        <w:r>
          <w:rPr>
            <w:color w:val="0000FF"/>
            <w:u w:val="single"/>
          </w:rPr>
          <w:t xml:space="preserve">Wyrok z dnia 4 czerwca 2009</w:t>
        </w:r>
      </w:hyperlink>
      <w:r>
        <w:t xml:space="preserve"> r., Komisja/Grecja, C-109/08, EU:C:2009:346, pkt 14–17.</w:t>
      </w:r>
      <w:bookmarkEnd w:id="205"/>
    </w:p>
    <w:p w14:paraId="764614BF" w14:textId="77777777">
      <w:pPr>
        <w:widowControl w:val="0"/>
        <w:autoSpaceDE w:val="0"/>
        <w:autoSpaceDN w:val="0"/>
        <w:spacing w:after="0" w:line="240" w:lineRule="auto"/>
        <w:jc w:val="both"/>
        <w:rPr>
          <w:rFonts w:ascii="Times New Roman" w:hAnsi="Times New Roman" w:cs="Times New Roman" w:eastAsia="Times New Roman"/>
          <w:szCs w:val="20"/>
        </w:rPr>
      </w:pPr>
    </w:p>
    <w:p w14:paraId="2AE57DC7" w14:textId="4EB830F5">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Aby zapewnić jednolite stosowanie prawa Unii, należy niezwłocznie wykonać wyrok Trybunału stwierdzający uchybienie obowiązkowi powiadomienia. Kwestia istnienia takiego uchybienia w rozumieniu art. 228 WE jest oceniana po upływie terminu wyznaczonego w uzasadnionej opinii. W niniejszej sprawie Grecja nie podjęła żadnych środków przed upływem wyznaczonego terminu, w związku z czym uchybiła zobowiązaniom, które na niej ciążą na mocy art. 228 ust. 1 WE.</w:t>
      </w:r>
    </w:p>
    <w:p w14:paraId="09B61ED9" w14:textId="77777777">
      <w:pPr>
        <w:widowControl w:val="0"/>
        <w:autoSpaceDE w:val="0"/>
        <w:autoSpaceDN w:val="0"/>
        <w:spacing w:after="0" w:line="240" w:lineRule="auto"/>
        <w:jc w:val="both"/>
        <w:rPr>
          <w:rFonts w:ascii="Times New Roman" w:hAnsi="Times New Roman" w:cs="Times New Roman" w:eastAsia="Times New Roman"/>
          <w:szCs w:val="20"/>
        </w:rPr>
      </w:pPr>
    </w:p>
    <w:p w14:paraId="387679BD" w14:textId="0C49733C">
      <w:pPr>
        <w:spacing w:after="0" w:line="240" w:lineRule="auto"/>
        <w:ind w:left="567"/>
        <w:jc w:val="both"/>
        <w:rPr>
          <w:rFonts w:ascii="Times New Roman" w:hAnsi="Times New Roman" w:cs="Times New Roman"/>
          <w:i/>
          <w:iCs/>
          <w:sz w:val="20"/>
          <w:szCs w:val="20"/>
        </w:rPr>
        <w:pStyle w:val="P68B1DB1-Normal20"/>
      </w:pPr>
      <w:r>
        <w:t>„</w:t>
      </w:r>
      <w:bookmarkStart w:id="206" w:name="point14"/>
      <w:r>
        <w:t>14</w:t>
      </w:r>
      <w:bookmarkEnd w:id="206"/>
      <w:r>
        <w:t xml:space="preserve">. O ile art. 228 WE nie określa terminu, w którym powinien zostać wykonany wyrok Trybunału stwierdzający uchybienie zobowiązaniom państwa członkowskiego, o tyle z utrwalonego orzecznictwa wynika, że znaczenie natychmiastowego i jednolitego stosowania prawa wspólnotowego oznacza, że proces wykonania musi zostać wszczęty niezwłocznie i zakończony w jak najkrótszym terminie (zob. w szczególności wyrok z dnia 12 grudnia 2008 r. w sprawie C-121/07 Komisja przeciwko Francji, Zb.Orz. s. I</w:t>
        <w:noBreakHyphen/>
        <w:t xml:space="preserve">0000, pkt 21 i przytoczone tam</w:t>
        <w:noBreakHyphen/>
        <w:t>orzecznictwo).</w:t>
      </w:r>
    </w:p>
    <w:p w14:paraId="79FE7B6A" w14:textId="77777777">
      <w:pPr>
        <w:spacing w:after="0" w:line="240" w:lineRule="auto"/>
        <w:ind w:left="567"/>
        <w:jc w:val="both"/>
        <w:rPr>
          <w:rFonts w:ascii="Times New Roman" w:hAnsi="Times New Roman" w:cs="Times New Roman"/>
          <w:i/>
          <w:iCs/>
          <w:sz w:val="20"/>
          <w:szCs w:val="20"/>
        </w:rPr>
      </w:pPr>
    </w:p>
    <w:p w14:paraId="34290D7F" w14:textId="2B2B8F25">
      <w:pPr>
        <w:spacing w:after="0" w:line="240" w:lineRule="auto"/>
        <w:ind w:left="567"/>
        <w:jc w:val="both"/>
        <w:rPr>
          <w:rFonts w:ascii="Times New Roman" w:hAnsi="Times New Roman" w:cs="Times New Roman"/>
          <w:i/>
          <w:iCs/>
          <w:sz w:val="20"/>
          <w:szCs w:val="20"/>
        </w:rPr>
        <w:pStyle w:val="P68B1DB1-Normal20"/>
      </w:pPr>
      <w:bookmarkStart w:id="207" w:name="point15"/>
      <w:r>
        <w:t>15</w:t>
      </w:r>
      <w:bookmarkEnd w:id="207"/>
      <w:r>
        <w:t xml:space="preserve">. Ponadto datą odniesienia dla oceny istnienia uchybienia w rozumieniu art. 228 WE jest data upływu terminu wyznaczonego w uzasadnionej opinii wydanej na podstawie tego postanowienia (zob. w szczególności wyrok z dnia 12 grudnia 2007 r. w sprawie C 503/04</w:t>
        <w:noBreakHyphen/>
        <w:t xml:space="preserve">Komisja przeciwko Niemcom, Zb.Orz. s. I</w:t>
        <w:noBreakHyphen/>
        <w:t xml:space="preserve">6153, pkt 19 i przytoczone tam</w:t>
        <w:noBreakHyphen/>
        <w:t>orzecznictwo).</w:t>
      </w:r>
    </w:p>
    <w:p w14:paraId="473BFE9F" w14:textId="77777777">
      <w:pPr>
        <w:spacing w:after="0" w:line="240" w:lineRule="auto"/>
        <w:ind w:left="567"/>
        <w:jc w:val="both"/>
        <w:rPr>
          <w:rFonts w:ascii="Times New Roman" w:hAnsi="Times New Roman" w:cs="Times New Roman"/>
          <w:i/>
          <w:iCs/>
          <w:sz w:val="20"/>
          <w:szCs w:val="20"/>
        </w:rPr>
      </w:pPr>
    </w:p>
    <w:p w14:paraId="25F77FB4" w14:textId="525C8130">
      <w:pPr>
        <w:spacing w:after="0" w:line="240" w:lineRule="auto"/>
        <w:ind w:left="567"/>
        <w:jc w:val="both"/>
        <w:rPr>
          <w:rFonts w:ascii="Times New Roman" w:hAnsi="Times New Roman" w:cs="Times New Roman"/>
          <w:i/>
          <w:iCs/>
          <w:sz w:val="20"/>
          <w:szCs w:val="20"/>
        </w:rPr>
        <w:pStyle w:val="P68B1DB1-Normal20"/>
      </w:pPr>
      <w:bookmarkStart w:id="208" w:name="point16"/>
      <w:r>
        <w:t>16</w:t>
      </w:r>
      <w:bookmarkEnd w:id="208"/>
      <w:r>
        <w:t xml:space="preserve">. W niniejszej sprawie należy stwierdzić, że do dnia upływu dwumiesięcznego terminu wyznaczonego w uzasadnionej opinii z dnia 29 czerwca 2007 r. Republika Grecka nie podjęła żadnych środków niezbędnych do wykonania ww. wyroku w sprawie</w:t>
        <w:noBreakHyphen/>
        <w:t xml:space="preserve">Komisja przeciwko Grecji, ponieważ projekt pierwszego środka mającego na celu wykonanie tego wyroku został przekazany Komisji dopiero w dniu 7 maja 2008 r.</w:t>
      </w:r>
    </w:p>
    <w:p w14:paraId="42C25375" w14:textId="77777777">
      <w:pPr>
        <w:spacing w:after="0" w:line="240" w:lineRule="auto"/>
        <w:ind w:left="567"/>
        <w:jc w:val="both"/>
        <w:rPr>
          <w:rFonts w:ascii="Times New Roman" w:hAnsi="Times New Roman" w:cs="Times New Roman"/>
          <w:i/>
          <w:iCs/>
          <w:sz w:val="20"/>
          <w:szCs w:val="20"/>
        </w:rPr>
      </w:pPr>
    </w:p>
    <w:p w14:paraId="4F21B78F" w14:textId="2C79CD2A">
      <w:pPr>
        <w:spacing w:after="0" w:line="240" w:lineRule="auto"/>
        <w:ind w:left="567"/>
        <w:jc w:val="both"/>
        <w:rPr>
          <w:rFonts w:ascii="Times New Roman" w:hAnsi="Times New Roman" w:cs="Times New Roman"/>
          <w:i/>
          <w:iCs/>
          <w:sz w:val="20"/>
          <w:szCs w:val="20"/>
        </w:rPr>
        <w:pStyle w:val="P68B1DB1-Normal20"/>
      </w:pPr>
      <w:bookmarkStart w:id="209" w:name="point17"/>
      <w:r>
        <w:t>17</w:t>
      </w:r>
      <w:bookmarkEnd w:id="209"/>
      <w:r>
        <w:t xml:space="preserve">. W tych okolicznościach należy stwierdzić, że – jak sama przyznaje – Republika Grecka uchybiła zobowiązaniom, które na niej ciążą na mocy art. 228 ust. 1 WE”.</w:t>
      </w:r>
    </w:p>
    <w:sectPr>
      <w:headerReference w:type="even" r:id="rId113"/>
      <w:headerReference w:type="default" r:id="rId114"/>
      <w:footerReference w:type="even" r:id="rId115"/>
      <w:footerReference w:type="default" r:id="rId116"/>
      <w:headerReference w:type="first" r:id="rId117"/>
      <w:footerReference w:type="first" r:id="rId1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2E30" w14:textId="77777777">
      <w:pPr>
        <w:spacing w:after="0" w:line="240" w:lineRule="auto"/>
      </w:pPr>
      <w:r>
        <w:separator/>
      </w:r>
    </w:p>
  </w:endnote>
  <w:endnote w:type="continuationSeparator" w:id="0">
    <w:p w14:paraId="42F9C4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6B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162115"/>
      <w:docPartObj>
        <w:docPartGallery w:val="Page Numbers (Bottom of Page)"/>
        <w:docPartUnique/>
      </w:docPartObj>
    </w:sdtPr>
    <w:sdtEndPr>
      <w:rPr>
        <w:noProof/>
      </w:rPr>
    </w:sdtEndPr>
    <w:sdtContent>
      <w:p w14:paraId="169A474F" w14:textId="1212D73C">
        <w:pPr>
          <w:pStyle w:val="Footer"/>
          <w:jc w:val="center"/>
        </w:pPr>
        <w:r>
          <w:fldChar w:fldCharType="begin"/>
        </w:r>
        <w:r>
          <w:instrText xml:space="preserve"> PAGE   \* MERGEFORMAT </w:instrText>
        </w:r>
        <w:r>
          <w:fldChar w:fldCharType="separate"/>
        </w:r>
        <w:r>
          <w:t>2</w:t>
        </w:r>
        <w:r>
          <w:fldChar w:fldCharType="end"/>
        </w:r>
      </w:p>
    </w:sdtContent>
  </w:sdt>
  <w:p w14:paraId="3E6C88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91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A389" w14:textId="77777777">
      <w:pPr>
        <w:spacing w:after="0" w:line="240" w:lineRule="auto"/>
      </w:pPr>
      <w:r>
        <w:separator/>
      </w:r>
    </w:p>
  </w:footnote>
  <w:footnote w:type="continuationSeparator" w:id="0">
    <w:p w14:paraId="415CF120" w14:textId="77777777">
      <w:pPr>
        <w:spacing w:after="0" w:line="240" w:lineRule="auto"/>
      </w:pPr>
      <w:r>
        <w:continuationSeparator/>
      </w:r>
    </w:p>
  </w:footnote>
  <w:footnote w:id="1">
    <w:p w14:paraId="1FA0C861" w14:textId="399A73E6">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Porównanie dyrektywy 2015/1535 i dyrektywy 83/189/EWG opiera się na pierwotnych niezmienionych aktach, natomiast porównanie dyrektywy 98/34/WE opiera się na wersji zmienionej dyrektywą 98/48/WE z dnia 20 lipca 1998 r.</w:t>
      </w:r>
    </w:p>
  </w:footnote>
  <w:footnote w:id="2">
    <w:p w14:paraId="76340588" w14:textId="755D0E80">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Dyrektywa (UE) 2015/1535 Parlamentu Europejskiego i Rady z dnia 9 września 2015 r. ustanawiająca procedurę udzielania informacji w dziedzinie przepisów technicznych oraz zasad dotyczących usług społeczeństwa informacyjnego (tekst jednolity)</w:t>
      </w:r>
    </w:p>
  </w:footnote>
  <w:footnote w:id="3">
    <w:p w14:paraId="44C51982" w14:textId="0D8DBE21">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Dyrektywa 98/34/WE Parlamentu Europejskiego i Rady z dnia 22 czerwca 1998 r. ustanawiająca procedurę udzielania informacji w zakresie norm i przepisów technicznych, zmieniona dyrektywą 98/48/WE z dnia 20 lipca 1998 r. (w tym zasady dotyczące usług)</w:t>
      </w:r>
    </w:p>
  </w:footnote>
  <w:footnote w:id="4">
    <w:p w14:paraId="587067AB" w14:textId="06FBABC3">
      <w:pPr>
        <w:pStyle w:val="FootnoteText"/>
        <w:jc w:val="both"/>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Dyrektywa Rady 83/189/EWG z dnia 28 marca 1983 r. ustanawiająca procedurę udzielania informacji w dziedzinie norm i uregulowań technicznych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FD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9FF6" w14:textId="236766A6">
    <w:pPr>
      <w:pStyle w:val="P68B1DB1-Title1"/>
      <w:spacing w:before="0"/>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FB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25A"/>
    <w:multiLevelType w:val="hybridMultilevel"/>
    <w:tmpl w:val="010ED82C"/>
    <w:lvl w:ilvl="0" w:tplc="F5D80FDE">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AF1625A"/>
    <w:multiLevelType w:val="hybridMultilevel"/>
    <w:tmpl w:val="A2B2F5CC"/>
    <w:lvl w:ilvl="0" w:tplc="20CA2DBA">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0DC43F72"/>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49310EC"/>
    <w:multiLevelType w:val="hybridMultilevel"/>
    <w:tmpl w:val="0C2EB568"/>
    <w:lvl w:ilvl="0" w:tplc="7E12F6AE">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 w15:restartNumberingAfterBreak="0">
    <w:nsid w:val="167F49A9"/>
    <w:multiLevelType w:val="hybridMultilevel"/>
    <w:tmpl w:val="5B0068A6"/>
    <w:lvl w:ilvl="0" w:tplc="3A24D51C">
      <w:start w:val="1"/>
      <w:numFmt w:val="decimal"/>
      <w:lvlText w:val="%1)"/>
      <w:lvlJc w:val="left"/>
      <w:pPr>
        <w:ind w:left="1020" w:hanging="360"/>
      </w:pPr>
    </w:lvl>
    <w:lvl w:ilvl="1" w:tplc="125A5C02">
      <w:start w:val="1"/>
      <w:numFmt w:val="decimal"/>
      <w:lvlText w:val="%2)"/>
      <w:lvlJc w:val="left"/>
      <w:pPr>
        <w:ind w:left="1020" w:hanging="360"/>
      </w:pPr>
    </w:lvl>
    <w:lvl w:ilvl="2" w:tplc="1AFA6D0C">
      <w:start w:val="1"/>
      <w:numFmt w:val="decimal"/>
      <w:lvlText w:val="%3)"/>
      <w:lvlJc w:val="left"/>
      <w:pPr>
        <w:ind w:left="1020" w:hanging="360"/>
      </w:pPr>
    </w:lvl>
    <w:lvl w:ilvl="3" w:tplc="CBDAF276">
      <w:start w:val="1"/>
      <w:numFmt w:val="decimal"/>
      <w:lvlText w:val="%4)"/>
      <w:lvlJc w:val="left"/>
      <w:pPr>
        <w:ind w:left="1020" w:hanging="360"/>
      </w:pPr>
    </w:lvl>
    <w:lvl w:ilvl="4" w:tplc="2166B310">
      <w:start w:val="1"/>
      <w:numFmt w:val="decimal"/>
      <w:lvlText w:val="%5)"/>
      <w:lvlJc w:val="left"/>
      <w:pPr>
        <w:ind w:left="1020" w:hanging="360"/>
      </w:pPr>
    </w:lvl>
    <w:lvl w:ilvl="5" w:tplc="04D0DE84">
      <w:start w:val="1"/>
      <w:numFmt w:val="decimal"/>
      <w:lvlText w:val="%6)"/>
      <w:lvlJc w:val="left"/>
      <w:pPr>
        <w:ind w:left="1020" w:hanging="360"/>
      </w:pPr>
    </w:lvl>
    <w:lvl w:ilvl="6" w:tplc="1E228612">
      <w:start w:val="1"/>
      <w:numFmt w:val="decimal"/>
      <w:lvlText w:val="%7)"/>
      <w:lvlJc w:val="left"/>
      <w:pPr>
        <w:ind w:left="1020" w:hanging="360"/>
      </w:pPr>
    </w:lvl>
    <w:lvl w:ilvl="7" w:tplc="D7021F9C">
      <w:start w:val="1"/>
      <w:numFmt w:val="decimal"/>
      <w:lvlText w:val="%8)"/>
      <w:lvlJc w:val="left"/>
      <w:pPr>
        <w:ind w:left="1020" w:hanging="360"/>
      </w:pPr>
    </w:lvl>
    <w:lvl w:ilvl="8" w:tplc="1A70A482">
      <w:start w:val="1"/>
      <w:numFmt w:val="decimal"/>
      <w:lvlText w:val="%9)"/>
      <w:lvlJc w:val="left"/>
      <w:pPr>
        <w:ind w:left="1020" w:hanging="360"/>
      </w:pPr>
    </w:lvl>
  </w:abstractNum>
  <w:abstractNum w:abstractNumId="5" w15:restartNumberingAfterBreak="0">
    <w:nsid w:val="16C372E0"/>
    <w:multiLevelType w:val="hybridMultilevel"/>
    <w:tmpl w:val="F2F082AA"/>
    <w:lvl w:ilvl="0" w:tplc="0FDE36C8">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6" w15:restartNumberingAfterBreak="0">
    <w:nsid w:val="175D724D"/>
    <w:multiLevelType w:val="hybridMultilevel"/>
    <w:tmpl w:val="FE303218"/>
    <w:lvl w:ilvl="0" w:tplc="B44444F0">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7" w15:restartNumberingAfterBreak="0">
    <w:nsid w:val="17A252B1"/>
    <w:multiLevelType w:val="hybridMultilevel"/>
    <w:tmpl w:val="936870D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021F90"/>
    <w:multiLevelType w:val="hybridMultilevel"/>
    <w:tmpl w:val="BAFE4132"/>
    <w:lvl w:ilvl="0" w:tplc="7F08DD2E">
      <w:start w:val="4"/>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1F426828"/>
    <w:multiLevelType w:val="hybridMultilevel"/>
    <w:tmpl w:val="EF5AD44C"/>
    <w:lvl w:ilvl="0" w:tplc="33F6B108">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0" w15:restartNumberingAfterBreak="0">
    <w:nsid w:val="21D2371B"/>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28E67F7"/>
    <w:multiLevelType w:val="hybridMultilevel"/>
    <w:tmpl w:val="825EF55E"/>
    <w:lvl w:ilvl="0" w:tplc="E1C26E36">
      <w:start w:val="2"/>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682F2F"/>
    <w:multiLevelType w:val="hybridMultilevel"/>
    <w:tmpl w:val="6242F30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5F42A0D"/>
    <w:multiLevelType w:val="hybridMultilevel"/>
    <w:tmpl w:val="AEB26076"/>
    <w:lvl w:ilvl="0" w:tplc="5A141406">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4" w15:restartNumberingAfterBreak="0">
    <w:nsid w:val="2D025A04"/>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DC75B28"/>
    <w:multiLevelType w:val="hybridMultilevel"/>
    <w:tmpl w:val="59601DDA"/>
    <w:lvl w:ilvl="0" w:tplc="1A00D246">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6" w15:restartNumberingAfterBreak="0">
    <w:nsid w:val="2F6B6AB7"/>
    <w:multiLevelType w:val="hybridMultilevel"/>
    <w:tmpl w:val="D0AC01D8"/>
    <w:lvl w:ilvl="0" w:tplc="91B8A490">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7" w15:restartNumberingAfterBreak="0">
    <w:nsid w:val="35303A9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7296099"/>
    <w:multiLevelType w:val="hybridMultilevel"/>
    <w:tmpl w:val="2A705CA2"/>
    <w:lvl w:ilvl="0" w:tplc="7F08DD2E">
      <w:start w:val="1"/>
      <w:numFmt w:val="lowerLetter"/>
      <w:lvlText w:val="%1."/>
      <w:lvlJc w:val="left"/>
      <w:pPr>
        <w:ind w:left="1440" w:hanging="360"/>
      </w:pPr>
      <w:rPr>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73415B6"/>
    <w:multiLevelType w:val="hybridMultilevel"/>
    <w:tmpl w:val="B554F348"/>
    <w:lvl w:ilvl="0" w:tplc="15F4A3B4">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0" w15:restartNumberingAfterBreak="0">
    <w:nsid w:val="37B979D4"/>
    <w:multiLevelType w:val="hybridMultilevel"/>
    <w:tmpl w:val="2B5A74C2"/>
    <w:lvl w:ilvl="0" w:tplc="7D78FE44">
      <w:start w:val="5"/>
      <w:numFmt w:val="bullet"/>
      <w:lvlText w:val="-"/>
      <w:lvlJc w:val="left"/>
      <w:pPr>
        <w:ind w:left="927" w:hanging="360"/>
      </w:pPr>
      <w:rPr>
        <w:rFonts w:ascii="Times New Roman" w:eastAsia="Times New Roman"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1" w15:restartNumberingAfterBreak="0">
    <w:nsid w:val="41841F32"/>
    <w:multiLevelType w:val="hybridMultilevel"/>
    <w:tmpl w:val="43346CB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390360F"/>
    <w:multiLevelType w:val="hybridMultilevel"/>
    <w:tmpl w:val="4A62FD58"/>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 w15:restartNumberingAfterBreak="0">
    <w:nsid w:val="51601A36"/>
    <w:multiLevelType w:val="hybridMultilevel"/>
    <w:tmpl w:val="3022F154"/>
    <w:lvl w:ilvl="0" w:tplc="CF547ED6">
      <w:start w:val="1"/>
      <w:numFmt w:val="upperRoman"/>
      <w:lvlText w:val="%1."/>
      <w:lvlJc w:val="left"/>
      <w:pPr>
        <w:ind w:left="1080" w:hanging="720"/>
      </w:pPr>
      <w:rPr>
        <w:rFonts w:hint="default"/>
        <w:sz w:val="40"/>
        <w:szCs w:val="4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5D04C1A"/>
    <w:multiLevelType w:val="hybridMultilevel"/>
    <w:tmpl w:val="D334EE56"/>
    <w:lvl w:ilvl="0" w:tplc="A4560BD8">
      <w:start w:val="1"/>
      <w:numFmt w:val="upperRoman"/>
      <w:lvlText w:val="%1."/>
      <w:lvlJc w:val="left"/>
      <w:pPr>
        <w:ind w:left="2715" w:hanging="720"/>
      </w:pPr>
      <w:rPr>
        <w:rFonts w:hint="default"/>
      </w:rPr>
    </w:lvl>
    <w:lvl w:ilvl="1" w:tplc="18090019" w:tentative="1">
      <w:start w:val="1"/>
      <w:numFmt w:val="lowerLetter"/>
      <w:lvlText w:val="%2."/>
      <w:lvlJc w:val="left"/>
      <w:pPr>
        <w:ind w:left="3075" w:hanging="360"/>
      </w:pPr>
    </w:lvl>
    <w:lvl w:ilvl="2" w:tplc="1809001B" w:tentative="1">
      <w:start w:val="1"/>
      <w:numFmt w:val="lowerRoman"/>
      <w:lvlText w:val="%3."/>
      <w:lvlJc w:val="right"/>
      <w:pPr>
        <w:ind w:left="3795" w:hanging="180"/>
      </w:pPr>
    </w:lvl>
    <w:lvl w:ilvl="3" w:tplc="1809000F" w:tentative="1">
      <w:start w:val="1"/>
      <w:numFmt w:val="decimal"/>
      <w:lvlText w:val="%4."/>
      <w:lvlJc w:val="left"/>
      <w:pPr>
        <w:ind w:left="4515" w:hanging="360"/>
      </w:pPr>
    </w:lvl>
    <w:lvl w:ilvl="4" w:tplc="18090019" w:tentative="1">
      <w:start w:val="1"/>
      <w:numFmt w:val="lowerLetter"/>
      <w:lvlText w:val="%5."/>
      <w:lvlJc w:val="left"/>
      <w:pPr>
        <w:ind w:left="5235" w:hanging="360"/>
      </w:pPr>
    </w:lvl>
    <w:lvl w:ilvl="5" w:tplc="1809001B" w:tentative="1">
      <w:start w:val="1"/>
      <w:numFmt w:val="lowerRoman"/>
      <w:lvlText w:val="%6."/>
      <w:lvlJc w:val="right"/>
      <w:pPr>
        <w:ind w:left="5955" w:hanging="180"/>
      </w:pPr>
    </w:lvl>
    <w:lvl w:ilvl="6" w:tplc="1809000F" w:tentative="1">
      <w:start w:val="1"/>
      <w:numFmt w:val="decimal"/>
      <w:lvlText w:val="%7."/>
      <w:lvlJc w:val="left"/>
      <w:pPr>
        <w:ind w:left="6675" w:hanging="360"/>
      </w:pPr>
    </w:lvl>
    <w:lvl w:ilvl="7" w:tplc="18090019" w:tentative="1">
      <w:start w:val="1"/>
      <w:numFmt w:val="lowerLetter"/>
      <w:lvlText w:val="%8."/>
      <w:lvlJc w:val="left"/>
      <w:pPr>
        <w:ind w:left="7395" w:hanging="360"/>
      </w:pPr>
    </w:lvl>
    <w:lvl w:ilvl="8" w:tplc="1809001B" w:tentative="1">
      <w:start w:val="1"/>
      <w:numFmt w:val="lowerRoman"/>
      <w:lvlText w:val="%9."/>
      <w:lvlJc w:val="right"/>
      <w:pPr>
        <w:ind w:left="8115" w:hanging="180"/>
      </w:pPr>
    </w:lvl>
  </w:abstractNum>
  <w:abstractNum w:abstractNumId="25" w15:restartNumberingAfterBreak="0">
    <w:nsid w:val="562A56D8"/>
    <w:multiLevelType w:val="hybridMultilevel"/>
    <w:tmpl w:val="B1C08C96"/>
    <w:lvl w:ilvl="0" w:tplc="8DE862CC">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6" w15:restartNumberingAfterBreak="0">
    <w:nsid w:val="58835420"/>
    <w:multiLevelType w:val="hybridMultilevel"/>
    <w:tmpl w:val="3B7A2A46"/>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7" w15:restartNumberingAfterBreak="0">
    <w:nsid w:val="5A900DE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68261C9"/>
    <w:multiLevelType w:val="hybridMultilevel"/>
    <w:tmpl w:val="FC82B53A"/>
    <w:lvl w:ilvl="0" w:tplc="35C2C75E">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6B796262"/>
    <w:multiLevelType w:val="hybridMultilevel"/>
    <w:tmpl w:val="80723CDA"/>
    <w:lvl w:ilvl="0" w:tplc="295CF590">
      <w:start w:val="1"/>
      <w:numFmt w:val="upperRoman"/>
      <w:lvlText w:val="%1)"/>
      <w:lvlJc w:val="left"/>
      <w:pPr>
        <w:ind w:left="1080" w:hanging="720"/>
      </w:pPr>
      <w:rPr>
        <w:rFonts w:hint="default"/>
      </w:rPr>
    </w:lvl>
    <w:lvl w:ilvl="1" w:tplc="D658AE2E">
      <w:start w:val="1"/>
      <w:numFmt w:val="lowerLetter"/>
      <w:lvlText w:val="%2."/>
      <w:lvlJc w:val="left"/>
      <w:pPr>
        <w:ind w:left="1440" w:hanging="360"/>
      </w:pPr>
      <w:rPr>
        <w:b w:val="0"/>
        <w:bCs w:val="0"/>
        <w:i w:val="0"/>
        <w:iCs w:val="0"/>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D4B2126"/>
    <w:multiLevelType w:val="hybridMultilevel"/>
    <w:tmpl w:val="41F6FC34"/>
    <w:lvl w:ilvl="0" w:tplc="20302D40">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6D6D3A31"/>
    <w:multiLevelType w:val="hybridMultilevel"/>
    <w:tmpl w:val="34CCDBBE"/>
    <w:lvl w:ilvl="0" w:tplc="FFFFFFFF">
      <w:start w:val="1"/>
      <w:numFmt w:val="lowerLetter"/>
      <w:lvlText w:val="%1."/>
      <w:lvlJc w:val="left"/>
      <w:pPr>
        <w:ind w:left="21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DA4040B"/>
    <w:multiLevelType w:val="hybridMultilevel"/>
    <w:tmpl w:val="9DBCA204"/>
    <w:lvl w:ilvl="0" w:tplc="075CAACA">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3" w15:restartNumberingAfterBreak="0">
    <w:nsid w:val="6F6B2BDA"/>
    <w:multiLevelType w:val="hybridMultilevel"/>
    <w:tmpl w:val="1A6CE3C2"/>
    <w:lvl w:ilvl="0" w:tplc="0B227EE8">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4" w15:restartNumberingAfterBreak="0">
    <w:nsid w:val="6FD45B5F"/>
    <w:multiLevelType w:val="hybridMultilevel"/>
    <w:tmpl w:val="BA76F484"/>
    <w:lvl w:ilvl="0" w:tplc="5B6842F8">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5" w15:restartNumberingAfterBreak="0">
    <w:nsid w:val="72EA3F19"/>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7C64A56"/>
    <w:multiLevelType w:val="hybridMultilevel"/>
    <w:tmpl w:val="34DAEC8C"/>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7" w15:restartNumberingAfterBreak="0">
    <w:nsid w:val="7DA32368"/>
    <w:multiLevelType w:val="hybridMultilevel"/>
    <w:tmpl w:val="17CEBB6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89067590">
    <w:abstractNumId w:val="29"/>
  </w:num>
  <w:num w:numId="2" w16cid:durableId="1149712612">
    <w:abstractNumId w:val="22"/>
  </w:num>
  <w:num w:numId="3" w16cid:durableId="522597413">
    <w:abstractNumId w:val="18"/>
  </w:num>
  <w:num w:numId="4" w16cid:durableId="131093797">
    <w:abstractNumId w:val="3"/>
  </w:num>
  <w:num w:numId="5" w16cid:durableId="930895856">
    <w:abstractNumId w:val="8"/>
  </w:num>
  <w:num w:numId="6" w16cid:durableId="859314359">
    <w:abstractNumId w:val="26"/>
  </w:num>
  <w:num w:numId="7" w16cid:durableId="222370173">
    <w:abstractNumId w:val="33"/>
  </w:num>
  <w:num w:numId="8" w16cid:durableId="2057385159">
    <w:abstractNumId w:val="36"/>
  </w:num>
  <w:num w:numId="9" w16cid:durableId="1794322050">
    <w:abstractNumId w:val="0"/>
  </w:num>
  <w:num w:numId="10" w16cid:durableId="3677297">
    <w:abstractNumId w:val="17"/>
  </w:num>
  <w:num w:numId="11" w16cid:durableId="1485776725">
    <w:abstractNumId w:val="10"/>
  </w:num>
  <w:num w:numId="12" w16cid:durableId="882793964">
    <w:abstractNumId w:val="2"/>
  </w:num>
  <w:num w:numId="13" w16cid:durableId="1924220346">
    <w:abstractNumId w:val="35"/>
  </w:num>
  <w:num w:numId="14" w16cid:durableId="407272038">
    <w:abstractNumId w:val="14"/>
  </w:num>
  <w:num w:numId="15" w16cid:durableId="402528430">
    <w:abstractNumId w:val="27"/>
  </w:num>
  <w:num w:numId="16" w16cid:durableId="2008940943">
    <w:abstractNumId w:val="31"/>
  </w:num>
  <w:num w:numId="17" w16cid:durableId="29764232">
    <w:abstractNumId w:val="24"/>
  </w:num>
  <w:num w:numId="18" w16cid:durableId="1598323702">
    <w:abstractNumId w:val="11"/>
  </w:num>
  <w:num w:numId="19" w16cid:durableId="894586789">
    <w:abstractNumId w:val="20"/>
  </w:num>
  <w:num w:numId="20" w16cid:durableId="935164786">
    <w:abstractNumId w:val="19"/>
  </w:num>
  <w:num w:numId="21" w16cid:durableId="1832065826">
    <w:abstractNumId w:val="9"/>
  </w:num>
  <w:num w:numId="22" w16cid:durableId="576403216">
    <w:abstractNumId w:val="28"/>
  </w:num>
  <w:num w:numId="23" w16cid:durableId="539055433">
    <w:abstractNumId w:val="5"/>
  </w:num>
  <w:num w:numId="24" w16cid:durableId="958028667">
    <w:abstractNumId w:val="6"/>
  </w:num>
  <w:num w:numId="25" w16cid:durableId="1079519155">
    <w:abstractNumId w:val="13"/>
  </w:num>
  <w:num w:numId="26" w16cid:durableId="1120418109">
    <w:abstractNumId w:val="30"/>
  </w:num>
  <w:num w:numId="27" w16cid:durableId="153690731">
    <w:abstractNumId w:val="15"/>
  </w:num>
  <w:num w:numId="28" w16cid:durableId="1952590443">
    <w:abstractNumId w:val="32"/>
  </w:num>
  <w:num w:numId="29" w16cid:durableId="893469427">
    <w:abstractNumId w:val="34"/>
  </w:num>
  <w:num w:numId="30" w16cid:durableId="596908438">
    <w:abstractNumId w:val="16"/>
  </w:num>
  <w:num w:numId="31" w16cid:durableId="995496117">
    <w:abstractNumId w:val="1"/>
  </w:num>
  <w:num w:numId="32" w16cid:durableId="1634409818">
    <w:abstractNumId w:val="4"/>
  </w:num>
  <w:num w:numId="33" w16cid:durableId="750465225">
    <w:abstractNumId w:val="25"/>
  </w:num>
  <w:num w:numId="34" w16cid:durableId="1072579241">
    <w:abstractNumId w:val="23"/>
  </w:num>
  <w:num w:numId="35" w16cid:durableId="1444232820">
    <w:abstractNumId w:val="21"/>
  </w:num>
  <w:num w:numId="36" w16cid:durableId="1960531220">
    <w:abstractNumId w:val="12"/>
  </w:num>
  <w:num w:numId="37" w16cid:durableId="2066171962">
    <w:abstractNumId w:val="37"/>
  </w:num>
  <w:num w:numId="38" w16cid:durableId="165093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36EB0"/>
    <w:rsid w:val="00040F59"/>
    <w:rsid w:val="00041401"/>
    <w:rsid w:val="000421A2"/>
    <w:rsid w:val="0007551C"/>
    <w:rsid w:val="00093525"/>
    <w:rsid w:val="000A18C4"/>
    <w:rsid w:val="000A1DAE"/>
    <w:rsid w:val="000B320E"/>
    <w:rsid w:val="000C20A2"/>
    <w:rsid w:val="000C2978"/>
    <w:rsid w:val="000D1631"/>
    <w:rsid w:val="000D631B"/>
    <w:rsid w:val="000F5423"/>
    <w:rsid w:val="000F7992"/>
    <w:rsid w:val="000F7DA5"/>
    <w:rsid w:val="00106EDB"/>
    <w:rsid w:val="00112FD1"/>
    <w:rsid w:val="001305B4"/>
    <w:rsid w:val="0013272D"/>
    <w:rsid w:val="00137427"/>
    <w:rsid w:val="00137B20"/>
    <w:rsid w:val="001557BC"/>
    <w:rsid w:val="00182A36"/>
    <w:rsid w:val="00186890"/>
    <w:rsid w:val="0018765D"/>
    <w:rsid w:val="001910C8"/>
    <w:rsid w:val="001913A5"/>
    <w:rsid w:val="00192492"/>
    <w:rsid w:val="00193FFC"/>
    <w:rsid w:val="001C2C44"/>
    <w:rsid w:val="001D4E5E"/>
    <w:rsid w:val="001E525A"/>
    <w:rsid w:val="001F5CEA"/>
    <w:rsid w:val="00227D5B"/>
    <w:rsid w:val="0023316E"/>
    <w:rsid w:val="0023465A"/>
    <w:rsid w:val="00241E4F"/>
    <w:rsid w:val="00245EEF"/>
    <w:rsid w:val="002547A4"/>
    <w:rsid w:val="00260293"/>
    <w:rsid w:val="00265197"/>
    <w:rsid w:val="00272AFD"/>
    <w:rsid w:val="00274ED4"/>
    <w:rsid w:val="002829DC"/>
    <w:rsid w:val="00285458"/>
    <w:rsid w:val="0029429C"/>
    <w:rsid w:val="002977CE"/>
    <w:rsid w:val="002B0265"/>
    <w:rsid w:val="002B042F"/>
    <w:rsid w:val="002C2477"/>
    <w:rsid w:val="002C37D7"/>
    <w:rsid w:val="002C7310"/>
    <w:rsid w:val="002D416D"/>
    <w:rsid w:val="002F31E8"/>
    <w:rsid w:val="002F562D"/>
    <w:rsid w:val="00307893"/>
    <w:rsid w:val="003116E4"/>
    <w:rsid w:val="00311818"/>
    <w:rsid w:val="0031192C"/>
    <w:rsid w:val="003307D4"/>
    <w:rsid w:val="00334A0D"/>
    <w:rsid w:val="00341F32"/>
    <w:rsid w:val="003421A4"/>
    <w:rsid w:val="00345FC9"/>
    <w:rsid w:val="00355497"/>
    <w:rsid w:val="00363DCF"/>
    <w:rsid w:val="00390589"/>
    <w:rsid w:val="003B39B7"/>
    <w:rsid w:val="003E20F0"/>
    <w:rsid w:val="003E2812"/>
    <w:rsid w:val="003E787C"/>
    <w:rsid w:val="003E78A4"/>
    <w:rsid w:val="00411B0D"/>
    <w:rsid w:val="00455195"/>
    <w:rsid w:val="00470FB3"/>
    <w:rsid w:val="00477CB9"/>
    <w:rsid w:val="0048519F"/>
    <w:rsid w:val="004A0A95"/>
    <w:rsid w:val="004A1BC1"/>
    <w:rsid w:val="004A497A"/>
    <w:rsid w:val="004D43FB"/>
    <w:rsid w:val="004E0CCF"/>
    <w:rsid w:val="004E15FB"/>
    <w:rsid w:val="004F52D0"/>
    <w:rsid w:val="004F549F"/>
    <w:rsid w:val="00503A50"/>
    <w:rsid w:val="0051744C"/>
    <w:rsid w:val="0053273A"/>
    <w:rsid w:val="00534A40"/>
    <w:rsid w:val="0054357E"/>
    <w:rsid w:val="00545171"/>
    <w:rsid w:val="00551C5D"/>
    <w:rsid w:val="005938BC"/>
    <w:rsid w:val="005A15B3"/>
    <w:rsid w:val="005A7E2B"/>
    <w:rsid w:val="005B5418"/>
    <w:rsid w:val="005B6867"/>
    <w:rsid w:val="005C0F66"/>
    <w:rsid w:val="005C12E8"/>
    <w:rsid w:val="005F057E"/>
    <w:rsid w:val="005F1C4E"/>
    <w:rsid w:val="006014C8"/>
    <w:rsid w:val="006100D5"/>
    <w:rsid w:val="006141C3"/>
    <w:rsid w:val="006178BF"/>
    <w:rsid w:val="00632AD7"/>
    <w:rsid w:val="0063307C"/>
    <w:rsid w:val="00642218"/>
    <w:rsid w:val="00644D71"/>
    <w:rsid w:val="00645AC3"/>
    <w:rsid w:val="0065142E"/>
    <w:rsid w:val="00655279"/>
    <w:rsid w:val="00655B51"/>
    <w:rsid w:val="00657D92"/>
    <w:rsid w:val="00661EB7"/>
    <w:rsid w:val="006644E8"/>
    <w:rsid w:val="00664793"/>
    <w:rsid w:val="00667654"/>
    <w:rsid w:val="0067271E"/>
    <w:rsid w:val="00690AF6"/>
    <w:rsid w:val="00691D55"/>
    <w:rsid w:val="00693ADF"/>
    <w:rsid w:val="006A0998"/>
    <w:rsid w:val="006B09DD"/>
    <w:rsid w:val="006B220F"/>
    <w:rsid w:val="006B6267"/>
    <w:rsid w:val="006C7A98"/>
    <w:rsid w:val="006D242E"/>
    <w:rsid w:val="006E1007"/>
    <w:rsid w:val="006E369B"/>
    <w:rsid w:val="006E6449"/>
    <w:rsid w:val="006F0DE7"/>
    <w:rsid w:val="006F1D25"/>
    <w:rsid w:val="006F4BEB"/>
    <w:rsid w:val="00701DE2"/>
    <w:rsid w:val="00712783"/>
    <w:rsid w:val="007140D1"/>
    <w:rsid w:val="007158E5"/>
    <w:rsid w:val="00724C8A"/>
    <w:rsid w:val="00724EFA"/>
    <w:rsid w:val="00737915"/>
    <w:rsid w:val="00751FE6"/>
    <w:rsid w:val="00756332"/>
    <w:rsid w:val="007575A4"/>
    <w:rsid w:val="0076355C"/>
    <w:rsid w:val="00767671"/>
    <w:rsid w:val="0077396A"/>
    <w:rsid w:val="007851D0"/>
    <w:rsid w:val="007925D9"/>
    <w:rsid w:val="007C2EE0"/>
    <w:rsid w:val="007C57A2"/>
    <w:rsid w:val="007D1474"/>
    <w:rsid w:val="007D3DE5"/>
    <w:rsid w:val="007E199A"/>
    <w:rsid w:val="007E2D57"/>
    <w:rsid w:val="007E3AA5"/>
    <w:rsid w:val="007E6C4C"/>
    <w:rsid w:val="007F205B"/>
    <w:rsid w:val="007F7D69"/>
    <w:rsid w:val="008057ED"/>
    <w:rsid w:val="008115AB"/>
    <w:rsid w:val="008224AE"/>
    <w:rsid w:val="00824EA7"/>
    <w:rsid w:val="00831726"/>
    <w:rsid w:val="00831F89"/>
    <w:rsid w:val="00842A96"/>
    <w:rsid w:val="008635C4"/>
    <w:rsid w:val="00884F4A"/>
    <w:rsid w:val="008B31BD"/>
    <w:rsid w:val="008B7C81"/>
    <w:rsid w:val="008C36F6"/>
    <w:rsid w:val="008C523D"/>
    <w:rsid w:val="008C7BCF"/>
    <w:rsid w:val="008E22D9"/>
    <w:rsid w:val="008E7EAB"/>
    <w:rsid w:val="008F17FD"/>
    <w:rsid w:val="008F3B3C"/>
    <w:rsid w:val="009167EE"/>
    <w:rsid w:val="00916E26"/>
    <w:rsid w:val="009270FD"/>
    <w:rsid w:val="00944592"/>
    <w:rsid w:val="00961323"/>
    <w:rsid w:val="00973E73"/>
    <w:rsid w:val="0098183C"/>
    <w:rsid w:val="0098326E"/>
    <w:rsid w:val="009963AC"/>
    <w:rsid w:val="009C60BA"/>
    <w:rsid w:val="009D04F7"/>
    <w:rsid w:val="009D0547"/>
    <w:rsid w:val="009D515C"/>
    <w:rsid w:val="009F199A"/>
    <w:rsid w:val="00A079BE"/>
    <w:rsid w:val="00A23485"/>
    <w:rsid w:val="00A23B5B"/>
    <w:rsid w:val="00A32846"/>
    <w:rsid w:val="00A36893"/>
    <w:rsid w:val="00A429BC"/>
    <w:rsid w:val="00A461D6"/>
    <w:rsid w:val="00A655E9"/>
    <w:rsid w:val="00A73F71"/>
    <w:rsid w:val="00A909E5"/>
    <w:rsid w:val="00A920C3"/>
    <w:rsid w:val="00A93C86"/>
    <w:rsid w:val="00AA2AB3"/>
    <w:rsid w:val="00AA4F20"/>
    <w:rsid w:val="00AA5C41"/>
    <w:rsid w:val="00AC368B"/>
    <w:rsid w:val="00AC4926"/>
    <w:rsid w:val="00AD230C"/>
    <w:rsid w:val="00AD28AA"/>
    <w:rsid w:val="00AF1412"/>
    <w:rsid w:val="00AF2C96"/>
    <w:rsid w:val="00AF5A1B"/>
    <w:rsid w:val="00B143D4"/>
    <w:rsid w:val="00B176DB"/>
    <w:rsid w:val="00B200E5"/>
    <w:rsid w:val="00B313DA"/>
    <w:rsid w:val="00B4195B"/>
    <w:rsid w:val="00B41B63"/>
    <w:rsid w:val="00B52094"/>
    <w:rsid w:val="00B60C64"/>
    <w:rsid w:val="00B63F8E"/>
    <w:rsid w:val="00B679CF"/>
    <w:rsid w:val="00B95631"/>
    <w:rsid w:val="00BA6A9C"/>
    <w:rsid w:val="00BB4944"/>
    <w:rsid w:val="00BC697C"/>
    <w:rsid w:val="00BD0D44"/>
    <w:rsid w:val="00BE2C14"/>
    <w:rsid w:val="00BE3AAE"/>
    <w:rsid w:val="00BE4185"/>
    <w:rsid w:val="00C053A0"/>
    <w:rsid w:val="00C05416"/>
    <w:rsid w:val="00C14379"/>
    <w:rsid w:val="00C26DB7"/>
    <w:rsid w:val="00C40932"/>
    <w:rsid w:val="00C50C46"/>
    <w:rsid w:val="00C52D02"/>
    <w:rsid w:val="00C53371"/>
    <w:rsid w:val="00C60A10"/>
    <w:rsid w:val="00C64A0F"/>
    <w:rsid w:val="00C674A9"/>
    <w:rsid w:val="00C71512"/>
    <w:rsid w:val="00C73ECB"/>
    <w:rsid w:val="00CA0C57"/>
    <w:rsid w:val="00CA0F6D"/>
    <w:rsid w:val="00CC16E0"/>
    <w:rsid w:val="00CD328F"/>
    <w:rsid w:val="00CD546D"/>
    <w:rsid w:val="00CE7482"/>
    <w:rsid w:val="00D049DE"/>
    <w:rsid w:val="00D10FFD"/>
    <w:rsid w:val="00D138B3"/>
    <w:rsid w:val="00D15504"/>
    <w:rsid w:val="00D175E6"/>
    <w:rsid w:val="00D17CC7"/>
    <w:rsid w:val="00D17E5E"/>
    <w:rsid w:val="00D200F4"/>
    <w:rsid w:val="00D43595"/>
    <w:rsid w:val="00D4431B"/>
    <w:rsid w:val="00D57485"/>
    <w:rsid w:val="00D627EA"/>
    <w:rsid w:val="00D674E0"/>
    <w:rsid w:val="00D67EBB"/>
    <w:rsid w:val="00D83EC6"/>
    <w:rsid w:val="00D84AD6"/>
    <w:rsid w:val="00D84C84"/>
    <w:rsid w:val="00DA04D9"/>
    <w:rsid w:val="00DA7543"/>
    <w:rsid w:val="00DB2A7B"/>
    <w:rsid w:val="00DC5693"/>
    <w:rsid w:val="00DC6A5A"/>
    <w:rsid w:val="00DC711F"/>
    <w:rsid w:val="00DD4985"/>
    <w:rsid w:val="00DE5BE7"/>
    <w:rsid w:val="00DE7A7A"/>
    <w:rsid w:val="00E00CFA"/>
    <w:rsid w:val="00E02E7F"/>
    <w:rsid w:val="00E15D6C"/>
    <w:rsid w:val="00E277F3"/>
    <w:rsid w:val="00E4168D"/>
    <w:rsid w:val="00E420CF"/>
    <w:rsid w:val="00E560EE"/>
    <w:rsid w:val="00E57CA4"/>
    <w:rsid w:val="00E6387C"/>
    <w:rsid w:val="00EA357C"/>
    <w:rsid w:val="00EA689F"/>
    <w:rsid w:val="00EA6994"/>
    <w:rsid w:val="00EA7BA1"/>
    <w:rsid w:val="00EA7E10"/>
    <w:rsid w:val="00EB5792"/>
    <w:rsid w:val="00EC1A8B"/>
    <w:rsid w:val="00EC381E"/>
    <w:rsid w:val="00EE3F9B"/>
    <w:rsid w:val="00EE4C2F"/>
    <w:rsid w:val="00EF6B42"/>
    <w:rsid w:val="00F038BC"/>
    <w:rsid w:val="00F059E9"/>
    <w:rsid w:val="00F21D98"/>
    <w:rsid w:val="00F3475E"/>
    <w:rsid w:val="00F35643"/>
    <w:rsid w:val="00F562FA"/>
    <w:rsid w:val="00F56389"/>
    <w:rsid w:val="00F61BB5"/>
    <w:rsid w:val="00F64037"/>
    <w:rsid w:val="00F720F5"/>
    <w:rsid w:val="00F849FE"/>
    <w:rsid w:val="00F90EFA"/>
    <w:rsid w:val="00FA26A5"/>
    <w:rsid w:val="00FA51CC"/>
    <w:rsid w:val="00FB282E"/>
    <w:rsid w:val="00FC003C"/>
    <w:rsid w:val="00FC20F6"/>
    <w:rsid w:val="00FC5890"/>
    <w:rsid w:val="00FD29DC"/>
    <w:rsid w:val="00FD373D"/>
    <w:rsid w:val="00FD5EC6"/>
    <w:rsid w:val="00FE5AA9"/>
    <w:rsid w:val="00FF0D22"/>
    <w:rsid w:val="00FF65BC"/>
  </w:rsids>
  <m:mathPr>
    <m:mathFont m:val="Cambria Math"/>
    <m:brkBin m:val="before"/>
    <m:brkBinSub m:val="--"/>
    <m:smallFrac m:val="0"/>
    <m:dispDef/>
    <m:lMargin m:val="0"/>
    <m:rMargin m:val="0"/>
    <m:defJc m:val="centerGroup"/>
    <m:wrapIndent m:val="1440"/>
    <m:intLim m:val="subSup"/>
    <m:naryLim m:val="undOvr"/>
  </m:mathPr>
  <w:themeFontLang w:va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6FF16"/>
  <w15:chartTrackingRefBased/>
  <w15:docId w15:val="{A34D24E0-96EA-4058-9A94-33AE47BDF93C}"/>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78" w:lineRule="auto"/>
      </w:pPr>
    </w:pPrDefault>
    <w:rPrDefault>
      <w:rPr>
        <w:rFonts w:asciiTheme="minorHAnsi" w:hAnsiTheme="minorHAnsi" w:cstheme="minorBidi" w:eastAsiaTheme="minorHAnsi"/>
        <w:kern w:val="2"/>
        <w:sz w:val="24"/>
        <w:szCs w:val="24"/>
        <w14:ligatures w14:val="standardContextual"/>
        <w:lang w:val="pl"/>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5B"/>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205B"/>
    <w:pPr>
      <w:keepNext/>
      <w:keepLines/>
      <w:spacing w:before="360" w:after="80"/>
      <w:outlineLvl w:val="0"/>
    </w:pPr>
    <w:rPr>
      <w:rFonts w:asciiTheme="majorHAnsi" w:hAnsiTheme="majorHAnsi" w:cstheme="majorBidi" w:eastAsiaTheme="majorEastAsia"/>
      <w:color w:val="0F4761" w:themeColor="accent1" w:themeShade="BF"/>
      <w:sz w:val="40"/>
      <w:szCs w:val="40"/>
    </w:rPr>
  </w:style>
  <w:style w:type="paragraph" w:styleId="Heading2">
    <w:name w:val="heading 2"/>
    <w:basedOn w:val="Normal"/>
    <w:next w:val="Normal"/>
    <w:link w:val="Heading2Char"/>
    <w:uiPriority w:val="9"/>
    <w:unhideWhenUsed/>
    <w:qFormat/>
    <w:rsid w:val="007F205B"/>
    <w:pPr>
      <w:keepNext/>
      <w:keepLines/>
      <w:spacing w:before="160" w:after="80"/>
      <w:outlineLvl w:val="1"/>
    </w:pPr>
    <w:rPr>
      <w:rFonts w:asciiTheme="majorHAnsi" w:hAnsiTheme="majorHAnsi" w:cstheme="majorBidi"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7F205B"/>
    <w:pPr>
      <w:keepNext/>
      <w:keepLines/>
      <w:spacing w:before="160" w:after="80"/>
      <w:outlineLvl w:val="2"/>
    </w:pPr>
    <w:rPr>
      <w:rFont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7F205B"/>
    <w:pPr>
      <w:keepNext/>
      <w:keepLines/>
      <w:spacing w:before="80" w:after="40"/>
      <w:outlineLvl w:val="3"/>
    </w:pPr>
    <w:rPr>
      <w:rFont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7F205B"/>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7F205B"/>
    <w:pPr>
      <w:keepNext/>
      <w:keepLines/>
      <w:spacing w:before="40" w:after="0"/>
      <w:outlineLvl w:val="5"/>
    </w:pPr>
    <w:rPr>
      <w:rFont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F205B"/>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7F205B"/>
    <w:pPr>
      <w:keepNext/>
      <w:keepLines/>
      <w:spacing w:after="0"/>
      <w:outlineLvl w:val="7"/>
    </w:pPr>
    <w:rPr>
      <w:rFont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F205B"/>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5B"/>
    <w:rPr>
      <w:rFonts w:asciiTheme="majorHAnsi" w:hAnsiTheme="majorHAnsi" w:cstheme="majorBidi" w:eastAsiaTheme="majorEastAsia"/>
      <w:color w:val="0F4761" w:themeColor="accent1" w:themeShade="BF"/>
      <w:sz w:val="40"/>
      <w:szCs w:val="40"/>
    </w:rPr>
  </w:style>
  <w:style w:type="character" w:customStyle="1" w:styleId="Heading2Char">
    <w:name w:val="Heading 2 Char"/>
    <w:basedOn w:val="DefaultParagraphFont"/>
    <w:link w:val="Heading2"/>
    <w:uiPriority w:val="9"/>
    <w:rsid w:val="007F205B"/>
    <w:rPr>
      <w:rFonts w:asciiTheme="majorHAnsi" w:hAnsiTheme="majorHAnsi" w:cstheme="majorBidi"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7F205B"/>
    <w:rPr>
      <w:rFonts w:cstheme="majorBidi" w:eastAsiaTheme="majorEastAsia"/>
      <w:color w:val="0F4761" w:themeColor="accent1" w:themeShade="BF"/>
      <w:sz w:val="28"/>
      <w:szCs w:val="28"/>
    </w:rPr>
  </w:style>
  <w:style w:type="character" w:customStyle="1" w:styleId="Heading4Char">
    <w:name w:val="Heading 4 Char"/>
    <w:basedOn w:val="DefaultParagraphFont"/>
    <w:link w:val="Heading4"/>
    <w:uiPriority w:val="9"/>
    <w:semiHidden/>
    <w:rsid w:val="007F205B"/>
    <w:rPr>
      <w:rFonts w:cstheme="majorBidi" w:eastAsiaTheme="majorEastAsia"/>
      <w:i/>
      <w:iCs/>
      <w:color w:val="0F4761" w:themeColor="accent1" w:themeShade="BF"/>
    </w:rPr>
  </w:style>
  <w:style w:type="character" w:customStyle="1" w:styleId="Heading5Char">
    <w:name w:val="Heading 5 Char"/>
    <w:basedOn w:val="DefaultParagraphFont"/>
    <w:link w:val="Heading5"/>
    <w:uiPriority w:val="9"/>
    <w:semiHidden/>
    <w:rsid w:val="007F205B"/>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7F205B"/>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rsid w:val="007F205B"/>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7F205B"/>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rsid w:val="007F205B"/>
    <w:rPr>
      <w:rFonts w:cstheme="majorBidi" w:eastAsiaTheme="majorEastAsia"/>
      <w:color w:val="272727" w:themeColor="text1" w:themeTint="D8"/>
    </w:rPr>
  </w:style>
  <w:style w:type="paragraph" w:styleId="Title">
    <w:name w:val="Title"/>
    <w:basedOn w:val="Normal"/>
    <w:next w:val="Normal"/>
    <w:link w:val="TitleChar"/>
    <w:uiPriority w:val="10"/>
    <w:qFormat/>
    <w:rsid w:val="007F205B"/>
    <w:pPr>
      <w:spacing w:after="80" w:line="240" w:lineRule="auto"/>
      <w:contextualSpacing/>
    </w:pPr>
    <w:rPr>
      <w:rFonts w:asciiTheme="majorHAnsi" w:hAnsiTheme="majorHAnsi" w:cstheme="majorBidi" w:eastAsiaTheme="majorEastAsia"/>
      <w:kern w:val="28"/>
      <w:sz w:val="56"/>
      <w:szCs w:val="56"/>
    </w:rPr>
  </w:style>
  <w:style w:type="character" w:customStyle="1" w:styleId="TitleChar">
    <w:name w:val="Title Char"/>
    <w:basedOn w:val="DefaultParagraphFont"/>
    <w:link w:val="Title"/>
    <w:uiPriority w:val="10"/>
    <w:rsid w:val="007F205B"/>
    <w:rPr>
      <w:rFonts w:asciiTheme="majorHAnsi" w:hAnsiTheme="majorHAnsi" w:cstheme="majorBidi" w:eastAsiaTheme="majorEastAsia"/>
      <w:kern w:val="28"/>
      <w:sz w:val="56"/>
      <w:szCs w:val="56"/>
    </w:rPr>
  </w:style>
  <w:style w:type="paragraph" w:styleId="Subtitle">
    <w:name w:val="Subtitle"/>
    <w:basedOn w:val="Normal"/>
    <w:next w:val="Normal"/>
    <w:link w:val="SubtitleChar"/>
    <w:uiPriority w:val="11"/>
    <w:qFormat/>
    <w:rsid w:val="007F205B"/>
    <w:pPr>
      <w:numPr>
        <w:ilvl w:val="1"/>
      </w:numPr>
    </w:pPr>
    <w:rPr>
      <w:rFonts w:cstheme="majorBidi" w:eastAsiaTheme="majorEastAsia"/>
      <w:color w:val="595959" w:themeColor="text1" w:themeTint="A6"/>
      <w:sz w:val="28"/>
      <w:szCs w:val="28"/>
    </w:rPr>
  </w:style>
  <w:style w:type="character" w:customStyle="1" w:styleId="SubtitleChar">
    <w:name w:val="Subtitle Char"/>
    <w:basedOn w:val="DefaultParagraphFont"/>
    <w:link w:val="Subtitle"/>
    <w:uiPriority w:val="11"/>
    <w:rsid w:val="007F205B"/>
    <w:rPr>
      <w:rFonts w:cstheme="majorBidi" w:eastAsiaTheme="majorEastAsia"/>
      <w:color w:val="595959" w:themeColor="text1" w:themeTint="A6"/>
      <w:sz w:val="28"/>
      <w:szCs w:val="28"/>
    </w:rPr>
  </w:style>
  <w:style w:type="paragraph" w:styleId="Quote">
    <w:name w:val="Quote"/>
    <w:basedOn w:val="Normal"/>
    <w:next w:val="Normal"/>
    <w:link w:val="QuoteChar"/>
    <w:uiPriority w:val="29"/>
    <w:qFormat/>
    <w:rsid w:val="007F205B"/>
    <w:pPr>
      <w:spacing w:before="160"/>
      <w:jc w:val="center"/>
    </w:pPr>
    <w:rPr>
      <w:i/>
      <w:iCs/>
      <w:color w:val="404040" w:themeColor="text1" w:themeTint="BF"/>
    </w:rPr>
  </w:style>
  <w:style w:type="character" w:customStyle="1" w:styleId="QuoteChar">
    <w:name w:val="Quote Char"/>
    <w:basedOn w:val="DefaultParagraphFont"/>
    <w:link w:val="Quote"/>
    <w:uiPriority w:val="29"/>
    <w:rsid w:val="007F205B"/>
    <w:rPr>
      <w:i/>
      <w:iCs/>
      <w:color w:val="404040" w:themeColor="text1" w:themeTint="BF"/>
    </w:rPr>
  </w:style>
  <w:style w:type="paragraph" w:styleId="ListParagraph">
    <w:name w:val="List Paragraph"/>
    <w:basedOn w:val="Normal"/>
    <w:uiPriority w:val="34"/>
    <w:qFormat/>
    <w:rsid w:val="007F205B"/>
    <w:pPr>
      <w:ind w:left="720"/>
      <w:contextualSpacing/>
    </w:pPr>
  </w:style>
  <w:style w:type="character" w:styleId="IntenseEmphasis">
    <w:name w:val="Intense Emphasis"/>
    <w:basedOn w:val="DefaultParagraphFont"/>
    <w:uiPriority w:val="21"/>
    <w:qFormat/>
    <w:rsid w:val="007F205B"/>
    <w:rPr>
      <w:i/>
      <w:iCs/>
      <w:color w:val="0F4761" w:themeColor="accent1" w:themeShade="BF"/>
    </w:rPr>
  </w:style>
  <w:style w:type="paragraph" w:styleId="IntenseQuote">
    <w:name w:val="Intense Quote"/>
    <w:basedOn w:val="Normal"/>
    <w:next w:val="Normal"/>
    <w:link w:val="IntenseQuoteChar"/>
    <w:uiPriority w:val="30"/>
    <w:qFormat/>
    <w:rsid w:val="007F2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05B"/>
    <w:rPr>
      <w:i/>
      <w:iCs/>
      <w:color w:val="0F4761" w:themeColor="accent1" w:themeShade="BF"/>
    </w:rPr>
  </w:style>
  <w:style w:type="character" w:styleId="IntenseReference">
    <w:name w:val="Intense Reference"/>
    <w:basedOn w:val="DefaultParagraphFont"/>
    <w:uiPriority w:val="32"/>
    <w:qFormat/>
    <w:rsid w:val="007F205B"/>
    <w:rPr>
      <w:b/>
      <w:bCs/>
      <w:smallCaps/>
      <w:color w:val="0F4761" w:themeColor="accent1" w:themeShade="BF"/>
    </w:rPr>
  </w:style>
  <w:style w:type="table" w:styleId="TableGrid">
    <w:name w:val="Table Grid"/>
    <w:basedOn w:val="TableNormal"/>
    <w:uiPriority w:val="39"/>
    <w:rsid w:val="007F205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2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5B"/>
    <w:rPr>
      <w:kern w:val="0"/>
      <w:sz w:val="20"/>
      <w:szCs w:val="20"/>
      <w14:ligatures w14:val="none"/>
    </w:rPr>
  </w:style>
  <w:style w:type="character" w:styleId="FootnoteReference">
    <w:name w:val="footnote reference"/>
    <w:basedOn w:val="DefaultParagraphFont"/>
    <w:uiPriority w:val="99"/>
    <w:semiHidden/>
    <w:unhideWhenUsed/>
    <w:rsid w:val="007F205B"/>
    <w:rPr>
      <w:vertAlign w:val="superscript"/>
    </w:rPr>
  </w:style>
  <w:style w:type="paragraph" w:styleId="Header">
    <w:name w:val="header"/>
    <w:basedOn w:val="Normal"/>
    <w:link w:val="HeaderChar"/>
    <w:uiPriority w:val="99"/>
    <w:unhideWhenUsed/>
    <w:rsid w:val="007F2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05B"/>
    <w:rPr>
      <w:kern w:val="0"/>
      <w:sz w:val="22"/>
      <w:szCs w:val="22"/>
      <w14:ligatures w14:val="none"/>
    </w:rPr>
  </w:style>
  <w:style w:type="paragraph" w:styleId="Footer">
    <w:name w:val="footer"/>
    <w:basedOn w:val="Normal"/>
    <w:link w:val="FooterChar"/>
    <w:uiPriority w:val="99"/>
    <w:unhideWhenUsed/>
    <w:rsid w:val="007F2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05B"/>
    <w:rPr>
      <w:kern w:val="0"/>
      <w:sz w:val="22"/>
      <w:szCs w:val="22"/>
      <w14:ligatures w14:val="none"/>
    </w:rPr>
  </w:style>
  <w:style w:type="paragraph" w:styleId="BodyText">
    <w:name w:val="Body Text"/>
    <w:basedOn w:val="Normal"/>
    <w:link w:val="BodyTextChar"/>
    <w:uiPriority w:val="1"/>
    <w:qFormat/>
    <w:rsid w:val="007F205B"/>
    <w:pPr>
      <w:widowControl w:val="0"/>
      <w:autoSpaceDE w:val="0"/>
      <w:autoSpaceDN w:val="0"/>
      <w:spacing w:after="0" w:line="240" w:lineRule="auto"/>
      <w:jc w:val="both"/>
    </w:pPr>
    <w:rPr>
      <w:rFonts w:ascii="Times New Roman" w:hAnsi="Times New Roman" w:cs="Times New Roman" w:eastAsia="Times New Roman"/>
      <w:sz w:val="24"/>
      <w:szCs w:val="20"/>
    </w:rPr>
  </w:style>
  <w:style w:type="character" w:customStyle="1" w:styleId="BodyTextChar">
    <w:name w:val="Body Text Char"/>
    <w:basedOn w:val="DefaultParagraphFont"/>
    <w:link w:val="BodyText"/>
    <w:uiPriority w:val="1"/>
    <w:rsid w:val="007F205B"/>
    <w:rPr>
      <w:rFonts w:ascii="Times New Roman" w:hAnsi="Times New Roman" w:cs="Times New Roman" w:eastAsia="Times New Roman"/>
      <w:kern w:val="0"/>
      <w:szCs w:val="20"/>
      <w14:ligatures w14:val="none"/>
    </w:rPr>
  </w:style>
  <w:style w:type="paragraph" w:customStyle="1" w:styleId="P68B1DB1-Title1">
    <w:name w:val="P68B1DB1-Title1"/>
    <w:basedOn w:val="Title"/>
    <w:rsid w:val="007F205B"/>
    <w:pPr>
      <w:widowControl w:val="0"/>
      <w:autoSpaceDE w:val="0"/>
      <w:autoSpaceDN w:val="0"/>
      <w:spacing w:before="59" w:after="0"/>
      <w:ind w:left="139"/>
      <w:contextualSpacing w:val="0"/>
      <w:jc w:val="center"/>
    </w:pPr>
    <w:rPr>
      <w:rFonts w:ascii="Times New Roman" w:hAnsi="Times New Roman" w:cs="Times New Roman" w:eastAsia="Times New Roman"/>
      <w:b/>
      <w:kern w:val="0"/>
      <w:sz w:val="32"/>
      <w:szCs w:val="20"/>
      <w:u w:val="single" w:color="000000"/>
    </w:rPr>
  </w:style>
  <w:style w:type="paragraph" w:customStyle="1" w:styleId="P68B1DB1-Normal3">
    <w:name w:val="P68B1DB1-Normal3"/>
    <w:basedOn w:val="Normal"/>
    <w:rsid w:val="007F205B"/>
    <w:pPr>
      <w:widowControl w:val="0"/>
      <w:autoSpaceDE w:val="0"/>
      <w:autoSpaceDN w:val="0"/>
      <w:spacing w:after="0" w:line="240" w:lineRule="auto"/>
    </w:pPr>
    <w:rPr>
      <w:rFonts w:ascii="Times New Roman" w:hAnsi="Times New Roman" w:cs="Times New Roman" w:eastAsia="Times New Roman"/>
      <w:b/>
      <w:smallCaps/>
      <w:sz w:val="24"/>
      <w:szCs w:val="20"/>
    </w:rPr>
  </w:style>
  <w:style w:type="paragraph" w:customStyle="1" w:styleId="P68B1DB1-BodyText4">
    <w:name w:val="P68B1DB1-BodyText4"/>
    <w:basedOn w:val="BodyText"/>
    <w:rsid w:val="007F205B"/>
    <w:rPr>
      <w:sz w:val="20"/>
    </w:rPr>
  </w:style>
  <w:style w:type="character" w:styleId="Hyperlink">
    <w:name w:val="Hyperlink"/>
    <w:basedOn w:val="DefaultParagraphFont"/>
    <w:uiPriority w:val="99"/>
    <w:unhideWhenUsed/>
    <w:rsid w:val="008E22D9"/>
    <w:rPr>
      <w:color w:val="467886" w:themeColor="hyperlink"/>
      <w:u w:val="single"/>
    </w:rPr>
  </w:style>
  <w:style w:type="paragraph" w:customStyle="1" w:styleId="P68B1DB1-ListParagraph2">
    <w:name w:val="P68B1DB1-ListParagraph2"/>
    <w:basedOn w:val="ListParagraph"/>
    <w:rsid w:val="004E15FB"/>
    <w:pPr>
      <w:widowControl w:val="0"/>
      <w:autoSpaceDE w:val="0"/>
      <w:autoSpaceDN w:val="0"/>
      <w:spacing w:after="0" w:line="240" w:lineRule="auto"/>
      <w:ind w:left="396" w:right="111" w:hanging="142"/>
      <w:contextualSpacing w:val="0"/>
      <w:jc w:val="both"/>
    </w:pPr>
    <w:rPr>
      <w:rFonts w:ascii="Times New Roman" w:hAnsi="Times New Roman" w:cs="Times New Roman" w:eastAsia="Times New Roman"/>
      <w:sz w:val="24"/>
      <w:szCs w:val="20"/>
    </w:rPr>
  </w:style>
  <w:style w:type="paragraph" w:customStyle="1" w:styleId="P68B1DB1-Heading15">
    <w:name w:val="P68B1DB1-Heading15"/>
    <w:basedOn w:val="Heading1"/>
    <w:rsid w:val="00AA4F20"/>
    <w:pPr>
      <w:keepNext w:val="0"/>
      <w:keepLines w:val="0"/>
      <w:widowControl w:val="0"/>
      <w:autoSpaceDE w:val="0"/>
      <w:autoSpaceDN w:val="0"/>
      <w:spacing w:before="0" w:after="0" w:line="240" w:lineRule="auto"/>
      <w:ind w:left="446"/>
    </w:pPr>
    <w:rPr>
      <w:rFonts w:ascii="Times New Roman" w:hAnsi="Times New Roman" w:cs="Times New Roman" w:eastAsia="Times New Roman"/>
      <w:b/>
      <w:color w:val="auto"/>
      <w:sz w:val="24"/>
      <w:szCs w:val="20"/>
      <w:u w:val="single"/>
    </w:rPr>
  </w:style>
  <w:style w:type="character" w:styleId="CommentReference">
    <w:name w:val="annotation reference"/>
    <w:basedOn w:val="DefaultParagraphFont"/>
    <w:uiPriority w:val="99"/>
    <w:semiHidden/>
    <w:unhideWhenUsed/>
    <w:rsid w:val="00AC368B"/>
    <w:rPr>
      <w:sz w:val="16"/>
      <w:szCs w:val="16"/>
    </w:rPr>
  </w:style>
  <w:style w:type="paragraph" w:styleId="CommentText">
    <w:name w:val="annotation text"/>
    <w:basedOn w:val="Normal"/>
    <w:link w:val="CommentTextChar"/>
    <w:uiPriority w:val="99"/>
    <w:unhideWhenUsed/>
    <w:rsid w:val="00AC368B"/>
    <w:pPr>
      <w:spacing w:line="240" w:lineRule="auto"/>
    </w:pPr>
    <w:rPr>
      <w:sz w:val="20"/>
      <w:szCs w:val="20"/>
    </w:rPr>
  </w:style>
  <w:style w:type="character" w:customStyle="1" w:styleId="CommentTextChar">
    <w:name w:val="Comment Text Char"/>
    <w:basedOn w:val="DefaultParagraphFont"/>
    <w:link w:val="CommentText"/>
    <w:uiPriority w:val="99"/>
    <w:rsid w:val="00AC368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368B"/>
    <w:rPr>
      <w:b/>
      <w:bCs/>
    </w:rPr>
  </w:style>
  <w:style w:type="character" w:customStyle="1" w:styleId="CommentSubjectChar">
    <w:name w:val="Comment Subject Char"/>
    <w:basedOn w:val="CommentTextChar"/>
    <w:link w:val="CommentSubject"/>
    <w:uiPriority w:val="99"/>
    <w:semiHidden/>
    <w:rsid w:val="00AC368B"/>
    <w:rPr>
      <w:b/>
      <w:bCs/>
      <w:kern w:val="0"/>
      <w:sz w:val="20"/>
      <w:szCs w:val="20"/>
      <w14:ligatures w14:val="none"/>
    </w:rPr>
  </w:style>
  <w:style w:type="character" w:styleId="UnresolvedMention">
    <w:name w:val="Unresolved Mention"/>
    <w:basedOn w:val="DefaultParagraphFont"/>
    <w:uiPriority w:val="99"/>
    <w:semiHidden/>
    <w:unhideWhenUsed/>
    <w:rsid w:val="00D4431B"/>
    <w:rPr>
      <w:color w:val="605E5C"/>
      <w:shd w:val="clear" w:color="auto" w:fill="E1DFDD"/>
    </w:rPr>
  </w:style>
  <w:style w:type="character" w:styleId="FollowedHyperlink">
    <w:name w:val="FollowedHyperlink"/>
    <w:basedOn w:val="DefaultParagraphFont"/>
    <w:uiPriority w:val="99"/>
    <w:semiHidden/>
    <w:unhideWhenUsed/>
    <w:rsid w:val="00973E73"/>
    <w:rPr>
      <w:color w:val="96607D" w:themeColor="followedHyperlink"/>
      <w:u w:val="single"/>
    </w:rPr>
  </w:style>
  <w:style w:type="paragraph" w:styleId="Revision">
    <w:name w:val="Revision"/>
    <w:hidden/>
    <w:uiPriority w:val="99"/>
    <w:semiHidden/>
    <w:rsid w:val="008F17FD"/>
    <w:pPr>
      <w:spacing w:after="0" w:line="240" w:lineRule="auto"/>
    </w:pPr>
    <w:rPr>
      <w:kern w:val="0"/>
      <w:sz w:val="22"/>
      <w:szCs w:val="22"/>
      <w14:ligatures w14:val="none"/>
    </w:rPr>
  </w:style>
  <w:style w:type="paragraph" w:customStyle="1" w:styleId="P68B1DB1-BodyText1">
    <w:name w:val="P68B1DB1-BodyText1"/>
    <w:basedOn w:val="BodyText"/>
    <w:rPr>
      <w:sz w:val="20"/>
      <w:u w:val="single"/>
    </w:rPr>
  </w:style>
  <w:style w:type="paragraph" w:customStyle="1" w:styleId="P68B1DB1-BodyText2">
    <w:name w:val="P68B1DB1-BodyText2"/>
    <w:basedOn w:val="BodyText"/>
    <w:rPr>
      <w:i/>
      <w:sz w:val="16"/>
      <w:szCs w:val="16"/>
    </w:rPr>
  </w:style>
  <w:style w:type="paragraph" w:customStyle="1" w:styleId="P68B1DB1-Normal4">
    <w:name w:val="P68B1DB1-Normal4"/>
    <w:basedOn w:val="Normal"/>
    <w:rPr>
      <w:sz w:val="20"/>
    </w:rPr>
  </w:style>
  <w:style w:type="paragraph" w:customStyle="1" w:styleId="P68B1DB1-Normal5">
    <w:name w:val="P68B1DB1-Normal5"/>
    <w:basedOn w:val="Normal"/>
    <w:rPr>
      <w:rFonts w:ascii="Times New Roman" w:hAnsi="Times New Roman" w:cs="Times New Roman"/>
      <w:b/>
      <w:sz w:val="24"/>
      <w:szCs w:val="24"/>
      <w:u w:val="single"/>
    </w:rPr>
  </w:style>
  <w:style w:type="paragraph" w:customStyle="1" w:styleId="P68B1DB1-Normal6">
    <w:name w:val="P68B1DB1-Normal6"/>
    <w:basedOn w:val="Normal"/>
    <w:rPr>
      <w:rFonts w:ascii="Times New Roman" w:hAnsi="Times New Roman" w:cs="Times New Roman"/>
      <w:b/>
      <w:sz w:val="24"/>
      <w:szCs w:val="24"/>
    </w:rPr>
  </w:style>
  <w:style w:type="paragraph" w:customStyle="1" w:styleId="P68B1DB1-Normal7">
    <w:name w:val="P68B1DB1-Normal7"/>
    <w:basedOn w:val="Normal"/>
    <w:rPr>
      <w:rFonts w:ascii="Times New Roman" w:hAnsi="Times New Roman" w:cs="Times New Roman"/>
      <w:sz w:val="24"/>
      <w:szCs w:val="24"/>
    </w:rPr>
  </w:style>
  <w:style w:type="paragraph" w:customStyle="1" w:styleId="P68B1DB1-Normal8">
    <w:name w:val="P68B1DB1-Normal8"/>
    <w:basedOn w:val="Normal"/>
    <w:rPr>
      <w:rFonts w:ascii="Times New Roman" w:hAnsi="Times New Roman" w:cs="Times New Roman" w:eastAsia="Times New Roman"/>
      <w:sz w:val="24"/>
      <w:szCs w:val="24"/>
    </w:rPr>
  </w:style>
  <w:style w:type="paragraph" w:customStyle="1" w:styleId="P68B1DB1-P68B1DB1-Normal39">
    <w:name w:val="P68B1DB1-P68B1DB1-Normal39"/>
    <w:basedOn w:val="P68B1DB1-Normal3"/>
    <w:rPr>
      <w:sz w:val="28"/>
      <w:szCs w:val="22"/>
    </w:rPr>
  </w:style>
  <w:style w:type="paragraph" w:customStyle="1" w:styleId="P68B1DB1-BodyText10">
    <w:name w:val="P68B1DB1-BodyText10"/>
    <w:basedOn w:val="BodyText"/>
    <w:rPr>
      <w:b/>
    </w:rPr>
  </w:style>
  <w:style w:type="paragraph" w:customStyle="1" w:styleId="P68B1DB1-BodyText11">
    <w:name w:val="P68B1DB1-BodyText11"/>
    <w:basedOn w:val="BodyText"/>
    <w:rPr>
      <w:i/>
    </w:rPr>
  </w:style>
  <w:style w:type="paragraph" w:customStyle="1" w:styleId="P68B1DB1-Normal12">
    <w:name w:val="P68B1DB1-Normal12"/>
    <w:basedOn w:val="Normal"/>
    <w:rPr>
      <w:rFonts w:ascii="Times New Roman" w:hAnsi="Times New Roman" w:cs="Times New Roman"/>
      <w:i/>
      <w:sz w:val="24"/>
      <w:szCs w:val="24"/>
    </w:rPr>
  </w:style>
  <w:style w:type="paragraph" w:customStyle="1" w:styleId="P68B1DB1-Normal13">
    <w:name w:val="P68B1DB1-Normal13"/>
    <w:basedOn w:val="Normal"/>
    <w:rPr>
      <w:rFonts w:ascii="Times New Roman" w:hAnsi="Times New Roman" w:cs="Times New Roman" w:eastAsia="Times New Roman"/>
      <w:b/>
      <w:i/>
      <w:szCs w:val="20"/>
    </w:rPr>
  </w:style>
  <w:style w:type="paragraph" w:customStyle="1" w:styleId="P68B1DB1-Normal14">
    <w:name w:val="P68B1DB1-Normal14"/>
    <w:basedOn w:val="Normal"/>
    <w:rPr>
      <w:rFonts w:ascii="Times New Roman" w:hAnsi="Times New Roman" w:cs="Times New Roman" w:eastAsia="Times New Roman"/>
      <w:szCs w:val="20"/>
    </w:rPr>
  </w:style>
  <w:style w:type="paragraph" w:customStyle="1" w:styleId="P68B1DB1-Normal15">
    <w:name w:val="P68B1DB1-Normal15"/>
    <w:basedOn w:val="Normal"/>
    <w:rPr>
      <w:rFonts w:ascii="Times New Roman" w:hAnsi="Times New Roman" w:cs="Times New Roman" w:eastAsia="Times New Roman"/>
      <w:i/>
      <w:sz w:val="20"/>
      <w:szCs w:val="16"/>
    </w:rPr>
  </w:style>
  <w:style w:type="paragraph" w:customStyle="1" w:styleId="P68B1DB1-Normal16">
    <w:name w:val="P68B1DB1-Normal16"/>
    <w:basedOn w:val="Normal"/>
    <w:rPr>
      <w:rFonts w:ascii="Times New Roman" w:hAnsi="Times New Roman" w:cs="Times New Roman" w:eastAsia="Times New Roman"/>
      <w:sz w:val="20"/>
      <w:szCs w:val="16"/>
    </w:rPr>
  </w:style>
  <w:style w:type="paragraph" w:customStyle="1" w:styleId="P68B1DB1-Normal17">
    <w:name w:val="P68B1DB1-Normal17"/>
    <w:basedOn w:val="Normal"/>
    <w:rPr>
      <w:rFonts w:ascii="Times New Roman" w:hAnsi="Times New Roman" w:cs="Times New Roman" w:eastAsia="Times New Roman"/>
    </w:rPr>
  </w:style>
  <w:style w:type="paragraph" w:customStyle="1" w:styleId="P68B1DB1-Normal18">
    <w:name w:val="P68B1DB1-Normal18"/>
    <w:basedOn w:val="Normal"/>
    <w:rPr>
      <w:rFonts w:ascii="Times New Roman" w:hAnsi="Times New Roman" w:cs="Times New Roman" w:eastAsia="Times New Roman"/>
      <w:i/>
      <w:sz w:val="20"/>
      <w:szCs w:val="20"/>
    </w:rPr>
  </w:style>
  <w:style w:type="paragraph" w:customStyle="1" w:styleId="P68B1DB1-BodyText19">
    <w:name w:val="P68B1DB1-BodyText19"/>
    <w:basedOn w:val="BodyText"/>
    <w:rPr>
      <w:i/>
      <w:sz w:val="20"/>
    </w:rPr>
  </w:style>
  <w:style w:type="paragraph" w:customStyle="1" w:styleId="P68B1DB1-Normal20">
    <w:name w:val="P68B1DB1-Normal20"/>
    <w:basedOn w:val="Normal"/>
    <w:rPr>
      <w:rFonts w:ascii="Times New Roman" w:hAnsi="Times New Roman" w:cs="Times New Roman"/>
      <w:i/>
      <w:sz w:val="20"/>
      <w:szCs w:val="20"/>
    </w:rPr>
  </w:style>
  <w:style w:type="paragraph" w:customStyle="1" w:styleId="P68B1DB1-ListParagraph21">
    <w:name w:val="P68B1DB1-ListParagraph21"/>
    <w:basedOn w:val="ListParagraph"/>
    <w:rPr>
      <w:rFonts w:ascii="Times New Roman" w:hAnsi="Times New Roman" w:cs="Times New Roman"/>
      <w:i/>
      <w:sz w:val="24"/>
      <w:szCs w:val="24"/>
    </w:rPr>
  </w:style>
  <w:style w:type="paragraph" w:customStyle="1" w:styleId="P68B1DB1-BodyText22">
    <w:name w:val="P68B1DB1-BodyText22"/>
    <w:basedOn w:val="BodyText"/>
    <w:rPr>
      <w:sz w:val="22"/>
      <w:szCs w:val="18"/>
    </w:rPr>
  </w:style>
  <w:style w:type="paragraph" w:customStyle="1" w:styleId="P68B1DB1-BodyText23">
    <w:name w:val="P68B1DB1-BodyText23"/>
    <w:basedOn w:val="BodyText"/>
    <w:rPr>
      <w:i/>
      <w:szCs w:val="24"/>
    </w:rPr>
  </w:style>
  <w:style w:type="paragraph" w:customStyle="1" w:styleId="P68B1DB1-BodyText24">
    <w:name w:val="P68B1DB1-BodyText24"/>
    <w:basedOn w:val="BodyText"/>
    <w:rPr>
      <w:szCs w:val="24"/>
    </w:rPr>
  </w:style>
  <w:style w:type="paragraph" w:customStyle="1" w:styleId="P68B1DB1-BodyText25">
    <w:name w:val="P68B1DB1-BodyText25"/>
    <w:basedOn w:val="BodyText"/>
    <w:rPr>
      <w:i/>
      <w:sz w:val="20"/>
      <w:szCs w:val="16"/>
    </w:rPr>
  </w:style>
  <w:style w:type="paragraph" w:customStyle="1" w:styleId="P68B1DB1-P68B1DB1-ListParagraph226">
    <w:name w:val="P68B1DB1-P68B1DB1-ListParagraph226"/>
    <w:basedOn w:val="P68B1DB1-ListParagraph2"/>
    <w:rPr>
      <w:i/>
      <w:sz w:val="20"/>
      <w:szCs w:val="16"/>
    </w:rPr>
  </w:style>
  <w:style w:type="paragraph" w:customStyle="1" w:styleId="P68B1DB1-ListParagraph27">
    <w:name w:val="P68B1DB1-ListParagraph27"/>
    <w:basedOn w:val="ListParagraph"/>
    <w:rPr>
      <w:rFonts w:ascii="Times New Roman" w:hAnsi="Times New Roman" w:cs="Times New Roman" w:eastAsia="Times New Roman"/>
      <w:b/>
      <w:sz w:val="20"/>
      <w:szCs w:val="16"/>
    </w:rPr>
  </w:style>
  <w:style w:type="paragraph" w:customStyle="1" w:styleId="P68B1DB1-Normal28">
    <w:name w:val="P68B1DB1-Normal28"/>
    <w:basedOn w:val="Normal"/>
    <w:rPr>
      <w:rFonts w:ascii="Times New Roman" w:hAnsi="Times New Roman" w:cs="Times New Roman" w:eastAsia="Times New Roman"/>
      <w:i/>
      <w:sz w:val="24"/>
      <w:szCs w:val="24"/>
    </w:rPr>
  </w:style>
  <w:style w:type="paragraph" w:customStyle="1" w:styleId="P68B1DB1-Normal29">
    <w:name w:val="P68B1DB1-Normal29"/>
    <w:basedOn w:val="Normal"/>
    <w:rPr>
      <w:rFonts w:ascii="Times New Roman" w:hAnsi="Times New Roman" w:cs="Times New Roman"/>
      <w:sz w:val="20"/>
      <w:szCs w:val="20"/>
    </w:rPr>
  </w:style>
  <w:style w:type="paragraph" w:customStyle="1" w:styleId="P68B1DB1-ListParagraph30">
    <w:name w:val="P68B1DB1-ListParagraph30"/>
    <w:basedOn w:val="ListParagraph"/>
    <w:rPr>
      <w:rFonts w:ascii="Times New Roman" w:hAnsi="Times New Roman" w:cs="Times New Roman"/>
      <w:b/>
      <w:sz w:val="24"/>
      <w:szCs w:val="24"/>
    </w:rPr>
  </w:style>
  <w:style w:type="paragraph" w:customStyle="1" w:styleId="P68B1DB1-Normal31">
    <w:name w:val="P68B1DB1-Normal31"/>
    <w:basedOn w:val="Normal"/>
    <w:rPr>
      <w:rFonts w:ascii="Times New Roman" w:hAnsi="Times New Roman" w:cs="Times New Roman"/>
      <w:i/>
      <w:sz w:val="20"/>
      <w:szCs w:val="16"/>
    </w:rPr>
  </w:style>
  <w:style w:type="paragraph" w:customStyle="1" w:styleId="P68B1DB1-Normal32">
    <w:name w:val="P68B1DB1-Normal32"/>
    <w:basedOn w:val="Normal"/>
    <w:rPr>
      <w:rFonts w:ascii="Times New Roman" w:hAnsi="Times New Roman" w:cs="Times New Roman" w:eastAsia="Times New Roman"/>
      <w:sz w:val="20"/>
      <w:szCs w:val="20"/>
    </w:rPr>
  </w:style>
  <w:style w:type="paragraph" w:customStyle="1" w:styleId="P68B1DB1-Normal33">
    <w:name w:val="P68B1DB1-Normal33"/>
    <w:basedOn w:val="Normal"/>
    <w:rPr>
      <w:sz w:val="20"/>
      <w:szCs w:val="16"/>
    </w:rPr>
  </w:style>
  <w:style w:type="paragraph" w:customStyle="1" w:styleId="P68B1DB1-BodyText34">
    <w:name w:val="P68B1DB1-BodyText34"/>
    <w:basedOn w:val="BodyText"/>
    <w:rPr>
      <w:b/>
      <w:sz w:val="28"/>
      <w:szCs w:val="22"/>
    </w:rPr>
  </w:style>
  <w:style w:type="paragraph" w:styleId="TOCHeading">
    <w:name w:val="TOC Heading"/>
    <w:basedOn w:val="Heading1"/>
    <w:next w:val="Normal"/>
    <w:uiPriority w:val="39"/>
    <w:unhideWhenUsed/>
    <w:qFormat/>
    <w:rsid w:val="00FF0D22"/>
    <w:pPr>
      <w:spacing w:before="240" w:after="0"/>
      <w:outlineLvl w:val="9"/>
    </w:pPr>
    <w:rPr>
      <w:sz w:val="32"/>
      <w:szCs w:val="32"/>
    </w:rPr>
  </w:style>
  <w:style w:type="paragraph" w:styleId="TOC2">
    <w:name w:val="toc 2"/>
    <w:basedOn w:val="Normal"/>
    <w:next w:val="Normal"/>
    <w:autoRedefine/>
    <w:uiPriority w:val="39"/>
    <w:unhideWhenUsed/>
    <w:rsid w:val="00FF0D22"/>
    <w:pPr>
      <w:spacing w:after="0"/>
      <w:ind w:left="220"/>
    </w:pPr>
    <w:rPr>
      <w:smallCaps/>
      <w:sz w:val="20"/>
      <w:szCs w:val="20"/>
    </w:rPr>
  </w:style>
  <w:style w:type="paragraph" w:styleId="TOC1">
    <w:name w:val="toc 1"/>
    <w:basedOn w:val="Normal"/>
    <w:next w:val="Normal"/>
    <w:autoRedefine/>
    <w:uiPriority w:val="39"/>
    <w:unhideWhenUsed/>
    <w:rsid w:val="00FF0D22"/>
    <w:pPr>
      <w:spacing w:before="120" w:after="120"/>
    </w:pPr>
    <w:rPr>
      <w:b/>
      <w:bCs/>
      <w:caps/>
      <w:sz w:val="20"/>
      <w:szCs w:val="20"/>
    </w:rPr>
  </w:style>
  <w:style w:type="paragraph" w:styleId="TOC3">
    <w:name w:val="toc 3"/>
    <w:basedOn w:val="Normal"/>
    <w:next w:val="Normal"/>
    <w:autoRedefine/>
    <w:uiPriority w:val="39"/>
    <w:unhideWhenUsed/>
    <w:rsid w:val="00FF0D22"/>
    <w:pPr>
      <w:spacing w:after="0"/>
      <w:ind w:left="440"/>
    </w:pPr>
    <w:rPr>
      <w:i/>
      <w:iCs/>
      <w:sz w:val="20"/>
      <w:szCs w:val="20"/>
    </w:rPr>
  </w:style>
  <w:style w:type="paragraph" w:styleId="TOC4">
    <w:name w:val="toc 4"/>
    <w:basedOn w:val="Normal"/>
    <w:next w:val="Normal"/>
    <w:autoRedefine/>
    <w:uiPriority w:val="39"/>
    <w:unhideWhenUsed/>
    <w:rsid w:val="00FF0D22"/>
    <w:pPr>
      <w:spacing w:after="0"/>
      <w:ind w:left="660"/>
    </w:pPr>
    <w:rPr>
      <w:sz w:val="18"/>
      <w:szCs w:val="18"/>
    </w:rPr>
  </w:style>
  <w:style w:type="paragraph" w:styleId="TOC5">
    <w:name w:val="toc 5"/>
    <w:basedOn w:val="Normal"/>
    <w:next w:val="Normal"/>
    <w:autoRedefine/>
    <w:uiPriority w:val="39"/>
    <w:unhideWhenUsed/>
    <w:rsid w:val="00FF0D22"/>
    <w:pPr>
      <w:spacing w:after="0"/>
      <w:ind w:left="880"/>
    </w:pPr>
    <w:rPr>
      <w:sz w:val="18"/>
      <w:szCs w:val="18"/>
    </w:rPr>
  </w:style>
  <w:style w:type="paragraph" w:styleId="TOC6">
    <w:name w:val="toc 6"/>
    <w:basedOn w:val="Normal"/>
    <w:next w:val="Normal"/>
    <w:autoRedefine/>
    <w:uiPriority w:val="39"/>
    <w:unhideWhenUsed/>
    <w:rsid w:val="00FF0D22"/>
    <w:pPr>
      <w:spacing w:after="0"/>
      <w:ind w:left="1100"/>
    </w:pPr>
    <w:rPr>
      <w:sz w:val="18"/>
      <w:szCs w:val="18"/>
    </w:rPr>
  </w:style>
  <w:style w:type="paragraph" w:styleId="TOC7">
    <w:name w:val="toc 7"/>
    <w:basedOn w:val="Normal"/>
    <w:next w:val="Normal"/>
    <w:autoRedefine/>
    <w:uiPriority w:val="39"/>
    <w:unhideWhenUsed/>
    <w:rsid w:val="00FF0D22"/>
    <w:pPr>
      <w:spacing w:after="0"/>
      <w:ind w:left="1320"/>
    </w:pPr>
    <w:rPr>
      <w:sz w:val="18"/>
      <w:szCs w:val="18"/>
    </w:rPr>
  </w:style>
  <w:style w:type="paragraph" w:styleId="TOC8">
    <w:name w:val="toc 8"/>
    <w:basedOn w:val="Normal"/>
    <w:next w:val="Normal"/>
    <w:autoRedefine/>
    <w:uiPriority w:val="39"/>
    <w:unhideWhenUsed/>
    <w:rsid w:val="00FF0D22"/>
    <w:pPr>
      <w:spacing w:after="0"/>
      <w:ind w:left="1540"/>
    </w:pPr>
    <w:rPr>
      <w:sz w:val="18"/>
      <w:szCs w:val="18"/>
    </w:rPr>
  </w:style>
  <w:style w:type="paragraph" w:styleId="TOC9">
    <w:name w:val="toc 9"/>
    <w:basedOn w:val="Normal"/>
    <w:next w:val="Normal"/>
    <w:autoRedefine/>
    <w:uiPriority w:val="39"/>
    <w:unhideWhenUsed/>
    <w:rsid w:val="00FF0D22"/>
    <w:pPr>
      <w:spacing w:after="0"/>
      <w:ind w:left="1760"/>
    </w:pPr>
    <w:rPr>
      <w:sz w:val="18"/>
      <w:szCs w:val="18"/>
    </w:rPr>
  </w:style>
  <w:style w:type="paragraph" w:styleId="P68B1DB1-P68B1DB1-Title11">
    <w:name w:val="P68B1DB1-P68B1DB1-Title11"/>
    <w:basedOn w:val="P68B1DB1-Title1"/>
    <w:rPr>
      <w:i/>
      <w:color w:val="FF0000"/>
      <w:sz w:val="24"/>
      <w:szCs w:val="24"/>
      <w:u w:val="none"/>
    </w:rPr>
  </w:style>
  <w:style w:type="paragraph" w:styleId="P68B1DB1-TOC12">
    <w:name w:val="P68B1DB1-TOC12"/>
    <w:basedOn w:val="TOC1"/>
    <w:rPr>
      <w:rFonts w:ascii="Times New Roman" w:hAnsi="Times New Roman" w:cs="Times New Roman"/>
    </w:rPr>
  </w:style>
  <w:style w:type="paragraph" w:styleId="P68B1DB1-Heading13">
    <w:name w:val="P68B1DB1-Heading13"/>
    <w:basedOn w:val="Heading1"/>
    <w:rPr>
      <w:color w:val="auto"/>
    </w:rPr>
  </w:style>
  <w:style w:type="paragraph" w:styleId="P68B1DB1-Heading24">
    <w:name w:val="P68B1DB1-Heading24"/>
    <w:basedOn w:val="Heading2"/>
    <w:rPr>
      <w:color w:val="auto"/>
    </w:rPr>
  </w:style>
  <w:style w:type="paragraph" w:styleId="P68B1DB1-P68B1DB1-Normal135">
    <w:name w:val="P68B1DB1-P68B1DB1-Normal135"/>
    <w:basedOn w:val="P68B1DB1-Normal13"/>
    <w:rPr>
      <w:b w:val="0"/>
      <w:i w:val="0"/>
    </w:rPr>
  </w:style>
  <w:style w:type="paragraph" w:styleId="P68B1DB1-P68B1DB1-Normal146">
    <w:name w:val="P68B1DB1-P68B1DB1-Normal146"/>
    <w:basedOn w:val="P68B1DB1-Normal14"/>
    <w:rPr>
      <w:i/>
      <w:sz w:val="20"/>
    </w:rPr>
  </w:style>
  <w:style w:type="paragraph" w:styleId="P68B1DB1-P68B1DB1-Normal147">
    <w:name w:val="P68B1DB1-P68B1DB1-Normal147"/>
    <w:basedOn w:val="P68B1DB1-Normal14"/>
    <w:rPr>
      <w:i/>
      <w:sz w:val="20"/>
      <w:szCs w:val="18"/>
    </w:rPr>
  </w:style>
  <w:style w:type="paragraph" w:styleId="P68B1DB1-P68B1DB1-Normal168">
    <w:name w:val="P68B1DB1-P68B1DB1-Normal168"/>
    <w:basedOn w:val="P68B1DB1-Normal16"/>
    <w:rPr>
      <w:b/>
      <w:i/>
      <w:sz w:val="22"/>
      <w:szCs w:val="18"/>
    </w:rPr>
  </w:style>
  <w:style w:type="paragraph" w:styleId="P68B1DB1-P68B1DB1-Normal169">
    <w:name w:val="P68B1DB1-P68B1DB1-Normal169"/>
    <w:basedOn w:val="P68B1DB1-Normal16"/>
    <w:rPr>
      <w:b/>
      <w:i/>
      <w:sz w:val="24"/>
      <w:szCs w:val="20"/>
    </w:rPr>
  </w:style>
  <w:style w:type="paragraph" w:styleId="P68B1DB1-P68B1DB1-Normal1710">
    <w:name w:val="P68B1DB1-P68B1DB1-Normal1710"/>
    <w:basedOn w:val="P68B1DB1-Normal17"/>
    <w:rPr>
      <w:i/>
      <w:sz w:val="20"/>
      <w:szCs w:val="18"/>
    </w:rPr>
  </w:style>
  <w:style w:type="paragraph" w:styleId="P68B1DB1-Normal11">
    <w:name w:val="P68B1DB1-Normal11"/>
    <w:basedOn w:val="Normal"/>
    <w:rPr>
      <w:rFonts w:ascii="Times New Roman" w:hAnsi="Times New Roman" w:cs="Times New Roman" w:eastAsia="Times New Roman"/>
      <w:sz w:val="20"/>
      <w:szCs w:val="18"/>
    </w:rPr>
  </w:style>
  <w:style w:type="paragraph" w:styleId="P68B1DB1-Normal19">
    <w:name w:val="P68B1DB1-Normal19"/>
    <w:basedOn w:val="Normal"/>
    <w:rPr>
      <w:rFonts w:ascii="Times New Roman" w:hAnsi="Times New Roman" w:cs="Times New Roman" w:eastAsia="Times New Roman"/>
      <w:i/>
      <w:sz w:val="20"/>
      <w:szCs w:val="18"/>
    </w:rPr>
  </w:style>
  <w:style w:type="paragraph" w:styleId="P68B1DB1-P68B1DB1-Normal1820">
    <w:name w:val="P68B1DB1-P68B1DB1-Normal1820"/>
    <w:basedOn w:val="P68B1DB1-Normal18"/>
    <w:rPr>
      <w:sz w:val="18"/>
      <w:szCs w:val="18"/>
    </w:rPr>
  </w:style>
  <w:style w:type="paragraph" w:styleId="P68B1DB1-P68B1DB1-Normal1421">
    <w:name w:val="P68B1DB1-P68B1DB1-Normal1421"/>
    <w:basedOn w:val="P68B1DB1-Normal14"/>
    <w:rPr>
      <w:i/>
    </w:rPr>
  </w:style>
  <w:style w:type="paragraph" w:styleId="P68B1DB1-P68B1DB1-Normal1622">
    <w:name w:val="P68B1DB1-P68B1DB1-Normal1622"/>
    <w:basedOn w:val="P68B1DB1-Normal16"/>
    <w:rPr>
      <w:b/>
      <w:i/>
      <w:sz w:val="22"/>
      <w:szCs w:val="22"/>
    </w:rPr>
  </w:style>
  <w:style w:type="paragraph" w:styleId="P68B1DB1-P68B1DB1-Normal1623">
    <w:name w:val="P68B1DB1-P68B1DB1-Normal1623"/>
    <w:basedOn w:val="P68B1DB1-Normal1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432">
      <w:bodyDiv w:val="1"/>
      <w:marLeft w:val="0"/>
      <w:marRight w:val="0"/>
      <w:marTop w:val="0"/>
      <w:marBottom w:val="0"/>
      <w:divBdr>
        <w:top w:val="none" w:sz="0" w:space="0" w:color="auto"/>
        <w:left w:val="none" w:sz="0" w:space="0" w:color="auto"/>
        <w:bottom w:val="none" w:sz="0" w:space="0" w:color="auto"/>
        <w:right w:val="none" w:sz="0" w:space="0" w:color="auto"/>
      </w:divBdr>
    </w:div>
    <w:div w:id="26762372">
      <w:bodyDiv w:val="1"/>
      <w:marLeft w:val="0"/>
      <w:marRight w:val="0"/>
      <w:marTop w:val="0"/>
      <w:marBottom w:val="0"/>
      <w:divBdr>
        <w:top w:val="none" w:sz="0" w:space="0" w:color="auto"/>
        <w:left w:val="none" w:sz="0" w:space="0" w:color="auto"/>
        <w:bottom w:val="none" w:sz="0" w:space="0" w:color="auto"/>
        <w:right w:val="none" w:sz="0" w:space="0" w:color="auto"/>
      </w:divBdr>
    </w:div>
    <w:div w:id="34356982">
      <w:bodyDiv w:val="1"/>
      <w:marLeft w:val="0"/>
      <w:marRight w:val="0"/>
      <w:marTop w:val="0"/>
      <w:marBottom w:val="0"/>
      <w:divBdr>
        <w:top w:val="none" w:sz="0" w:space="0" w:color="auto"/>
        <w:left w:val="none" w:sz="0" w:space="0" w:color="auto"/>
        <w:bottom w:val="none" w:sz="0" w:space="0" w:color="auto"/>
        <w:right w:val="none" w:sz="0" w:space="0" w:color="auto"/>
      </w:divBdr>
    </w:div>
    <w:div w:id="37046487">
      <w:bodyDiv w:val="1"/>
      <w:marLeft w:val="0"/>
      <w:marRight w:val="0"/>
      <w:marTop w:val="0"/>
      <w:marBottom w:val="0"/>
      <w:divBdr>
        <w:top w:val="none" w:sz="0" w:space="0" w:color="auto"/>
        <w:left w:val="none" w:sz="0" w:space="0" w:color="auto"/>
        <w:bottom w:val="none" w:sz="0" w:space="0" w:color="auto"/>
        <w:right w:val="none" w:sz="0" w:space="0" w:color="auto"/>
      </w:divBdr>
    </w:div>
    <w:div w:id="89932279">
      <w:bodyDiv w:val="1"/>
      <w:marLeft w:val="0"/>
      <w:marRight w:val="0"/>
      <w:marTop w:val="0"/>
      <w:marBottom w:val="0"/>
      <w:divBdr>
        <w:top w:val="none" w:sz="0" w:space="0" w:color="auto"/>
        <w:left w:val="none" w:sz="0" w:space="0" w:color="auto"/>
        <w:bottom w:val="none" w:sz="0" w:space="0" w:color="auto"/>
        <w:right w:val="none" w:sz="0" w:space="0" w:color="auto"/>
      </w:divBdr>
    </w:div>
    <w:div w:id="90786061">
      <w:bodyDiv w:val="1"/>
      <w:marLeft w:val="0"/>
      <w:marRight w:val="0"/>
      <w:marTop w:val="0"/>
      <w:marBottom w:val="0"/>
      <w:divBdr>
        <w:top w:val="none" w:sz="0" w:space="0" w:color="auto"/>
        <w:left w:val="none" w:sz="0" w:space="0" w:color="auto"/>
        <w:bottom w:val="none" w:sz="0" w:space="0" w:color="auto"/>
        <w:right w:val="none" w:sz="0" w:space="0" w:color="auto"/>
      </w:divBdr>
    </w:div>
    <w:div w:id="96026439">
      <w:bodyDiv w:val="1"/>
      <w:marLeft w:val="0"/>
      <w:marRight w:val="0"/>
      <w:marTop w:val="0"/>
      <w:marBottom w:val="0"/>
      <w:divBdr>
        <w:top w:val="none" w:sz="0" w:space="0" w:color="auto"/>
        <w:left w:val="none" w:sz="0" w:space="0" w:color="auto"/>
        <w:bottom w:val="none" w:sz="0" w:space="0" w:color="auto"/>
        <w:right w:val="none" w:sz="0" w:space="0" w:color="auto"/>
      </w:divBdr>
    </w:div>
    <w:div w:id="100228059">
      <w:bodyDiv w:val="1"/>
      <w:marLeft w:val="0"/>
      <w:marRight w:val="0"/>
      <w:marTop w:val="0"/>
      <w:marBottom w:val="0"/>
      <w:divBdr>
        <w:top w:val="none" w:sz="0" w:space="0" w:color="auto"/>
        <w:left w:val="none" w:sz="0" w:space="0" w:color="auto"/>
        <w:bottom w:val="none" w:sz="0" w:space="0" w:color="auto"/>
        <w:right w:val="none" w:sz="0" w:space="0" w:color="auto"/>
      </w:divBdr>
    </w:div>
    <w:div w:id="120274445">
      <w:bodyDiv w:val="1"/>
      <w:marLeft w:val="0"/>
      <w:marRight w:val="0"/>
      <w:marTop w:val="0"/>
      <w:marBottom w:val="0"/>
      <w:divBdr>
        <w:top w:val="none" w:sz="0" w:space="0" w:color="auto"/>
        <w:left w:val="none" w:sz="0" w:space="0" w:color="auto"/>
        <w:bottom w:val="none" w:sz="0" w:space="0" w:color="auto"/>
        <w:right w:val="none" w:sz="0" w:space="0" w:color="auto"/>
      </w:divBdr>
    </w:div>
    <w:div w:id="126512856">
      <w:bodyDiv w:val="1"/>
      <w:marLeft w:val="0"/>
      <w:marRight w:val="0"/>
      <w:marTop w:val="0"/>
      <w:marBottom w:val="0"/>
      <w:divBdr>
        <w:top w:val="none" w:sz="0" w:space="0" w:color="auto"/>
        <w:left w:val="none" w:sz="0" w:space="0" w:color="auto"/>
        <w:bottom w:val="none" w:sz="0" w:space="0" w:color="auto"/>
        <w:right w:val="none" w:sz="0" w:space="0" w:color="auto"/>
      </w:divBdr>
    </w:div>
    <w:div w:id="155148478">
      <w:bodyDiv w:val="1"/>
      <w:marLeft w:val="0"/>
      <w:marRight w:val="0"/>
      <w:marTop w:val="0"/>
      <w:marBottom w:val="0"/>
      <w:divBdr>
        <w:top w:val="none" w:sz="0" w:space="0" w:color="auto"/>
        <w:left w:val="none" w:sz="0" w:space="0" w:color="auto"/>
        <w:bottom w:val="none" w:sz="0" w:space="0" w:color="auto"/>
        <w:right w:val="none" w:sz="0" w:space="0" w:color="auto"/>
      </w:divBdr>
    </w:div>
    <w:div w:id="223029111">
      <w:bodyDiv w:val="1"/>
      <w:marLeft w:val="0"/>
      <w:marRight w:val="0"/>
      <w:marTop w:val="0"/>
      <w:marBottom w:val="0"/>
      <w:divBdr>
        <w:top w:val="none" w:sz="0" w:space="0" w:color="auto"/>
        <w:left w:val="none" w:sz="0" w:space="0" w:color="auto"/>
        <w:bottom w:val="none" w:sz="0" w:space="0" w:color="auto"/>
        <w:right w:val="none" w:sz="0" w:space="0" w:color="auto"/>
      </w:divBdr>
    </w:div>
    <w:div w:id="244265254">
      <w:bodyDiv w:val="1"/>
      <w:marLeft w:val="0"/>
      <w:marRight w:val="0"/>
      <w:marTop w:val="0"/>
      <w:marBottom w:val="0"/>
      <w:divBdr>
        <w:top w:val="none" w:sz="0" w:space="0" w:color="auto"/>
        <w:left w:val="none" w:sz="0" w:space="0" w:color="auto"/>
        <w:bottom w:val="none" w:sz="0" w:space="0" w:color="auto"/>
        <w:right w:val="none" w:sz="0" w:space="0" w:color="auto"/>
      </w:divBdr>
    </w:div>
    <w:div w:id="257255821">
      <w:bodyDiv w:val="1"/>
      <w:marLeft w:val="0"/>
      <w:marRight w:val="0"/>
      <w:marTop w:val="0"/>
      <w:marBottom w:val="0"/>
      <w:divBdr>
        <w:top w:val="none" w:sz="0" w:space="0" w:color="auto"/>
        <w:left w:val="none" w:sz="0" w:space="0" w:color="auto"/>
        <w:bottom w:val="none" w:sz="0" w:space="0" w:color="auto"/>
        <w:right w:val="none" w:sz="0" w:space="0" w:color="auto"/>
      </w:divBdr>
    </w:div>
    <w:div w:id="259609206">
      <w:bodyDiv w:val="1"/>
      <w:marLeft w:val="0"/>
      <w:marRight w:val="0"/>
      <w:marTop w:val="0"/>
      <w:marBottom w:val="0"/>
      <w:divBdr>
        <w:top w:val="none" w:sz="0" w:space="0" w:color="auto"/>
        <w:left w:val="none" w:sz="0" w:space="0" w:color="auto"/>
        <w:bottom w:val="none" w:sz="0" w:space="0" w:color="auto"/>
        <w:right w:val="none" w:sz="0" w:space="0" w:color="auto"/>
      </w:divBdr>
    </w:div>
    <w:div w:id="261766769">
      <w:bodyDiv w:val="1"/>
      <w:marLeft w:val="0"/>
      <w:marRight w:val="0"/>
      <w:marTop w:val="0"/>
      <w:marBottom w:val="0"/>
      <w:divBdr>
        <w:top w:val="none" w:sz="0" w:space="0" w:color="auto"/>
        <w:left w:val="none" w:sz="0" w:space="0" w:color="auto"/>
        <w:bottom w:val="none" w:sz="0" w:space="0" w:color="auto"/>
        <w:right w:val="none" w:sz="0" w:space="0" w:color="auto"/>
      </w:divBdr>
    </w:div>
    <w:div w:id="269317752">
      <w:bodyDiv w:val="1"/>
      <w:marLeft w:val="0"/>
      <w:marRight w:val="0"/>
      <w:marTop w:val="0"/>
      <w:marBottom w:val="0"/>
      <w:divBdr>
        <w:top w:val="none" w:sz="0" w:space="0" w:color="auto"/>
        <w:left w:val="none" w:sz="0" w:space="0" w:color="auto"/>
        <w:bottom w:val="none" w:sz="0" w:space="0" w:color="auto"/>
        <w:right w:val="none" w:sz="0" w:space="0" w:color="auto"/>
      </w:divBdr>
    </w:div>
    <w:div w:id="271399507">
      <w:bodyDiv w:val="1"/>
      <w:marLeft w:val="0"/>
      <w:marRight w:val="0"/>
      <w:marTop w:val="0"/>
      <w:marBottom w:val="0"/>
      <w:divBdr>
        <w:top w:val="none" w:sz="0" w:space="0" w:color="auto"/>
        <w:left w:val="none" w:sz="0" w:space="0" w:color="auto"/>
        <w:bottom w:val="none" w:sz="0" w:space="0" w:color="auto"/>
        <w:right w:val="none" w:sz="0" w:space="0" w:color="auto"/>
      </w:divBdr>
    </w:div>
    <w:div w:id="278880907">
      <w:bodyDiv w:val="1"/>
      <w:marLeft w:val="0"/>
      <w:marRight w:val="0"/>
      <w:marTop w:val="0"/>
      <w:marBottom w:val="0"/>
      <w:divBdr>
        <w:top w:val="none" w:sz="0" w:space="0" w:color="auto"/>
        <w:left w:val="none" w:sz="0" w:space="0" w:color="auto"/>
        <w:bottom w:val="none" w:sz="0" w:space="0" w:color="auto"/>
        <w:right w:val="none" w:sz="0" w:space="0" w:color="auto"/>
      </w:divBdr>
    </w:div>
    <w:div w:id="291714760">
      <w:bodyDiv w:val="1"/>
      <w:marLeft w:val="0"/>
      <w:marRight w:val="0"/>
      <w:marTop w:val="0"/>
      <w:marBottom w:val="0"/>
      <w:divBdr>
        <w:top w:val="none" w:sz="0" w:space="0" w:color="auto"/>
        <w:left w:val="none" w:sz="0" w:space="0" w:color="auto"/>
        <w:bottom w:val="none" w:sz="0" w:space="0" w:color="auto"/>
        <w:right w:val="none" w:sz="0" w:space="0" w:color="auto"/>
      </w:divBdr>
    </w:div>
    <w:div w:id="300774190">
      <w:bodyDiv w:val="1"/>
      <w:marLeft w:val="0"/>
      <w:marRight w:val="0"/>
      <w:marTop w:val="0"/>
      <w:marBottom w:val="0"/>
      <w:divBdr>
        <w:top w:val="none" w:sz="0" w:space="0" w:color="auto"/>
        <w:left w:val="none" w:sz="0" w:space="0" w:color="auto"/>
        <w:bottom w:val="none" w:sz="0" w:space="0" w:color="auto"/>
        <w:right w:val="none" w:sz="0" w:space="0" w:color="auto"/>
      </w:divBdr>
    </w:div>
    <w:div w:id="305622349">
      <w:bodyDiv w:val="1"/>
      <w:marLeft w:val="0"/>
      <w:marRight w:val="0"/>
      <w:marTop w:val="0"/>
      <w:marBottom w:val="0"/>
      <w:divBdr>
        <w:top w:val="none" w:sz="0" w:space="0" w:color="auto"/>
        <w:left w:val="none" w:sz="0" w:space="0" w:color="auto"/>
        <w:bottom w:val="none" w:sz="0" w:space="0" w:color="auto"/>
        <w:right w:val="none" w:sz="0" w:space="0" w:color="auto"/>
      </w:divBdr>
    </w:div>
    <w:div w:id="308022613">
      <w:bodyDiv w:val="1"/>
      <w:marLeft w:val="0"/>
      <w:marRight w:val="0"/>
      <w:marTop w:val="0"/>
      <w:marBottom w:val="0"/>
      <w:divBdr>
        <w:top w:val="none" w:sz="0" w:space="0" w:color="auto"/>
        <w:left w:val="none" w:sz="0" w:space="0" w:color="auto"/>
        <w:bottom w:val="none" w:sz="0" w:space="0" w:color="auto"/>
        <w:right w:val="none" w:sz="0" w:space="0" w:color="auto"/>
      </w:divBdr>
    </w:div>
    <w:div w:id="322703479">
      <w:bodyDiv w:val="1"/>
      <w:marLeft w:val="0"/>
      <w:marRight w:val="0"/>
      <w:marTop w:val="0"/>
      <w:marBottom w:val="0"/>
      <w:divBdr>
        <w:top w:val="none" w:sz="0" w:space="0" w:color="auto"/>
        <w:left w:val="none" w:sz="0" w:space="0" w:color="auto"/>
        <w:bottom w:val="none" w:sz="0" w:space="0" w:color="auto"/>
        <w:right w:val="none" w:sz="0" w:space="0" w:color="auto"/>
      </w:divBdr>
    </w:div>
    <w:div w:id="345834890">
      <w:bodyDiv w:val="1"/>
      <w:marLeft w:val="0"/>
      <w:marRight w:val="0"/>
      <w:marTop w:val="0"/>
      <w:marBottom w:val="0"/>
      <w:divBdr>
        <w:top w:val="none" w:sz="0" w:space="0" w:color="auto"/>
        <w:left w:val="none" w:sz="0" w:space="0" w:color="auto"/>
        <w:bottom w:val="none" w:sz="0" w:space="0" w:color="auto"/>
        <w:right w:val="none" w:sz="0" w:space="0" w:color="auto"/>
      </w:divBdr>
    </w:div>
    <w:div w:id="347604481">
      <w:bodyDiv w:val="1"/>
      <w:marLeft w:val="0"/>
      <w:marRight w:val="0"/>
      <w:marTop w:val="0"/>
      <w:marBottom w:val="0"/>
      <w:divBdr>
        <w:top w:val="none" w:sz="0" w:space="0" w:color="auto"/>
        <w:left w:val="none" w:sz="0" w:space="0" w:color="auto"/>
        <w:bottom w:val="none" w:sz="0" w:space="0" w:color="auto"/>
        <w:right w:val="none" w:sz="0" w:space="0" w:color="auto"/>
      </w:divBdr>
    </w:div>
    <w:div w:id="351994588">
      <w:bodyDiv w:val="1"/>
      <w:marLeft w:val="0"/>
      <w:marRight w:val="0"/>
      <w:marTop w:val="0"/>
      <w:marBottom w:val="0"/>
      <w:divBdr>
        <w:top w:val="none" w:sz="0" w:space="0" w:color="auto"/>
        <w:left w:val="none" w:sz="0" w:space="0" w:color="auto"/>
        <w:bottom w:val="none" w:sz="0" w:space="0" w:color="auto"/>
        <w:right w:val="none" w:sz="0" w:space="0" w:color="auto"/>
      </w:divBdr>
    </w:div>
    <w:div w:id="374358084">
      <w:bodyDiv w:val="1"/>
      <w:marLeft w:val="0"/>
      <w:marRight w:val="0"/>
      <w:marTop w:val="0"/>
      <w:marBottom w:val="0"/>
      <w:divBdr>
        <w:top w:val="none" w:sz="0" w:space="0" w:color="auto"/>
        <w:left w:val="none" w:sz="0" w:space="0" w:color="auto"/>
        <w:bottom w:val="none" w:sz="0" w:space="0" w:color="auto"/>
        <w:right w:val="none" w:sz="0" w:space="0" w:color="auto"/>
      </w:divBdr>
    </w:div>
    <w:div w:id="390075643">
      <w:bodyDiv w:val="1"/>
      <w:marLeft w:val="0"/>
      <w:marRight w:val="0"/>
      <w:marTop w:val="0"/>
      <w:marBottom w:val="0"/>
      <w:divBdr>
        <w:top w:val="none" w:sz="0" w:space="0" w:color="auto"/>
        <w:left w:val="none" w:sz="0" w:space="0" w:color="auto"/>
        <w:bottom w:val="none" w:sz="0" w:space="0" w:color="auto"/>
        <w:right w:val="none" w:sz="0" w:space="0" w:color="auto"/>
      </w:divBdr>
    </w:div>
    <w:div w:id="394163680">
      <w:bodyDiv w:val="1"/>
      <w:marLeft w:val="0"/>
      <w:marRight w:val="0"/>
      <w:marTop w:val="0"/>
      <w:marBottom w:val="0"/>
      <w:divBdr>
        <w:top w:val="none" w:sz="0" w:space="0" w:color="auto"/>
        <w:left w:val="none" w:sz="0" w:space="0" w:color="auto"/>
        <w:bottom w:val="none" w:sz="0" w:space="0" w:color="auto"/>
        <w:right w:val="none" w:sz="0" w:space="0" w:color="auto"/>
      </w:divBdr>
    </w:div>
    <w:div w:id="394285497">
      <w:bodyDiv w:val="1"/>
      <w:marLeft w:val="0"/>
      <w:marRight w:val="0"/>
      <w:marTop w:val="0"/>
      <w:marBottom w:val="0"/>
      <w:divBdr>
        <w:top w:val="none" w:sz="0" w:space="0" w:color="auto"/>
        <w:left w:val="none" w:sz="0" w:space="0" w:color="auto"/>
        <w:bottom w:val="none" w:sz="0" w:space="0" w:color="auto"/>
        <w:right w:val="none" w:sz="0" w:space="0" w:color="auto"/>
      </w:divBdr>
    </w:div>
    <w:div w:id="408159956">
      <w:bodyDiv w:val="1"/>
      <w:marLeft w:val="0"/>
      <w:marRight w:val="0"/>
      <w:marTop w:val="0"/>
      <w:marBottom w:val="0"/>
      <w:divBdr>
        <w:top w:val="none" w:sz="0" w:space="0" w:color="auto"/>
        <w:left w:val="none" w:sz="0" w:space="0" w:color="auto"/>
        <w:bottom w:val="none" w:sz="0" w:space="0" w:color="auto"/>
        <w:right w:val="none" w:sz="0" w:space="0" w:color="auto"/>
      </w:divBdr>
    </w:div>
    <w:div w:id="427428655">
      <w:bodyDiv w:val="1"/>
      <w:marLeft w:val="0"/>
      <w:marRight w:val="0"/>
      <w:marTop w:val="0"/>
      <w:marBottom w:val="0"/>
      <w:divBdr>
        <w:top w:val="none" w:sz="0" w:space="0" w:color="auto"/>
        <w:left w:val="none" w:sz="0" w:space="0" w:color="auto"/>
        <w:bottom w:val="none" w:sz="0" w:space="0" w:color="auto"/>
        <w:right w:val="none" w:sz="0" w:space="0" w:color="auto"/>
      </w:divBdr>
    </w:div>
    <w:div w:id="479661570">
      <w:bodyDiv w:val="1"/>
      <w:marLeft w:val="0"/>
      <w:marRight w:val="0"/>
      <w:marTop w:val="0"/>
      <w:marBottom w:val="0"/>
      <w:divBdr>
        <w:top w:val="none" w:sz="0" w:space="0" w:color="auto"/>
        <w:left w:val="none" w:sz="0" w:space="0" w:color="auto"/>
        <w:bottom w:val="none" w:sz="0" w:space="0" w:color="auto"/>
        <w:right w:val="none" w:sz="0" w:space="0" w:color="auto"/>
      </w:divBdr>
    </w:div>
    <w:div w:id="485588516">
      <w:bodyDiv w:val="1"/>
      <w:marLeft w:val="0"/>
      <w:marRight w:val="0"/>
      <w:marTop w:val="0"/>
      <w:marBottom w:val="0"/>
      <w:divBdr>
        <w:top w:val="none" w:sz="0" w:space="0" w:color="auto"/>
        <w:left w:val="none" w:sz="0" w:space="0" w:color="auto"/>
        <w:bottom w:val="none" w:sz="0" w:space="0" w:color="auto"/>
        <w:right w:val="none" w:sz="0" w:space="0" w:color="auto"/>
      </w:divBdr>
    </w:div>
    <w:div w:id="504324013">
      <w:bodyDiv w:val="1"/>
      <w:marLeft w:val="0"/>
      <w:marRight w:val="0"/>
      <w:marTop w:val="0"/>
      <w:marBottom w:val="0"/>
      <w:divBdr>
        <w:top w:val="none" w:sz="0" w:space="0" w:color="auto"/>
        <w:left w:val="none" w:sz="0" w:space="0" w:color="auto"/>
        <w:bottom w:val="none" w:sz="0" w:space="0" w:color="auto"/>
        <w:right w:val="none" w:sz="0" w:space="0" w:color="auto"/>
      </w:divBdr>
    </w:div>
    <w:div w:id="544369820">
      <w:bodyDiv w:val="1"/>
      <w:marLeft w:val="0"/>
      <w:marRight w:val="0"/>
      <w:marTop w:val="0"/>
      <w:marBottom w:val="0"/>
      <w:divBdr>
        <w:top w:val="none" w:sz="0" w:space="0" w:color="auto"/>
        <w:left w:val="none" w:sz="0" w:space="0" w:color="auto"/>
        <w:bottom w:val="none" w:sz="0" w:space="0" w:color="auto"/>
        <w:right w:val="none" w:sz="0" w:space="0" w:color="auto"/>
      </w:divBdr>
    </w:div>
    <w:div w:id="553933142">
      <w:bodyDiv w:val="1"/>
      <w:marLeft w:val="0"/>
      <w:marRight w:val="0"/>
      <w:marTop w:val="0"/>
      <w:marBottom w:val="0"/>
      <w:divBdr>
        <w:top w:val="none" w:sz="0" w:space="0" w:color="auto"/>
        <w:left w:val="none" w:sz="0" w:space="0" w:color="auto"/>
        <w:bottom w:val="none" w:sz="0" w:space="0" w:color="auto"/>
        <w:right w:val="none" w:sz="0" w:space="0" w:color="auto"/>
      </w:divBdr>
    </w:div>
    <w:div w:id="560671658">
      <w:bodyDiv w:val="1"/>
      <w:marLeft w:val="0"/>
      <w:marRight w:val="0"/>
      <w:marTop w:val="0"/>
      <w:marBottom w:val="0"/>
      <w:divBdr>
        <w:top w:val="none" w:sz="0" w:space="0" w:color="auto"/>
        <w:left w:val="none" w:sz="0" w:space="0" w:color="auto"/>
        <w:bottom w:val="none" w:sz="0" w:space="0" w:color="auto"/>
        <w:right w:val="none" w:sz="0" w:space="0" w:color="auto"/>
      </w:divBdr>
    </w:div>
    <w:div w:id="586159051">
      <w:bodyDiv w:val="1"/>
      <w:marLeft w:val="0"/>
      <w:marRight w:val="0"/>
      <w:marTop w:val="0"/>
      <w:marBottom w:val="0"/>
      <w:divBdr>
        <w:top w:val="none" w:sz="0" w:space="0" w:color="auto"/>
        <w:left w:val="none" w:sz="0" w:space="0" w:color="auto"/>
        <w:bottom w:val="none" w:sz="0" w:space="0" w:color="auto"/>
        <w:right w:val="none" w:sz="0" w:space="0" w:color="auto"/>
      </w:divBdr>
    </w:div>
    <w:div w:id="599073000">
      <w:bodyDiv w:val="1"/>
      <w:marLeft w:val="0"/>
      <w:marRight w:val="0"/>
      <w:marTop w:val="0"/>
      <w:marBottom w:val="0"/>
      <w:divBdr>
        <w:top w:val="none" w:sz="0" w:space="0" w:color="auto"/>
        <w:left w:val="none" w:sz="0" w:space="0" w:color="auto"/>
        <w:bottom w:val="none" w:sz="0" w:space="0" w:color="auto"/>
        <w:right w:val="none" w:sz="0" w:space="0" w:color="auto"/>
      </w:divBdr>
    </w:div>
    <w:div w:id="601182359">
      <w:bodyDiv w:val="1"/>
      <w:marLeft w:val="0"/>
      <w:marRight w:val="0"/>
      <w:marTop w:val="0"/>
      <w:marBottom w:val="0"/>
      <w:divBdr>
        <w:top w:val="none" w:sz="0" w:space="0" w:color="auto"/>
        <w:left w:val="none" w:sz="0" w:space="0" w:color="auto"/>
        <w:bottom w:val="none" w:sz="0" w:space="0" w:color="auto"/>
        <w:right w:val="none" w:sz="0" w:space="0" w:color="auto"/>
      </w:divBdr>
    </w:div>
    <w:div w:id="624970419">
      <w:bodyDiv w:val="1"/>
      <w:marLeft w:val="0"/>
      <w:marRight w:val="0"/>
      <w:marTop w:val="0"/>
      <w:marBottom w:val="0"/>
      <w:divBdr>
        <w:top w:val="none" w:sz="0" w:space="0" w:color="auto"/>
        <w:left w:val="none" w:sz="0" w:space="0" w:color="auto"/>
        <w:bottom w:val="none" w:sz="0" w:space="0" w:color="auto"/>
        <w:right w:val="none" w:sz="0" w:space="0" w:color="auto"/>
      </w:divBdr>
    </w:div>
    <w:div w:id="634532364">
      <w:bodyDiv w:val="1"/>
      <w:marLeft w:val="0"/>
      <w:marRight w:val="0"/>
      <w:marTop w:val="0"/>
      <w:marBottom w:val="0"/>
      <w:divBdr>
        <w:top w:val="none" w:sz="0" w:space="0" w:color="auto"/>
        <w:left w:val="none" w:sz="0" w:space="0" w:color="auto"/>
        <w:bottom w:val="none" w:sz="0" w:space="0" w:color="auto"/>
        <w:right w:val="none" w:sz="0" w:space="0" w:color="auto"/>
      </w:divBdr>
    </w:div>
    <w:div w:id="637103948">
      <w:bodyDiv w:val="1"/>
      <w:marLeft w:val="0"/>
      <w:marRight w:val="0"/>
      <w:marTop w:val="0"/>
      <w:marBottom w:val="0"/>
      <w:divBdr>
        <w:top w:val="none" w:sz="0" w:space="0" w:color="auto"/>
        <w:left w:val="none" w:sz="0" w:space="0" w:color="auto"/>
        <w:bottom w:val="none" w:sz="0" w:space="0" w:color="auto"/>
        <w:right w:val="none" w:sz="0" w:space="0" w:color="auto"/>
      </w:divBdr>
    </w:div>
    <w:div w:id="639308424">
      <w:bodyDiv w:val="1"/>
      <w:marLeft w:val="0"/>
      <w:marRight w:val="0"/>
      <w:marTop w:val="0"/>
      <w:marBottom w:val="0"/>
      <w:divBdr>
        <w:top w:val="none" w:sz="0" w:space="0" w:color="auto"/>
        <w:left w:val="none" w:sz="0" w:space="0" w:color="auto"/>
        <w:bottom w:val="none" w:sz="0" w:space="0" w:color="auto"/>
        <w:right w:val="none" w:sz="0" w:space="0" w:color="auto"/>
      </w:divBdr>
    </w:div>
    <w:div w:id="659652558">
      <w:bodyDiv w:val="1"/>
      <w:marLeft w:val="0"/>
      <w:marRight w:val="0"/>
      <w:marTop w:val="0"/>
      <w:marBottom w:val="0"/>
      <w:divBdr>
        <w:top w:val="none" w:sz="0" w:space="0" w:color="auto"/>
        <w:left w:val="none" w:sz="0" w:space="0" w:color="auto"/>
        <w:bottom w:val="none" w:sz="0" w:space="0" w:color="auto"/>
        <w:right w:val="none" w:sz="0" w:space="0" w:color="auto"/>
      </w:divBdr>
    </w:div>
    <w:div w:id="667051423">
      <w:bodyDiv w:val="1"/>
      <w:marLeft w:val="0"/>
      <w:marRight w:val="0"/>
      <w:marTop w:val="0"/>
      <w:marBottom w:val="0"/>
      <w:divBdr>
        <w:top w:val="none" w:sz="0" w:space="0" w:color="auto"/>
        <w:left w:val="none" w:sz="0" w:space="0" w:color="auto"/>
        <w:bottom w:val="none" w:sz="0" w:space="0" w:color="auto"/>
        <w:right w:val="none" w:sz="0" w:space="0" w:color="auto"/>
      </w:divBdr>
    </w:div>
    <w:div w:id="669254184">
      <w:bodyDiv w:val="1"/>
      <w:marLeft w:val="0"/>
      <w:marRight w:val="0"/>
      <w:marTop w:val="0"/>
      <w:marBottom w:val="0"/>
      <w:divBdr>
        <w:top w:val="none" w:sz="0" w:space="0" w:color="auto"/>
        <w:left w:val="none" w:sz="0" w:space="0" w:color="auto"/>
        <w:bottom w:val="none" w:sz="0" w:space="0" w:color="auto"/>
        <w:right w:val="none" w:sz="0" w:space="0" w:color="auto"/>
      </w:divBdr>
    </w:div>
    <w:div w:id="685715688">
      <w:bodyDiv w:val="1"/>
      <w:marLeft w:val="0"/>
      <w:marRight w:val="0"/>
      <w:marTop w:val="0"/>
      <w:marBottom w:val="0"/>
      <w:divBdr>
        <w:top w:val="none" w:sz="0" w:space="0" w:color="auto"/>
        <w:left w:val="none" w:sz="0" w:space="0" w:color="auto"/>
        <w:bottom w:val="none" w:sz="0" w:space="0" w:color="auto"/>
        <w:right w:val="none" w:sz="0" w:space="0" w:color="auto"/>
      </w:divBdr>
    </w:div>
    <w:div w:id="694426801">
      <w:bodyDiv w:val="1"/>
      <w:marLeft w:val="0"/>
      <w:marRight w:val="0"/>
      <w:marTop w:val="0"/>
      <w:marBottom w:val="0"/>
      <w:divBdr>
        <w:top w:val="none" w:sz="0" w:space="0" w:color="auto"/>
        <w:left w:val="none" w:sz="0" w:space="0" w:color="auto"/>
        <w:bottom w:val="none" w:sz="0" w:space="0" w:color="auto"/>
        <w:right w:val="none" w:sz="0" w:space="0" w:color="auto"/>
      </w:divBdr>
    </w:div>
    <w:div w:id="728385506">
      <w:bodyDiv w:val="1"/>
      <w:marLeft w:val="0"/>
      <w:marRight w:val="0"/>
      <w:marTop w:val="0"/>
      <w:marBottom w:val="0"/>
      <w:divBdr>
        <w:top w:val="none" w:sz="0" w:space="0" w:color="auto"/>
        <w:left w:val="none" w:sz="0" w:space="0" w:color="auto"/>
        <w:bottom w:val="none" w:sz="0" w:space="0" w:color="auto"/>
        <w:right w:val="none" w:sz="0" w:space="0" w:color="auto"/>
      </w:divBdr>
    </w:div>
    <w:div w:id="799618016">
      <w:bodyDiv w:val="1"/>
      <w:marLeft w:val="0"/>
      <w:marRight w:val="0"/>
      <w:marTop w:val="0"/>
      <w:marBottom w:val="0"/>
      <w:divBdr>
        <w:top w:val="none" w:sz="0" w:space="0" w:color="auto"/>
        <w:left w:val="none" w:sz="0" w:space="0" w:color="auto"/>
        <w:bottom w:val="none" w:sz="0" w:space="0" w:color="auto"/>
        <w:right w:val="none" w:sz="0" w:space="0" w:color="auto"/>
      </w:divBdr>
    </w:div>
    <w:div w:id="801389786">
      <w:bodyDiv w:val="1"/>
      <w:marLeft w:val="0"/>
      <w:marRight w:val="0"/>
      <w:marTop w:val="0"/>
      <w:marBottom w:val="0"/>
      <w:divBdr>
        <w:top w:val="none" w:sz="0" w:space="0" w:color="auto"/>
        <w:left w:val="none" w:sz="0" w:space="0" w:color="auto"/>
        <w:bottom w:val="none" w:sz="0" w:space="0" w:color="auto"/>
        <w:right w:val="none" w:sz="0" w:space="0" w:color="auto"/>
      </w:divBdr>
    </w:div>
    <w:div w:id="806317562">
      <w:bodyDiv w:val="1"/>
      <w:marLeft w:val="0"/>
      <w:marRight w:val="0"/>
      <w:marTop w:val="0"/>
      <w:marBottom w:val="0"/>
      <w:divBdr>
        <w:top w:val="none" w:sz="0" w:space="0" w:color="auto"/>
        <w:left w:val="none" w:sz="0" w:space="0" w:color="auto"/>
        <w:bottom w:val="none" w:sz="0" w:space="0" w:color="auto"/>
        <w:right w:val="none" w:sz="0" w:space="0" w:color="auto"/>
      </w:divBdr>
    </w:div>
    <w:div w:id="808864558">
      <w:bodyDiv w:val="1"/>
      <w:marLeft w:val="0"/>
      <w:marRight w:val="0"/>
      <w:marTop w:val="0"/>
      <w:marBottom w:val="0"/>
      <w:divBdr>
        <w:top w:val="none" w:sz="0" w:space="0" w:color="auto"/>
        <w:left w:val="none" w:sz="0" w:space="0" w:color="auto"/>
        <w:bottom w:val="none" w:sz="0" w:space="0" w:color="auto"/>
        <w:right w:val="none" w:sz="0" w:space="0" w:color="auto"/>
      </w:divBdr>
    </w:div>
    <w:div w:id="812143656">
      <w:bodyDiv w:val="1"/>
      <w:marLeft w:val="0"/>
      <w:marRight w:val="0"/>
      <w:marTop w:val="0"/>
      <w:marBottom w:val="0"/>
      <w:divBdr>
        <w:top w:val="none" w:sz="0" w:space="0" w:color="auto"/>
        <w:left w:val="none" w:sz="0" w:space="0" w:color="auto"/>
        <w:bottom w:val="none" w:sz="0" w:space="0" w:color="auto"/>
        <w:right w:val="none" w:sz="0" w:space="0" w:color="auto"/>
      </w:divBdr>
    </w:div>
    <w:div w:id="817842752">
      <w:bodyDiv w:val="1"/>
      <w:marLeft w:val="0"/>
      <w:marRight w:val="0"/>
      <w:marTop w:val="0"/>
      <w:marBottom w:val="0"/>
      <w:divBdr>
        <w:top w:val="none" w:sz="0" w:space="0" w:color="auto"/>
        <w:left w:val="none" w:sz="0" w:space="0" w:color="auto"/>
        <w:bottom w:val="none" w:sz="0" w:space="0" w:color="auto"/>
        <w:right w:val="none" w:sz="0" w:space="0" w:color="auto"/>
      </w:divBdr>
    </w:div>
    <w:div w:id="818808023">
      <w:bodyDiv w:val="1"/>
      <w:marLeft w:val="0"/>
      <w:marRight w:val="0"/>
      <w:marTop w:val="0"/>
      <w:marBottom w:val="0"/>
      <w:divBdr>
        <w:top w:val="none" w:sz="0" w:space="0" w:color="auto"/>
        <w:left w:val="none" w:sz="0" w:space="0" w:color="auto"/>
        <w:bottom w:val="none" w:sz="0" w:space="0" w:color="auto"/>
        <w:right w:val="none" w:sz="0" w:space="0" w:color="auto"/>
      </w:divBdr>
    </w:div>
    <w:div w:id="820586418">
      <w:bodyDiv w:val="1"/>
      <w:marLeft w:val="0"/>
      <w:marRight w:val="0"/>
      <w:marTop w:val="0"/>
      <w:marBottom w:val="0"/>
      <w:divBdr>
        <w:top w:val="none" w:sz="0" w:space="0" w:color="auto"/>
        <w:left w:val="none" w:sz="0" w:space="0" w:color="auto"/>
        <w:bottom w:val="none" w:sz="0" w:space="0" w:color="auto"/>
        <w:right w:val="none" w:sz="0" w:space="0" w:color="auto"/>
      </w:divBdr>
    </w:div>
    <w:div w:id="825243672">
      <w:bodyDiv w:val="1"/>
      <w:marLeft w:val="0"/>
      <w:marRight w:val="0"/>
      <w:marTop w:val="0"/>
      <w:marBottom w:val="0"/>
      <w:divBdr>
        <w:top w:val="none" w:sz="0" w:space="0" w:color="auto"/>
        <w:left w:val="none" w:sz="0" w:space="0" w:color="auto"/>
        <w:bottom w:val="none" w:sz="0" w:space="0" w:color="auto"/>
        <w:right w:val="none" w:sz="0" w:space="0" w:color="auto"/>
      </w:divBdr>
    </w:div>
    <w:div w:id="851068949">
      <w:bodyDiv w:val="1"/>
      <w:marLeft w:val="0"/>
      <w:marRight w:val="0"/>
      <w:marTop w:val="0"/>
      <w:marBottom w:val="0"/>
      <w:divBdr>
        <w:top w:val="none" w:sz="0" w:space="0" w:color="auto"/>
        <w:left w:val="none" w:sz="0" w:space="0" w:color="auto"/>
        <w:bottom w:val="none" w:sz="0" w:space="0" w:color="auto"/>
        <w:right w:val="none" w:sz="0" w:space="0" w:color="auto"/>
      </w:divBdr>
    </w:div>
    <w:div w:id="853955006">
      <w:bodyDiv w:val="1"/>
      <w:marLeft w:val="0"/>
      <w:marRight w:val="0"/>
      <w:marTop w:val="0"/>
      <w:marBottom w:val="0"/>
      <w:divBdr>
        <w:top w:val="none" w:sz="0" w:space="0" w:color="auto"/>
        <w:left w:val="none" w:sz="0" w:space="0" w:color="auto"/>
        <w:bottom w:val="none" w:sz="0" w:space="0" w:color="auto"/>
        <w:right w:val="none" w:sz="0" w:space="0" w:color="auto"/>
      </w:divBdr>
    </w:div>
    <w:div w:id="861357653">
      <w:bodyDiv w:val="1"/>
      <w:marLeft w:val="0"/>
      <w:marRight w:val="0"/>
      <w:marTop w:val="0"/>
      <w:marBottom w:val="0"/>
      <w:divBdr>
        <w:top w:val="none" w:sz="0" w:space="0" w:color="auto"/>
        <w:left w:val="none" w:sz="0" w:space="0" w:color="auto"/>
        <w:bottom w:val="none" w:sz="0" w:space="0" w:color="auto"/>
        <w:right w:val="none" w:sz="0" w:space="0" w:color="auto"/>
      </w:divBdr>
    </w:div>
    <w:div w:id="866798977">
      <w:bodyDiv w:val="1"/>
      <w:marLeft w:val="0"/>
      <w:marRight w:val="0"/>
      <w:marTop w:val="0"/>
      <w:marBottom w:val="0"/>
      <w:divBdr>
        <w:top w:val="none" w:sz="0" w:space="0" w:color="auto"/>
        <w:left w:val="none" w:sz="0" w:space="0" w:color="auto"/>
        <w:bottom w:val="none" w:sz="0" w:space="0" w:color="auto"/>
        <w:right w:val="none" w:sz="0" w:space="0" w:color="auto"/>
      </w:divBdr>
    </w:div>
    <w:div w:id="868294175">
      <w:bodyDiv w:val="1"/>
      <w:marLeft w:val="0"/>
      <w:marRight w:val="0"/>
      <w:marTop w:val="0"/>
      <w:marBottom w:val="0"/>
      <w:divBdr>
        <w:top w:val="none" w:sz="0" w:space="0" w:color="auto"/>
        <w:left w:val="none" w:sz="0" w:space="0" w:color="auto"/>
        <w:bottom w:val="none" w:sz="0" w:space="0" w:color="auto"/>
        <w:right w:val="none" w:sz="0" w:space="0" w:color="auto"/>
      </w:divBdr>
    </w:div>
    <w:div w:id="873270522">
      <w:bodyDiv w:val="1"/>
      <w:marLeft w:val="0"/>
      <w:marRight w:val="0"/>
      <w:marTop w:val="0"/>
      <w:marBottom w:val="0"/>
      <w:divBdr>
        <w:top w:val="none" w:sz="0" w:space="0" w:color="auto"/>
        <w:left w:val="none" w:sz="0" w:space="0" w:color="auto"/>
        <w:bottom w:val="none" w:sz="0" w:space="0" w:color="auto"/>
        <w:right w:val="none" w:sz="0" w:space="0" w:color="auto"/>
      </w:divBdr>
    </w:div>
    <w:div w:id="878008076">
      <w:bodyDiv w:val="1"/>
      <w:marLeft w:val="0"/>
      <w:marRight w:val="0"/>
      <w:marTop w:val="0"/>
      <w:marBottom w:val="0"/>
      <w:divBdr>
        <w:top w:val="none" w:sz="0" w:space="0" w:color="auto"/>
        <w:left w:val="none" w:sz="0" w:space="0" w:color="auto"/>
        <w:bottom w:val="none" w:sz="0" w:space="0" w:color="auto"/>
        <w:right w:val="none" w:sz="0" w:space="0" w:color="auto"/>
      </w:divBdr>
    </w:div>
    <w:div w:id="882718537">
      <w:bodyDiv w:val="1"/>
      <w:marLeft w:val="0"/>
      <w:marRight w:val="0"/>
      <w:marTop w:val="0"/>
      <w:marBottom w:val="0"/>
      <w:divBdr>
        <w:top w:val="none" w:sz="0" w:space="0" w:color="auto"/>
        <w:left w:val="none" w:sz="0" w:space="0" w:color="auto"/>
        <w:bottom w:val="none" w:sz="0" w:space="0" w:color="auto"/>
        <w:right w:val="none" w:sz="0" w:space="0" w:color="auto"/>
      </w:divBdr>
    </w:div>
    <w:div w:id="893538847">
      <w:bodyDiv w:val="1"/>
      <w:marLeft w:val="0"/>
      <w:marRight w:val="0"/>
      <w:marTop w:val="0"/>
      <w:marBottom w:val="0"/>
      <w:divBdr>
        <w:top w:val="none" w:sz="0" w:space="0" w:color="auto"/>
        <w:left w:val="none" w:sz="0" w:space="0" w:color="auto"/>
        <w:bottom w:val="none" w:sz="0" w:space="0" w:color="auto"/>
        <w:right w:val="none" w:sz="0" w:space="0" w:color="auto"/>
      </w:divBdr>
    </w:div>
    <w:div w:id="895235720">
      <w:bodyDiv w:val="1"/>
      <w:marLeft w:val="0"/>
      <w:marRight w:val="0"/>
      <w:marTop w:val="0"/>
      <w:marBottom w:val="0"/>
      <w:divBdr>
        <w:top w:val="none" w:sz="0" w:space="0" w:color="auto"/>
        <w:left w:val="none" w:sz="0" w:space="0" w:color="auto"/>
        <w:bottom w:val="none" w:sz="0" w:space="0" w:color="auto"/>
        <w:right w:val="none" w:sz="0" w:space="0" w:color="auto"/>
      </w:divBdr>
    </w:div>
    <w:div w:id="925961939">
      <w:bodyDiv w:val="1"/>
      <w:marLeft w:val="0"/>
      <w:marRight w:val="0"/>
      <w:marTop w:val="0"/>
      <w:marBottom w:val="0"/>
      <w:divBdr>
        <w:top w:val="none" w:sz="0" w:space="0" w:color="auto"/>
        <w:left w:val="none" w:sz="0" w:space="0" w:color="auto"/>
        <w:bottom w:val="none" w:sz="0" w:space="0" w:color="auto"/>
        <w:right w:val="none" w:sz="0" w:space="0" w:color="auto"/>
      </w:divBdr>
    </w:div>
    <w:div w:id="928730430">
      <w:bodyDiv w:val="1"/>
      <w:marLeft w:val="0"/>
      <w:marRight w:val="0"/>
      <w:marTop w:val="0"/>
      <w:marBottom w:val="0"/>
      <w:divBdr>
        <w:top w:val="none" w:sz="0" w:space="0" w:color="auto"/>
        <w:left w:val="none" w:sz="0" w:space="0" w:color="auto"/>
        <w:bottom w:val="none" w:sz="0" w:space="0" w:color="auto"/>
        <w:right w:val="none" w:sz="0" w:space="0" w:color="auto"/>
      </w:divBdr>
    </w:div>
    <w:div w:id="939605178">
      <w:bodyDiv w:val="1"/>
      <w:marLeft w:val="0"/>
      <w:marRight w:val="0"/>
      <w:marTop w:val="0"/>
      <w:marBottom w:val="0"/>
      <w:divBdr>
        <w:top w:val="none" w:sz="0" w:space="0" w:color="auto"/>
        <w:left w:val="none" w:sz="0" w:space="0" w:color="auto"/>
        <w:bottom w:val="none" w:sz="0" w:space="0" w:color="auto"/>
        <w:right w:val="none" w:sz="0" w:space="0" w:color="auto"/>
      </w:divBdr>
    </w:div>
    <w:div w:id="961106863">
      <w:bodyDiv w:val="1"/>
      <w:marLeft w:val="0"/>
      <w:marRight w:val="0"/>
      <w:marTop w:val="0"/>
      <w:marBottom w:val="0"/>
      <w:divBdr>
        <w:top w:val="none" w:sz="0" w:space="0" w:color="auto"/>
        <w:left w:val="none" w:sz="0" w:space="0" w:color="auto"/>
        <w:bottom w:val="none" w:sz="0" w:space="0" w:color="auto"/>
        <w:right w:val="none" w:sz="0" w:space="0" w:color="auto"/>
      </w:divBdr>
    </w:div>
    <w:div w:id="962224947">
      <w:bodyDiv w:val="1"/>
      <w:marLeft w:val="0"/>
      <w:marRight w:val="0"/>
      <w:marTop w:val="0"/>
      <w:marBottom w:val="0"/>
      <w:divBdr>
        <w:top w:val="none" w:sz="0" w:space="0" w:color="auto"/>
        <w:left w:val="none" w:sz="0" w:space="0" w:color="auto"/>
        <w:bottom w:val="none" w:sz="0" w:space="0" w:color="auto"/>
        <w:right w:val="none" w:sz="0" w:space="0" w:color="auto"/>
      </w:divBdr>
    </w:div>
    <w:div w:id="964776247">
      <w:bodyDiv w:val="1"/>
      <w:marLeft w:val="0"/>
      <w:marRight w:val="0"/>
      <w:marTop w:val="0"/>
      <w:marBottom w:val="0"/>
      <w:divBdr>
        <w:top w:val="none" w:sz="0" w:space="0" w:color="auto"/>
        <w:left w:val="none" w:sz="0" w:space="0" w:color="auto"/>
        <w:bottom w:val="none" w:sz="0" w:space="0" w:color="auto"/>
        <w:right w:val="none" w:sz="0" w:space="0" w:color="auto"/>
      </w:divBdr>
    </w:div>
    <w:div w:id="975842363">
      <w:bodyDiv w:val="1"/>
      <w:marLeft w:val="0"/>
      <w:marRight w:val="0"/>
      <w:marTop w:val="0"/>
      <w:marBottom w:val="0"/>
      <w:divBdr>
        <w:top w:val="none" w:sz="0" w:space="0" w:color="auto"/>
        <w:left w:val="none" w:sz="0" w:space="0" w:color="auto"/>
        <w:bottom w:val="none" w:sz="0" w:space="0" w:color="auto"/>
        <w:right w:val="none" w:sz="0" w:space="0" w:color="auto"/>
      </w:divBdr>
    </w:div>
    <w:div w:id="982194863">
      <w:bodyDiv w:val="1"/>
      <w:marLeft w:val="0"/>
      <w:marRight w:val="0"/>
      <w:marTop w:val="0"/>
      <w:marBottom w:val="0"/>
      <w:divBdr>
        <w:top w:val="none" w:sz="0" w:space="0" w:color="auto"/>
        <w:left w:val="none" w:sz="0" w:space="0" w:color="auto"/>
        <w:bottom w:val="none" w:sz="0" w:space="0" w:color="auto"/>
        <w:right w:val="none" w:sz="0" w:space="0" w:color="auto"/>
      </w:divBdr>
    </w:div>
    <w:div w:id="1001586752">
      <w:bodyDiv w:val="1"/>
      <w:marLeft w:val="0"/>
      <w:marRight w:val="0"/>
      <w:marTop w:val="0"/>
      <w:marBottom w:val="0"/>
      <w:divBdr>
        <w:top w:val="none" w:sz="0" w:space="0" w:color="auto"/>
        <w:left w:val="none" w:sz="0" w:space="0" w:color="auto"/>
        <w:bottom w:val="none" w:sz="0" w:space="0" w:color="auto"/>
        <w:right w:val="none" w:sz="0" w:space="0" w:color="auto"/>
      </w:divBdr>
    </w:div>
    <w:div w:id="1015035849">
      <w:bodyDiv w:val="1"/>
      <w:marLeft w:val="0"/>
      <w:marRight w:val="0"/>
      <w:marTop w:val="0"/>
      <w:marBottom w:val="0"/>
      <w:divBdr>
        <w:top w:val="none" w:sz="0" w:space="0" w:color="auto"/>
        <w:left w:val="none" w:sz="0" w:space="0" w:color="auto"/>
        <w:bottom w:val="none" w:sz="0" w:space="0" w:color="auto"/>
        <w:right w:val="none" w:sz="0" w:space="0" w:color="auto"/>
      </w:divBdr>
    </w:div>
    <w:div w:id="1018240659">
      <w:bodyDiv w:val="1"/>
      <w:marLeft w:val="0"/>
      <w:marRight w:val="0"/>
      <w:marTop w:val="0"/>
      <w:marBottom w:val="0"/>
      <w:divBdr>
        <w:top w:val="none" w:sz="0" w:space="0" w:color="auto"/>
        <w:left w:val="none" w:sz="0" w:space="0" w:color="auto"/>
        <w:bottom w:val="none" w:sz="0" w:space="0" w:color="auto"/>
        <w:right w:val="none" w:sz="0" w:space="0" w:color="auto"/>
      </w:divBdr>
    </w:div>
    <w:div w:id="1024087676">
      <w:bodyDiv w:val="1"/>
      <w:marLeft w:val="0"/>
      <w:marRight w:val="0"/>
      <w:marTop w:val="0"/>
      <w:marBottom w:val="0"/>
      <w:divBdr>
        <w:top w:val="none" w:sz="0" w:space="0" w:color="auto"/>
        <w:left w:val="none" w:sz="0" w:space="0" w:color="auto"/>
        <w:bottom w:val="none" w:sz="0" w:space="0" w:color="auto"/>
        <w:right w:val="none" w:sz="0" w:space="0" w:color="auto"/>
      </w:divBdr>
    </w:div>
    <w:div w:id="1028021003">
      <w:bodyDiv w:val="1"/>
      <w:marLeft w:val="0"/>
      <w:marRight w:val="0"/>
      <w:marTop w:val="0"/>
      <w:marBottom w:val="0"/>
      <w:divBdr>
        <w:top w:val="none" w:sz="0" w:space="0" w:color="auto"/>
        <w:left w:val="none" w:sz="0" w:space="0" w:color="auto"/>
        <w:bottom w:val="none" w:sz="0" w:space="0" w:color="auto"/>
        <w:right w:val="none" w:sz="0" w:space="0" w:color="auto"/>
      </w:divBdr>
    </w:div>
    <w:div w:id="1032263687">
      <w:bodyDiv w:val="1"/>
      <w:marLeft w:val="0"/>
      <w:marRight w:val="0"/>
      <w:marTop w:val="0"/>
      <w:marBottom w:val="0"/>
      <w:divBdr>
        <w:top w:val="none" w:sz="0" w:space="0" w:color="auto"/>
        <w:left w:val="none" w:sz="0" w:space="0" w:color="auto"/>
        <w:bottom w:val="none" w:sz="0" w:space="0" w:color="auto"/>
        <w:right w:val="none" w:sz="0" w:space="0" w:color="auto"/>
      </w:divBdr>
    </w:div>
    <w:div w:id="1041369523">
      <w:bodyDiv w:val="1"/>
      <w:marLeft w:val="0"/>
      <w:marRight w:val="0"/>
      <w:marTop w:val="0"/>
      <w:marBottom w:val="0"/>
      <w:divBdr>
        <w:top w:val="none" w:sz="0" w:space="0" w:color="auto"/>
        <w:left w:val="none" w:sz="0" w:space="0" w:color="auto"/>
        <w:bottom w:val="none" w:sz="0" w:space="0" w:color="auto"/>
        <w:right w:val="none" w:sz="0" w:space="0" w:color="auto"/>
      </w:divBdr>
    </w:div>
    <w:div w:id="1086876873">
      <w:bodyDiv w:val="1"/>
      <w:marLeft w:val="0"/>
      <w:marRight w:val="0"/>
      <w:marTop w:val="0"/>
      <w:marBottom w:val="0"/>
      <w:divBdr>
        <w:top w:val="none" w:sz="0" w:space="0" w:color="auto"/>
        <w:left w:val="none" w:sz="0" w:space="0" w:color="auto"/>
        <w:bottom w:val="none" w:sz="0" w:space="0" w:color="auto"/>
        <w:right w:val="none" w:sz="0" w:space="0" w:color="auto"/>
      </w:divBdr>
    </w:div>
    <w:div w:id="1087574199">
      <w:bodyDiv w:val="1"/>
      <w:marLeft w:val="0"/>
      <w:marRight w:val="0"/>
      <w:marTop w:val="0"/>
      <w:marBottom w:val="0"/>
      <w:divBdr>
        <w:top w:val="none" w:sz="0" w:space="0" w:color="auto"/>
        <w:left w:val="none" w:sz="0" w:space="0" w:color="auto"/>
        <w:bottom w:val="none" w:sz="0" w:space="0" w:color="auto"/>
        <w:right w:val="none" w:sz="0" w:space="0" w:color="auto"/>
      </w:divBdr>
    </w:div>
    <w:div w:id="1091773831">
      <w:bodyDiv w:val="1"/>
      <w:marLeft w:val="0"/>
      <w:marRight w:val="0"/>
      <w:marTop w:val="0"/>
      <w:marBottom w:val="0"/>
      <w:divBdr>
        <w:top w:val="none" w:sz="0" w:space="0" w:color="auto"/>
        <w:left w:val="none" w:sz="0" w:space="0" w:color="auto"/>
        <w:bottom w:val="none" w:sz="0" w:space="0" w:color="auto"/>
        <w:right w:val="none" w:sz="0" w:space="0" w:color="auto"/>
      </w:divBdr>
    </w:div>
    <w:div w:id="1119835599">
      <w:bodyDiv w:val="1"/>
      <w:marLeft w:val="0"/>
      <w:marRight w:val="0"/>
      <w:marTop w:val="0"/>
      <w:marBottom w:val="0"/>
      <w:divBdr>
        <w:top w:val="none" w:sz="0" w:space="0" w:color="auto"/>
        <w:left w:val="none" w:sz="0" w:space="0" w:color="auto"/>
        <w:bottom w:val="none" w:sz="0" w:space="0" w:color="auto"/>
        <w:right w:val="none" w:sz="0" w:space="0" w:color="auto"/>
      </w:divBdr>
    </w:div>
    <w:div w:id="1131483721">
      <w:bodyDiv w:val="1"/>
      <w:marLeft w:val="0"/>
      <w:marRight w:val="0"/>
      <w:marTop w:val="0"/>
      <w:marBottom w:val="0"/>
      <w:divBdr>
        <w:top w:val="none" w:sz="0" w:space="0" w:color="auto"/>
        <w:left w:val="none" w:sz="0" w:space="0" w:color="auto"/>
        <w:bottom w:val="none" w:sz="0" w:space="0" w:color="auto"/>
        <w:right w:val="none" w:sz="0" w:space="0" w:color="auto"/>
      </w:divBdr>
    </w:div>
    <w:div w:id="1137605253">
      <w:bodyDiv w:val="1"/>
      <w:marLeft w:val="0"/>
      <w:marRight w:val="0"/>
      <w:marTop w:val="0"/>
      <w:marBottom w:val="0"/>
      <w:divBdr>
        <w:top w:val="none" w:sz="0" w:space="0" w:color="auto"/>
        <w:left w:val="none" w:sz="0" w:space="0" w:color="auto"/>
        <w:bottom w:val="none" w:sz="0" w:space="0" w:color="auto"/>
        <w:right w:val="none" w:sz="0" w:space="0" w:color="auto"/>
      </w:divBdr>
    </w:div>
    <w:div w:id="1145313133">
      <w:bodyDiv w:val="1"/>
      <w:marLeft w:val="0"/>
      <w:marRight w:val="0"/>
      <w:marTop w:val="0"/>
      <w:marBottom w:val="0"/>
      <w:divBdr>
        <w:top w:val="none" w:sz="0" w:space="0" w:color="auto"/>
        <w:left w:val="none" w:sz="0" w:space="0" w:color="auto"/>
        <w:bottom w:val="none" w:sz="0" w:space="0" w:color="auto"/>
        <w:right w:val="none" w:sz="0" w:space="0" w:color="auto"/>
      </w:divBdr>
    </w:div>
    <w:div w:id="1162625275">
      <w:bodyDiv w:val="1"/>
      <w:marLeft w:val="0"/>
      <w:marRight w:val="0"/>
      <w:marTop w:val="0"/>
      <w:marBottom w:val="0"/>
      <w:divBdr>
        <w:top w:val="none" w:sz="0" w:space="0" w:color="auto"/>
        <w:left w:val="none" w:sz="0" w:space="0" w:color="auto"/>
        <w:bottom w:val="none" w:sz="0" w:space="0" w:color="auto"/>
        <w:right w:val="none" w:sz="0" w:space="0" w:color="auto"/>
      </w:divBdr>
    </w:div>
    <w:div w:id="1181703073">
      <w:bodyDiv w:val="1"/>
      <w:marLeft w:val="0"/>
      <w:marRight w:val="0"/>
      <w:marTop w:val="0"/>
      <w:marBottom w:val="0"/>
      <w:divBdr>
        <w:top w:val="none" w:sz="0" w:space="0" w:color="auto"/>
        <w:left w:val="none" w:sz="0" w:space="0" w:color="auto"/>
        <w:bottom w:val="none" w:sz="0" w:space="0" w:color="auto"/>
        <w:right w:val="none" w:sz="0" w:space="0" w:color="auto"/>
      </w:divBdr>
    </w:div>
    <w:div w:id="1182205564">
      <w:bodyDiv w:val="1"/>
      <w:marLeft w:val="0"/>
      <w:marRight w:val="0"/>
      <w:marTop w:val="0"/>
      <w:marBottom w:val="0"/>
      <w:divBdr>
        <w:top w:val="none" w:sz="0" w:space="0" w:color="auto"/>
        <w:left w:val="none" w:sz="0" w:space="0" w:color="auto"/>
        <w:bottom w:val="none" w:sz="0" w:space="0" w:color="auto"/>
        <w:right w:val="none" w:sz="0" w:space="0" w:color="auto"/>
      </w:divBdr>
    </w:div>
    <w:div w:id="1223640665">
      <w:bodyDiv w:val="1"/>
      <w:marLeft w:val="0"/>
      <w:marRight w:val="0"/>
      <w:marTop w:val="0"/>
      <w:marBottom w:val="0"/>
      <w:divBdr>
        <w:top w:val="none" w:sz="0" w:space="0" w:color="auto"/>
        <w:left w:val="none" w:sz="0" w:space="0" w:color="auto"/>
        <w:bottom w:val="none" w:sz="0" w:space="0" w:color="auto"/>
        <w:right w:val="none" w:sz="0" w:space="0" w:color="auto"/>
      </w:divBdr>
    </w:div>
    <w:div w:id="1237932868">
      <w:bodyDiv w:val="1"/>
      <w:marLeft w:val="0"/>
      <w:marRight w:val="0"/>
      <w:marTop w:val="0"/>
      <w:marBottom w:val="0"/>
      <w:divBdr>
        <w:top w:val="none" w:sz="0" w:space="0" w:color="auto"/>
        <w:left w:val="none" w:sz="0" w:space="0" w:color="auto"/>
        <w:bottom w:val="none" w:sz="0" w:space="0" w:color="auto"/>
        <w:right w:val="none" w:sz="0" w:space="0" w:color="auto"/>
      </w:divBdr>
    </w:div>
    <w:div w:id="1241911787">
      <w:bodyDiv w:val="1"/>
      <w:marLeft w:val="0"/>
      <w:marRight w:val="0"/>
      <w:marTop w:val="0"/>
      <w:marBottom w:val="0"/>
      <w:divBdr>
        <w:top w:val="none" w:sz="0" w:space="0" w:color="auto"/>
        <w:left w:val="none" w:sz="0" w:space="0" w:color="auto"/>
        <w:bottom w:val="none" w:sz="0" w:space="0" w:color="auto"/>
        <w:right w:val="none" w:sz="0" w:space="0" w:color="auto"/>
      </w:divBdr>
    </w:div>
    <w:div w:id="1245140899">
      <w:bodyDiv w:val="1"/>
      <w:marLeft w:val="0"/>
      <w:marRight w:val="0"/>
      <w:marTop w:val="0"/>
      <w:marBottom w:val="0"/>
      <w:divBdr>
        <w:top w:val="none" w:sz="0" w:space="0" w:color="auto"/>
        <w:left w:val="none" w:sz="0" w:space="0" w:color="auto"/>
        <w:bottom w:val="none" w:sz="0" w:space="0" w:color="auto"/>
        <w:right w:val="none" w:sz="0" w:space="0" w:color="auto"/>
      </w:divBdr>
    </w:div>
    <w:div w:id="1253853942">
      <w:bodyDiv w:val="1"/>
      <w:marLeft w:val="0"/>
      <w:marRight w:val="0"/>
      <w:marTop w:val="0"/>
      <w:marBottom w:val="0"/>
      <w:divBdr>
        <w:top w:val="none" w:sz="0" w:space="0" w:color="auto"/>
        <w:left w:val="none" w:sz="0" w:space="0" w:color="auto"/>
        <w:bottom w:val="none" w:sz="0" w:space="0" w:color="auto"/>
        <w:right w:val="none" w:sz="0" w:space="0" w:color="auto"/>
      </w:divBdr>
    </w:div>
    <w:div w:id="1256548914">
      <w:bodyDiv w:val="1"/>
      <w:marLeft w:val="0"/>
      <w:marRight w:val="0"/>
      <w:marTop w:val="0"/>
      <w:marBottom w:val="0"/>
      <w:divBdr>
        <w:top w:val="none" w:sz="0" w:space="0" w:color="auto"/>
        <w:left w:val="none" w:sz="0" w:space="0" w:color="auto"/>
        <w:bottom w:val="none" w:sz="0" w:space="0" w:color="auto"/>
        <w:right w:val="none" w:sz="0" w:space="0" w:color="auto"/>
      </w:divBdr>
    </w:div>
    <w:div w:id="1274089464">
      <w:bodyDiv w:val="1"/>
      <w:marLeft w:val="0"/>
      <w:marRight w:val="0"/>
      <w:marTop w:val="0"/>
      <w:marBottom w:val="0"/>
      <w:divBdr>
        <w:top w:val="none" w:sz="0" w:space="0" w:color="auto"/>
        <w:left w:val="none" w:sz="0" w:space="0" w:color="auto"/>
        <w:bottom w:val="none" w:sz="0" w:space="0" w:color="auto"/>
        <w:right w:val="none" w:sz="0" w:space="0" w:color="auto"/>
      </w:divBdr>
    </w:div>
    <w:div w:id="1275594372">
      <w:bodyDiv w:val="1"/>
      <w:marLeft w:val="0"/>
      <w:marRight w:val="0"/>
      <w:marTop w:val="0"/>
      <w:marBottom w:val="0"/>
      <w:divBdr>
        <w:top w:val="none" w:sz="0" w:space="0" w:color="auto"/>
        <w:left w:val="none" w:sz="0" w:space="0" w:color="auto"/>
        <w:bottom w:val="none" w:sz="0" w:space="0" w:color="auto"/>
        <w:right w:val="none" w:sz="0" w:space="0" w:color="auto"/>
      </w:divBdr>
    </w:div>
    <w:div w:id="1290549286">
      <w:bodyDiv w:val="1"/>
      <w:marLeft w:val="0"/>
      <w:marRight w:val="0"/>
      <w:marTop w:val="0"/>
      <w:marBottom w:val="0"/>
      <w:divBdr>
        <w:top w:val="none" w:sz="0" w:space="0" w:color="auto"/>
        <w:left w:val="none" w:sz="0" w:space="0" w:color="auto"/>
        <w:bottom w:val="none" w:sz="0" w:space="0" w:color="auto"/>
        <w:right w:val="none" w:sz="0" w:space="0" w:color="auto"/>
      </w:divBdr>
    </w:div>
    <w:div w:id="1320496794">
      <w:bodyDiv w:val="1"/>
      <w:marLeft w:val="0"/>
      <w:marRight w:val="0"/>
      <w:marTop w:val="0"/>
      <w:marBottom w:val="0"/>
      <w:divBdr>
        <w:top w:val="none" w:sz="0" w:space="0" w:color="auto"/>
        <w:left w:val="none" w:sz="0" w:space="0" w:color="auto"/>
        <w:bottom w:val="none" w:sz="0" w:space="0" w:color="auto"/>
        <w:right w:val="none" w:sz="0" w:space="0" w:color="auto"/>
      </w:divBdr>
    </w:div>
    <w:div w:id="1323898560">
      <w:bodyDiv w:val="1"/>
      <w:marLeft w:val="0"/>
      <w:marRight w:val="0"/>
      <w:marTop w:val="0"/>
      <w:marBottom w:val="0"/>
      <w:divBdr>
        <w:top w:val="none" w:sz="0" w:space="0" w:color="auto"/>
        <w:left w:val="none" w:sz="0" w:space="0" w:color="auto"/>
        <w:bottom w:val="none" w:sz="0" w:space="0" w:color="auto"/>
        <w:right w:val="none" w:sz="0" w:space="0" w:color="auto"/>
      </w:divBdr>
    </w:div>
    <w:div w:id="1330671052">
      <w:bodyDiv w:val="1"/>
      <w:marLeft w:val="0"/>
      <w:marRight w:val="0"/>
      <w:marTop w:val="0"/>
      <w:marBottom w:val="0"/>
      <w:divBdr>
        <w:top w:val="none" w:sz="0" w:space="0" w:color="auto"/>
        <w:left w:val="none" w:sz="0" w:space="0" w:color="auto"/>
        <w:bottom w:val="none" w:sz="0" w:space="0" w:color="auto"/>
        <w:right w:val="none" w:sz="0" w:space="0" w:color="auto"/>
      </w:divBdr>
    </w:div>
    <w:div w:id="1358115293">
      <w:bodyDiv w:val="1"/>
      <w:marLeft w:val="0"/>
      <w:marRight w:val="0"/>
      <w:marTop w:val="0"/>
      <w:marBottom w:val="0"/>
      <w:divBdr>
        <w:top w:val="none" w:sz="0" w:space="0" w:color="auto"/>
        <w:left w:val="none" w:sz="0" w:space="0" w:color="auto"/>
        <w:bottom w:val="none" w:sz="0" w:space="0" w:color="auto"/>
        <w:right w:val="none" w:sz="0" w:space="0" w:color="auto"/>
      </w:divBdr>
    </w:div>
    <w:div w:id="1366566787">
      <w:bodyDiv w:val="1"/>
      <w:marLeft w:val="0"/>
      <w:marRight w:val="0"/>
      <w:marTop w:val="0"/>
      <w:marBottom w:val="0"/>
      <w:divBdr>
        <w:top w:val="none" w:sz="0" w:space="0" w:color="auto"/>
        <w:left w:val="none" w:sz="0" w:space="0" w:color="auto"/>
        <w:bottom w:val="none" w:sz="0" w:space="0" w:color="auto"/>
        <w:right w:val="none" w:sz="0" w:space="0" w:color="auto"/>
      </w:divBdr>
    </w:div>
    <w:div w:id="1382703684">
      <w:bodyDiv w:val="1"/>
      <w:marLeft w:val="0"/>
      <w:marRight w:val="0"/>
      <w:marTop w:val="0"/>
      <w:marBottom w:val="0"/>
      <w:divBdr>
        <w:top w:val="none" w:sz="0" w:space="0" w:color="auto"/>
        <w:left w:val="none" w:sz="0" w:space="0" w:color="auto"/>
        <w:bottom w:val="none" w:sz="0" w:space="0" w:color="auto"/>
        <w:right w:val="none" w:sz="0" w:space="0" w:color="auto"/>
      </w:divBdr>
    </w:div>
    <w:div w:id="1405033862">
      <w:bodyDiv w:val="1"/>
      <w:marLeft w:val="0"/>
      <w:marRight w:val="0"/>
      <w:marTop w:val="0"/>
      <w:marBottom w:val="0"/>
      <w:divBdr>
        <w:top w:val="none" w:sz="0" w:space="0" w:color="auto"/>
        <w:left w:val="none" w:sz="0" w:space="0" w:color="auto"/>
        <w:bottom w:val="none" w:sz="0" w:space="0" w:color="auto"/>
        <w:right w:val="none" w:sz="0" w:space="0" w:color="auto"/>
      </w:divBdr>
    </w:div>
    <w:div w:id="1409419333">
      <w:bodyDiv w:val="1"/>
      <w:marLeft w:val="0"/>
      <w:marRight w:val="0"/>
      <w:marTop w:val="0"/>
      <w:marBottom w:val="0"/>
      <w:divBdr>
        <w:top w:val="none" w:sz="0" w:space="0" w:color="auto"/>
        <w:left w:val="none" w:sz="0" w:space="0" w:color="auto"/>
        <w:bottom w:val="none" w:sz="0" w:space="0" w:color="auto"/>
        <w:right w:val="none" w:sz="0" w:space="0" w:color="auto"/>
      </w:divBdr>
    </w:div>
    <w:div w:id="1414620349">
      <w:bodyDiv w:val="1"/>
      <w:marLeft w:val="0"/>
      <w:marRight w:val="0"/>
      <w:marTop w:val="0"/>
      <w:marBottom w:val="0"/>
      <w:divBdr>
        <w:top w:val="none" w:sz="0" w:space="0" w:color="auto"/>
        <w:left w:val="none" w:sz="0" w:space="0" w:color="auto"/>
        <w:bottom w:val="none" w:sz="0" w:space="0" w:color="auto"/>
        <w:right w:val="none" w:sz="0" w:space="0" w:color="auto"/>
      </w:divBdr>
    </w:div>
    <w:div w:id="1427578041">
      <w:bodyDiv w:val="1"/>
      <w:marLeft w:val="0"/>
      <w:marRight w:val="0"/>
      <w:marTop w:val="0"/>
      <w:marBottom w:val="0"/>
      <w:divBdr>
        <w:top w:val="none" w:sz="0" w:space="0" w:color="auto"/>
        <w:left w:val="none" w:sz="0" w:space="0" w:color="auto"/>
        <w:bottom w:val="none" w:sz="0" w:space="0" w:color="auto"/>
        <w:right w:val="none" w:sz="0" w:space="0" w:color="auto"/>
      </w:divBdr>
    </w:div>
    <w:div w:id="1438065585">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8814079">
      <w:bodyDiv w:val="1"/>
      <w:marLeft w:val="0"/>
      <w:marRight w:val="0"/>
      <w:marTop w:val="0"/>
      <w:marBottom w:val="0"/>
      <w:divBdr>
        <w:top w:val="none" w:sz="0" w:space="0" w:color="auto"/>
        <w:left w:val="none" w:sz="0" w:space="0" w:color="auto"/>
        <w:bottom w:val="none" w:sz="0" w:space="0" w:color="auto"/>
        <w:right w:val="none" w:sz="0" w:space="0" w:color="auto"/>
      </w:divBdr>
    </w:div>
    <w:div w:id="1449395336">
      <w:bodyDiv w:val="1"/>
      <w:marLeft w:val="0"/>
      <w:marRight w:val="0"/>
      <w:marTop w:val="0"/>
      <w:marBottom w:val="0"/>
      <w:divBdr>
        <w:top w:val="none" w:sz="0" w:space="0" w:color="auto"/>
        <w:left w:val="none" w:sz="0" w:space="0" w:color="auto"/>
        <w:bottom w:val="none" w:sz="0" w:space="0" w:color="auto"/>
        <w:right w:val="none" w:sz="0" w:space="0" w:color="auto"/>
      </w:divBdr>
    </w:div>
    <w:div w:id="1519351655">
      <w:bodyDiv w:val="1"/>
      <w:marLeft w:val="0"/>
      <w:marRight w:val="0"/>
      <w:marTop w:val="0"/>
      <w:marBottom w:val="0"/>
      <w:divBdr>
        <w:top w:val="none" w:sz="0" w:space="0" w:color="auto"/>
        <w:left w:val="none" w:sz="0" w:space="0" w:color="auto"/>
        <w:bottom w:val="none" w:sz="0" w:space="0" w:color="auto"/>
        <w:right w:val="none" w:sz="0" w:space="0" w:color="auto"/>
      </w:divBdr>
    </w:div>
    <w:div w:id="1519544628">
      <w:bodyDiv w:val="1"/>
      <w:marLeft w:val="0"/>
      <w:marRight w:val="0"/>
      <w:marTop w:val="0"/>
      <w:marBottom w:val="0"/>
      <w:divBdr>
        <w:top w:val="none" w:sz="0" w:space="0" w:color="auto"/>
        <w:left w:val="none" w:sz="0" w:space="0" w:color="auto"/>
        <w:bottom w:val="none" w:sz="0" w:space="0" w:color="auto"/>
        <w:right w:val="none" w:sz="0" w:space="0" w:color="auto"/>
      </w:divBdr>
    </w:div>
    <w:div w:id="1539202657">
      <w:bodyDiv w:val="1"/>
      <w:marLeft w:val="0"/>
      <w:marRight w:val="0"/>
      <w:marTop w:val="0"/>
      <w:marBottom w:val="0"/>
      <w:divBdr>
        <w:top w:val="none" w:sz="0" w:space="0" w:color="auto"/>
        <w:left w:val="none" w:sz="0" w:space="0" w:color="auto"/>
        <w:bottom w:val="none" w:sz="0" w:space="0" w:color="auto"/>
        <w:right w:val="none" w:sz="0" w:space="0" w:color="auto"/>
      </w:divBdr>
    </w:div>
    <w:div w:id="1558660905">
      <w:bodyDiv w:val="1"/>
      <w:marLeft w:val="0"/>
      <w:marRight w:val="0"/>
      <w:marTop w:val="0"/>
      <w:marBottom w:val="0"/>
      <w:divBdr>
        <w:top w:val="none" w:sz="0" w:space="0" w:color="auto"/>
        <w:left w:val="none" w:sz="0" w:space="0" w:color="auto"/>
        <w:bottom w:val="none" w:sz="0" w:space="0" w:color="auto"/>
        <w:right w:val="none" w:sz="0" w:space="0" w:color="auto"/>
      </w:divBdr>
    </w:div>
    <w:div w:id="1577326650">
      <w:bodyDiv w:val="1"/>
      <w:marLeft w:val="0"/>
      <w:marRight w:val="0"/>
      <w:marTop w:val="0"/>
      <w:marBottom w:val="0"/>
      <w:divBdr>
        <w:top w:val="none" w:sz="0" w:space="0" w:color="auto"/>
        <w:left w:val="none" w:sz="0" w:space="0" w:color="auto"/>
        <w:bottom w:val="none" w:sz="0" w:space="0" w:color="auto"/>
        <w:right w:val="none" w:sz="0" w:space="0" w:color="auto"/>
      </w:divBdr>
    </w:div>
    <w:div w:id="1607535979">
      <w:bodyDiv w:val="1"/>
      <w:marLeft w:val="0"/>
      <w:marRight w:val="0"/>
      <w:marTop w:val="0"/>
      <w:marBottom w:val="0"/>
      <w:divBdr>
        <w:top w:val="none" w:sz="0" w:space="0" w:color="auto"/>
        <w:left w:val="none" w:sz="0" w:space="0" w:color="auto"/>
        <w:bottom w:val="none" w:sz="0" w:space="0" w:color="auto"/>
        <w:right w:val="none" w:sz="0" w:space="0" w:color="auto"/>
      </w:divBdr>
    </w:div>
    <w:div w:id="1618176952">
      <w:bodyDiv w:val="1"/>
      <w:marLeft w:val="0"/>
      <w:marRight w:val="0"/>
      <w:marTop w:val="0"/>
      <w:marBottom w:val="0"/>
      <w:divBdr>
        <w:top w:val="none" w:sz="0" w:space="0" w:color="auto"/>
        <w:left w:val="none" w:sz="0" w:space="0" w:color="auto"/>
        <w:bottom w:val="none" w:sz="0" w:space="0" w:color="auto"/>
        <w:right w:val="none" w:sz="0" w:space="0" w:color="auto"/>
      </w:divBdr>
    </w:div>
    <w:div w:id="1660233669">
      <w:bodyDiv w:val="1"/>
      <w:marLeft w:val="0"/>
      <w:marRight w:val="0"/>
      <w:marTop w:val="0"/>
      <w:marBottom w:val="0"/>
      <w:divBdr>
        <w:top w:val="none" w:sz="0" w:space="0" w:color="auto"/>
        <w:left w:val="none" w:sz="0" w:space="0" w:color="auto"/>
        <w:bottom w:val="none" w:sz="0" w:space="0" w:color="auto"/>
        <w:right w:val="none" w:sz="0" w:space="0" w:color="auto"/>
      </w:divBdr>
    </w:div>
    <w:div w:id="1666205262">
      <w:bodyDiv w:val="1"/>
      <w:marLeft w:val="0"/>
      <w:marRight w:val="0"/>
      <w:marTop w:val="0"/>
      <w:marBottom w:val="0"/>
      <w:divBdr>
        <w:top w:val="none" w:sz="0" w:space="0" w:color="auto"/>
        <w:left w:val="none" w:sz="0" w:space="0" w:color="auto"/>
        <w:bottom w:val="none" w:sz="0" w:space="0" w:color="auto"/>
        <w:right w:val="none" w:sz="0" w:space="0" w:color="auto"/>
      </w:divBdr>
    </w:div>
    <w:div w:id="1707371767">
      <w:bodyDiv w:val="1"/>
      <w:marLeft w:val="0"/>
      <w:marRight w:val="0"/>
      <w:marTop w:val="0"/>
      <w:marBottom w:val="0"/>
      <w:divBdr>
        <w:top w:val="none" w:sz="0" w:space="0" w:color="auto"/>
        <w:left w:val="none" w:sz="0" w:space="0" w:color="auto"/>
        <w:bottom w:val="none" w:sz="0" w:space="0" w:color="auto"/>
        <w:right w:val="none" w:sz="0" w:space="0" w:color="auto"/>
      </w:divBdr>
    </w:div>
    <w:div w:id="1726837295">
      <w:bodyDiv w:val="1"/>
      <w:marLeft w:val="0"/>
      <w:marRight w:val="0"/>
      <w:marTop w:val="0"/>
      <w:marBottom w:val="0"/>
      <w:divBdr>
        <w:top w:val="none" w:sz="0" w:space="0" w:color="auto"/>
        <w:left w:val="none" w:sz="0" w:space="0" w:color="auto"/>
        <w:bottom w:val="none" w:sz="0" w:space="0" w:color="auto"/>
        <w:right w:val="none" w:sz="0" w:space="0" w:color="auto"/>
      </w:divBdr>
    </w:div>
    <w:div w:id="1741638900">
      <w:bodyDiv w:val="1"/>
      <w:marLeft w:val="0"/>
      <w:marRight w:val="0"/>
      <w:marTop w:val="0"/>
      <w:marBottom w:val="0"/>
      <w:divBdr>
        <w:top w:val="none" w:sz="0" w:space="0" w:color="auto"/>
        <w:left w:val="none" w:sz="0" w:space="0" w:color="auto"/>
        <w:bottom w:val="none" w:sz="0" w:space="0" w:color="auto"/>
        <w:right w:val="none" w:sz="0" w:space="0" w:color="auto"/>
      </w:divBdr>
    </w:div>
    <w:div w:id="1747875453">
      <w:bodyDiv w:val="1"/>
      <w:marLeft w:val="0"/>
      <w:marRight w:val="0"/>
      <w:marTop w:val="0"/>
      <w:marBottom w:val="0"/>
      <w:divBdr>
        <w:top w:val="none" w:sz="0" w:space="0" w:color="auto"/>
        <w:left w:val="none" w:sz="0" w:space="0" w:color="auto"/>
        <w:bottom w:val="none" w:sz="0" w:space="0" w:color="auto"/>
        <w:right w:val="none" w:sz="0" w:space="0" w:color="auto"/>
      </w:divBdr>
    </w:div>
    <w:div w:id="1778408548">
      <w:bodyDiv w:val="1"/>
      <w:marLeft w:val="0"/>
      <w:marRight w:val="0"/>
      <w:marTop w:val="0"/>
      <w:marBottom w:val="0"/>
      <w:divBdr>
        <w:top w:val="none" w:sz="0" w:space="0" w:color="auto"/>
        <w:left w:val="none" w:sz="0" w:space="0" w:color="auto"/>
        <w:bottom w:val="none" w:sz="0" w:space="0" w:color="auto"/>
        <w:right w:val="none" w:sz="0" w:space="0" w:color="auto"/>
      </w:divBdr>
    </w:div>
    <w:div w:id="1778521265">
      <w:bodyDiv w:val="1"/>
      <w:marLeft w:val="0"/>
      <w:marRight w:val="0"/>
      <w:marTop w:val="0"/>
      <w:marBottom w:val="0"/>
      <w:divBdr>
        <w:top w:val="none" w:sz="0" w:space="0" w:color="auto"/>
        <w:left w:val="none" w:sz="0" w:space="0" w:color="auto"/>
        <w:bottom w:val="none" w:sz="0" w:space="0" w:color="auto"/>
        <w:right w:val="none" w:sz="0" w:space="0" w:color="auto"/>
      </w:divBdr>
    </w:div>
    <w:div w:id="1780639913">
      <w:bodyDiv w:val="1"/>
      <w:marLeft w:val="0"/>
      <w:marRight w:val="0"/>
      <w:marTop w:val="0"/>
      <w:marBottom w:val="0"/>
      <w:divBdr>
        <w:top w:val="none" w:sz="0" w:space="0" w:color="auto"/>
        <w:left w:val="none" w:sz="0" w:space="0" w:color="auto"/>
        <w:bottom w:val="none" w:sz="0" w:space="0" w:color="auto"/>
        <w:right w:val="none" w:sz="0" w:space="0" w:color="auto"/>
      </w:divBdr>
    </w:div>
    <w:div w:id="1790053855">
      <w:bodyDiv w:val="1"/>
      <w:marLeft w:val="0"/>
      <w:marRight w:val="0"/>
      <w:marTop w:val="0"/>
      <w:marBottom w:val="0"/>
      <w:divBdr>
        <w:top w:val="none" w:sz="0" w:space="0" w:color="auto"/>
        <w:left w:val="none" w:sz="0" w:space="0" w:color="auto"/>
        <w:bottom w:val="none" w:sz="0" w:space="0" w:color="auto"/>
        <w:right w:val="none" w:sz="0" w:space="0" w:color="auto"/>
      </w:divBdr>
    </w:div>
    <w:div w:id="1791703791">
      <w:bodyDiv w:val="1"/>
      <w:marLeft w:val="0"/>
      <w:marRight w:val="0"/>
      <w:marTop w:val="0"/>
      <w:marBottom w:val="0"/>
      <w:divBdr>
        <w:top w:val="none" w:sz="0" w:space="0" w:color="auto"/>
        <w:left w:val="none" w:sz="0" w:space="0" w:color="auto"/>
        <w:bottom w:val="none" w:sz="0" w:space="0" w:color="auto"/>
        <w:right w:val="none" w:sz="0" w:space="0" w:color="auto"/>
      </w:divBdr>
    </w:div>
    <w:div w:id="1848057232">
      <w:bodyDiv w:val="1"/>
      <w:marLeft w:val="0"/>
      <w:marRight w:val="0"/>
      <w:marTop w:val="0"/>
      <w:marBottom w:val="0"/>
      <w:divBdr>
        <w:top w:val="none" w:sz="0" w:space="0" w:color="auto"/>
        <w:left w:val="none" w:sz="0" w:space="0" w:color="auto"/>
        <w:bottom w:val="none" w:sz="0" w:space="0" w:color="auto"/>
        <w:right w:val="none" w:sz="0" w:space="0" w:color="auto"/>
      </w:divBdr>
    </w:div>
    <w:div w:id="1854808051">
      <w:bodyDiv w:val="1"/>
      <w:marLeft w:val="0"/>
      <w:marRight w:val="0"/>
      <w:marTop w:val="0"/>
      <w:marBottom w:val="0"/>
      <w:divBdr>
        <w:top w:val="none" w:sz="0" w:space="0" w:color="auto"/>
        <w:left w:val="none" w:sz="0" w:space="0" w:color="auto"/>
        <w:bottom w:val="none" w:sz="0" w:space="0" w:color="auto"/>
        <w:right w:val="none" w:sz="0" w:space="0" w:color="auto"/>
      </w:divBdr>
    </w:div>
    <w:div w:id="1862087048">
      <w:bodyDiv w:val="1"/>
      <w:marLeft w:val="0"/>
      <w:marRight w:val="0"/>
      <w:marTop w:val="0"/>
      <w:marBottom w:val="0"/>
      <w:divBdr>
        <w:top w:val="none" w:sz="0" w:space="0" w:color="auto"/>
        <w:left w:val="none" w:sz="0" w:space="0" w:color="auto"/>
        <w:bottom w:val="none" w:sz="0" w:space="0" w:color="auto"/>
        <w:right w:val="none" w:sz="0" w:space="0" w:color="auto"/>
      </w:divBdr>
    </w:div>
    <w:div w:id="1868248640">
      <w:bodyDiv w:val="1"/>
      <w:marLeft w:val="0"/>
      <w:marRight w:val="0"/>
      <w:marTop w:val="0"/>
      <w:marBottom w:val="0"/>
      <w:divBdr>
        <w:top w:val="none" w:sz="0" w:space="0" w:color="auto"/>
        <w:left w:val="none" w:sz="0" w:space="0" w:color="auto"/>
        <w:bottom w:val="none" w:sz="0" w:space="0" w:color="auto"/>
        <w:right w:val="none" w:sz="0" w:space="0" w:color="auto"/>
      </w:divBdr>
    </w:div>
    <w:div w:id="1881897225">
      <w:bodyDiv w:val="1"/>
      <w:marLeft w:val="0"/>
      <w:marRight w:val="0"/>
      <w:marTop w:val="0"/>
      <w:marBottom w:val="0"/>
      <w:divBdr>
        <w:top w:val="none" w:sz="0" w:space="0" w:color="auto"/>
        <w:left w:val="none" w:sz="0" w:space="0" w:color="auto"/>
        <w:bottom w:val="none" w:sz="0" w:space="0" w:color="auto"/>
        <w:right w:val="none" w:sz="0" w:space="0" w:color="auto"/>
      </w:divBdr>
    </w:div>
    <w:div w:id="1885170293">
      <w:bodyDiv w:val="1"/>
      <w:marLeft w:val="0"/>
      <w:marRight w:val="0"/>
      <w:marTop w:val="0"/>
      <w:marBottom w:val="0"/>
      <w:divBdr>
        <w:top w:val="none" w:sz="0" w:space="0" w:color="auto"/>
        <w:left w:val="none" w:sz="0" w:space="0" w:color="auto"/>
        <w:bottom w:val="none" w:sz="0" w:space="0" w:color="auto"/>
        <w:right w:val="none" w:sz="0" w:space="0" w:color="auto"/>
      </w:divBdr>
    </w:div>
    <w:div w:id="1906991026">
      <w:bodyDiv w:val="1"/>
      <w:marLeft w:val="0"/>
      <w:marRight w:val="0"/>
      <w:marTop w:val="0"/>
      <w:marBottom w:val="0"/>
      <w:divBdr>
        <w:top w:val="none" w:sz="0" w:space="0" w:color="auto"/>
        <w:left w:val="none" w:sz="0" w:space="0" w:color="auto"/>
        <w:bottom w:val="none" w:sz="0" w:space="0" w:color="auto"/>
        <w:right w:val="none" w:sz="0" w:space="0" w:color="auto"/>
      </w:divBdr>
    </w:div>
    <w:div w:id="1939410195">
      <w:bodyDiv w:val="1"/>
      <w:marLeft w:val="0"/>
      <w:marRight w:val="0"/>
      <w:marTop w:val="0"/>
      <w:marBottom w:val="0"/>
      <w:divBdr>
        <w:top w:val="none" w:sz="0" w:space="0" w:color="auto"/>
        <w:left w:val="none" w:sz="0" w:space="0" w:color="auto"/>
        <w:bottom w:val="none" w:sz="0" w:space="0" w:color="auto"/>
        <w:right w:val="none" w:sz="0" w:space="0" w:color="auto"/>
      </w:divBdr>
    </w:div>
    <w:div w:id="1940259784">
      <w:bodyDiv w:val="1"/>
      <w:marLeft w:val="0"/>
      <w:marRight w:val="0"/>
      <w:marTop w:val="0"/>
      <w:marBottom w:val="0"/>
      <w:divBdr>
        <w:top w:val="none" w:sz="0" w:space="0" w:color="auto"/>
        <w:left w:val="none" w:sz="0" w:space="0" w:color="auto"/>
        <w:bottom w:val="none" w:sz="0" w:space="0" w:color="auto"/>
        <w:right w:val="none" w:sz="0" w:space="0" w:color="auto"/>
      </w:divBdr>
    </w:div>
    <w:div w:id="1983074989">
      <w:bodyDiv w:val="1"/>
      <w:marLeft w:val="0"/>
      <w:marRight w:val="0"/>
      <w:marTop w:val="0"/>
      <w:marBottom w:val="0"/>
      <w:divBdr>
        <w:top w:val="none" w:sz="0" w:space="0" w:color="auto"/>
        <w:left w:val="none" w:sz="0" w:space="0" w:color="auto"/>
        <w:bottom w:val="none" w:sz="0" w:space="0" w:color="auto"/>
        <w:right w:val="none" w:sz="0" w:space="0" w:color="auto"/>
      </w:divBdr>
    </w:div>
    <w:div w:id="1983540761">
      <w:bodyDiv w:val="1"/>
      <w:marLeft w:val="0"/>
      <w:marRight w:val="0"/>
      <w:marTop w:val="0"/>
      <w:marBottom w:val="0"/>
      <w:divBdr>
        <w:top w:val="none" w:sz="0" w:space="0" w:color="auto"/>
        <w:left w:val="none" w:sz="0" w:space="0" w:color="auto"/>
        <w:bottom w:val="none" w:sz="0" w:space="0" w:color="auto"/>
        <w:right w:val="none" w:sz="0" w:space="0" w:color="auto"/>
      </w:divBdr>
    </w:div>
    <w:div w:id="1996687464">
      <w:bodyDiv w:val="1"/>
      <w:marLeft w:val="0"/>
      <w:marRight w:val="0"/>
      <w:marTop w:val="0"/>
      <w:marBottom w:val="0"/>
      <w:divBdr>
        <w:top w:val="none" w:sz="0" w:space="0" w:color="auto"/>
        <w:left w:val="none" w:sz="0" w:space="0" w:color="auto"/>
        <w:bottom w:val="none" w:sz="0" w:space="0" w:color="auto"/>
        <w:right w:val="none" w:sz="0" w:space="0" w:color="auto"/>
      </w:divBdr>
    </w:div>
    <w:div w:id="2014411544">
      <w:bodyDiv w:val="1"/>
      <w:marLeft w:val="0"/>
      <w:marRight w:val="0"/>
      <w:marTop w:val="0"/>
      <w:marBottom w:val="0"/>
      <w:divBdr>
        <w:top w:val="none" w:sz="0" w:space="0" w:color="auto"/>
        <w:left w:val="none" w:sz="0" w:space="0" w:color="auto"/>
        <w:bottom w:val="none" w:sz="0" w:space="0" w:color="auto"/>
        <w:right w:val="none" w:sz="0" w:space="0" w:color="auto"/>
      </w:divBdr>
    </w:div>
    <w:div w:id="2034761788">
      <w:bodyDiv w:val="1"/>
      <w:marLeft w:val="0"/>
      <w:marRight w:val="0"/>
      <w:marTop w:val="0"/>
      <w:marBottom w:val="0"/>
      <w:divBdr>
        <w:top w:val="none" w:sz="0" w:space="0" w:color="auto"/>
        <w:left w:val="none" w:sz="0" w:space="0" w:color="auto"/>
        <w:bottom w:val="none" w:sz="0" w:space="0" w:color="auto"/>
        <w:right w:val="none" w:sz="0" w:space="0" w:color="auto"/>
      </w:divBdr>
    </w:div>
    <w:div w:id="2107382766">
      <w:bodyDiv w:val="1"/>
      <w:marLeft w:val="0"/>
      <w:marRight w:val="0"/>
      <w:marTop w:val="0"/>
      <w:marBottom w:val="0"/>
      <w:divBdr>
        <w:top w:val="none" w:sz="0" w:space="0" w:color="auto"/>
        <w:left w:val="none" w:sz="0" w:space="0" w:color="auto"/>
        <w:bottom w:val="none" w:sz="0" w:space="0" w:color="auto"/>
        <w:right w:val="none" w:sz="0" w:space="0" w:color="auto"/>
      </w:divBdr>
    </w:div>
    <w:div w:id="2108306826">
      <w:bodyDiv w:val="1"/>
      <w:marLeft w:val="0"/>
      <w:marRight w:val="0"/>
      <w:marTop w:val="0"/>
      <w:marBottom w:val="0"/>
      <w:divBdr>
        <w:top w:val="none" w:sz="0" w:space="0" w:color="auto"/>
        <w:left w:val="none" w:sz="0" w:space="0" w:color="auto"/>
        <w:bottom w:val="none" w:sz="0" w:space="0" w:color="auto"/>
        <w:right w:val="none" w:sz="0" w:space="0" w:color="auto"/>
      </w:divBdr>
    </w:div>
    <w:div w:id="2115635652">
      <w:bodyDiv w:val="1"/>
      <w:marLeft w:val="0"/>
      <w:marRight w:val="0"/>
      <w:marTop w:val="0"/>
      <w:marBottom w:val="0"/>
      <w:divBdr>
        <w:top w:val="none" w:sz="0" w:space="0" w:color="auto"/>
        <w:left w:val="none" w:sz="0" w:space="0" w:color="auto"/>
        <w:bottom w:val="none" w:sz="0" w:space="0" w:color="auto"/>
        <w:right w:val="none" w:sz="0" w:space="0" w:color="auto"/>
      </w:divBdr>
    </w:div>
    <w:div w:id="2127849801">
      <w:bodyDiv w:val="1"/>
      <w:marLeft w:val="0"/>
      <w:marRight w:val="0"/>
      <w:marTop w:val="0"/>
      <w:marBottom w:val="0"/>
      <w:divBdr>
        <w:top w:val="none" w:sz="0" w:space="0" w:color="auto"/>
        <w:left w:val="none" w:sz="0" w:space="0" w:color="auto"/>
        <w:bottom w:val="none" w:sz="0" w:space="0" w:color="auto"/>
        <w:right w:val="none" w:sz="0" w:space="0" w:color="auto"/>
      </w:divBdr>
    </w:div>
    <w:div w:id="21325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uria.europa.eu/juris/document/document.jsf?text=&amp;docid=72270&amp;pageIndex=0&amp;doclang=EN&amp;mode=lst&amp;dir=&amp;occ=first&amp;part=1&amp;cid=9945922" TargetMode="External"/><Relationship Id="rId117" Type="http://schemas.openxmlformats.org/officeDocument/2006/relationships/header" Target="header3.xml"/><Relationship Id="rId21" Type="http://schemas.openxmlformats.org/officeDocument/2006/relationships/hyperlink" Target="https://curia.europa.eu/juris/document/document.jsf?text=&amp;docid=45721&amp;pageIndex=0&amp;doclang=EN&amp;mode=lst&amp;dir=&amp;occ=first&amp;part=1&amp;cid=10763343" TargetMode="External"/><Relationship Id="rId42" Type="http://schemas.openxmlformats.org/officeDocument/2006/relationships/hyperlink" Target="https://curia.europa.eu/juris/document/document.jsf?text=&amp;docid=184891&amp;pageIndex=0&amp;doclang=EN&amp;mode=lst&amp;dir=&amp;occ=first&amp;part=1&amp;cid=9777324" TargetMode="External"/><Relationship Id="rId47" Type="http://schemas.openxmlformats.org/officeDocument/2006/relationships/hyperlink" Target="https://curia.europa.eu/juris/document/document.jsf?text=&amp;docid=60336&amp;pageIndex=0&amp;doclang=EN&amp;mode=lst&amp;dir=&amp;occ=first&amp;part=1&amp;cid=1728241" TargetMode="External"/><Relationship Id="rId63" Type="http://schemas.openxmlformats.org/officeDocument/2006/relationships/hyperlink" Target="https://curia.europa.eu/juris/document/document.jsf?text=&amp;docid=125226&amp;pageIndex=0&amp;doclang=EN&amp;mode=lst&amp;dir=&amp;occ=first&amp;part=1&amp;cid=9889670" TargetMode="External"/><Relationship Id="rId68" Type="http://schemas.openxmlformats.org/officeDocument/2006/relationships/hyperlink" Target="https://curia.europa.eu/juris/document/document.jsf?text=C-98%252F14&amp;docid=164955&amp;pageIndex=0&amp;doclang=EN&amp;mode=req&amp;dir=&amp;occ=first&amp;part=1&amp;cid=9889670" TargetMode="External"/><Relationship Id="rId84" Type="http://schemas.openxmlformats.org/officeDocument/2006/relationships/hyperlink" Target="https://curia.europa.eu/juris/document/document.jsf?text=&amp;docid=81369&amp;pageIndex=0&amp;doclang=en&amp;mode=lst&amp;dir=&amp;occ=first&amp;part=1&amp;cid=10904675" TargetMode="External"/><Relationship Id="rId89" Type="http://schemas.openxmlformats.org/officeDocument/2006/relationships/hyperlink" Target="https://curia.europa.eu/juris/document/document.jsf?text=&amp;docid=47026&amp;pageIndex=0&amp;doclang=EN&amp;mode=lst&amp;dir=&amp;occ=first&amp;part=1&amp;cid=8919687" TargetMode="External"/><Relationship Id="rId112" Type="http://schemas.openxmlformats.org/officeDocument/2006/relationships/hyperlink" Target="https://curia.europa.eu/juris/document/document.jsf?text=&amp;docid=74815&amp;pageIndex=0&amp;doclang=EN&amp;mode=lst&amp;dir=&amp;occ=first&amp;part=1&amp;cid=12991943" TargetMode="External"/><Relationship Id="rId16" Type="http://schemas.openxmlformats.org/officeDocument/2006/relationships/hyperlink" Target="https://curia.europa.eu/juris/showPdf.jsf?text=&amp;docid=100042&amp;pageIndex=0&amp;doclang=EN&amp;mode=lst&amp;dir=&amp;occ=first&amp;part=1&amp;cid=10811412" TargetMode="External"/><Relationship Id="rId107" Type="http://schemas.openxmlformats.org/officeDocument/2006/relationships/hyperlink" Target="https://curia.europa.eu/juris/document/document.jsf?text=&amp;docid=217670&amp;pageIndex=0&amp;doclang=EN&amp;mode=lst&amp;dir=&amp;occ=first&amp;part=1&amp;cid=10880021" TargetMode="External"/><Relationship Id="rId11" Type="http://schemas.openxmlformats.org/officeDocument/2006/relationships/hyperlink" Target="https://curia.europa.eu/juris/document/document.jsf?text=&amp;docid=174105&amp;pageIndex=0&amp;doclang=EN&amp;mode=lst&amp;dir=&amp;occ=first&amp;part=1&amp;cid=10904675" TargetMode="External"/><Relationship Id="rId32" Type="http://schemas.openxmlformats.org/officeDocument/2006/relationships/hyperlink" Target="https://curia.europa.eu/juris/document/document.jsf?text=&amp;docid=187343&amp;pageIndex=0&amp;doclang=EN&amp;mode=lst&amp;dir=&amp;occ=first&amp;part=1&amp;cid=9777324" TargetMode="External"/><Relationship Id="rId37" Type="http://schemas.openxmlformats.org/officeDocument/2006/relationships/hyperlink" Target="https://curia.europa.eu/juris/document/document.jsf?text=&amp;docid=85136&amp;pageIndex=0&amp;doclang=EN&amp;mode=lst&amp;dir=&amp;occ=first&amp;part=1&amp;cid=15388659" TargetMode="External"/><Relationship Id="rId53" Type="http://schemas.openxmlformats.org/officeDocument/2006/relationships/hyperlink" Target="https://curia.europa.eu/juris/document/document.jsf?text=&amp;docid=217670&amp;pageIndex=0&amp;doclang=EN&amp;mode=lst&amp;dir=&amp;occ=first&amp;part=1&amp;cid=10880021" TargetMode="External"/><Relationship Id="rId58" Type="http://schemas.openxmlformats.org/officeDocument/2006/relationships/hyperlink" Target="https://curia.europa.eu/juris/document/document.jsf?text=&amp;docid=296555&amp;pageIndex=0&amp;doclang=EN&amp;mode=lst&amp;dir=&amp;occ=first&amp;part=1&amp;cid=14002600" TargetMode="External"/><Relationship Id="rId74" Type="http://schemas.openxmlformats.org/officeDocument/2006/relationships/hyperlink" Target="https://curia.europa.eu/juris/showPdf.jsf?text=&amp;docid=98918&amp;pageIndex=0&amp;doclang=EN&amp;mode=lst&amp;dir=&amp;occ=first&amp;part=1&amp;cid=12994086" TargetMode="External"/><Relationship Id="rId79" Type="http://schemas.openxmlformats.org/officeDocument/2006/relationships/hyperlink" Target="https://curia.europa.eu/juris/showPdf.jsf?text=&amp;docid=44625&amp;pageIndex=0&amp;doclang=en&amp;mode=lst&amp;dir=&amp;occ=first&amp;part=1&amp;cid=7836692" TargetMode="External"/><Relationship Id="rId102" Type="http://schemas.openxmlformats.org/officeDocument/2006/relationships/hyperlink" Target="https://curia.europa.eu/juris/document/document.jsf?docid=59571&amp;mode=req&amp;pageIndex=1&amp;dir=&amp;occ=first&amp;part=1&amp;text=&amp;doclang=EN&amp;cid=8886921" TargetMode="External"/><Relationship Id="rId5" Type="http://schemas.openxmlformats.org/officeDocument/2006/relationships/webSettings" Target="webSettings.xml"/><Relationship Id="rId90" Type="http://schemas.openxmlformats.org/officeDocument/2006/relationships/hyperlink" Target="https://curia.europa.eu/juris/document/document.jsf?text=&amp;docid=59577&amp;pageIndex=0&amp;doclang=FR&amp;mode=lst&amp;dir=&amp;occ=first&amp;part=1&amp;cid=12994086" TargetMode="External"/><Relationship Id="rId95" Type="http://schemas.openxmlformats.org/officeDocument/2006/relationships/hyperlink" Target="https://curia.europa.eu/juris/document/document.jsf?text=&amp;docid=133244&amp;pageIndex=0&amp;doclang=EN&amp;mode=lst&amp;dir=&amp;occ=first&amp;part=1&amp;cid=10904675" TargetMode="External"/><Relationship Id="rId22" Type="http://schemas.openxmlformats.org/officeDocument/2006/relationships/hyperlink" Target="https://curia.europa.eu/juris/document/document.jsf?text=&amp;docid=45811&amp;pageIndex=0&amp;doclang=EN&amp;mode=lst&amp;dir=&amp;occ=first&amp;part=1&amp;cid=8919687" TargetMode="External"/><Relationship Id="rId27" Type="http://schemas.openxmlformats.org/officeDocument/2006/relationships/hyperlink" Target="https://curia.europa.eu/juris/document/document.jsf?text=&amp;docid=81451&amp;pageIndex=0&amp;doclang=EN&amp;mode=lst&amp;dir=&amp;occ=first&amp;part=1&amp;cid=9945922" TargetMode="External"/><Relationship Id="rId43" Type="http://schemas.openxmlformats.org/officeDocument/2006/relationships/hyperlink" Target="https://curia.europa.eu/juris/document/document.jsf?text=&amp;docid=187343&amp;pageIndex=0&amp;doclang=EN&amp;mode=lst&amp;dir=&amp;occ=first&amp;part=1&amp;cid=9777324" TargetMode="External"/><Relationship Id="rId48" Type="http://schemas.openxmlformats.org/officeDocument/2006/relationships/hyperlink" Target="https://curia.europa.eu/juris/document/document.jsf?text=&amp;docid=174105&amp;pageIndex=0&amp;doclang=EN&amp;mode=lst&amp;dir=&amp;occ=first&amp;part=1&amp;cid=10904675" TargetMode="External"/><Relationship Id="rId64" Type="http://schemas.openxmlformats.org/officeDocument/2006/relationships/hyperlink" Target="https://curia.europa.eu/juris/document/document.jsf?text=&amp;docid=184891&amp;pageIndex=0&amp;doclang=EN&amp;mode=lst&amp;dir=&amp;occ=first&amp;part=1&amp;cid=9777324" TargetMode="External"/><Relationship Id="rId69" Type="http://schemas.openxmlformats.org/officeDocument/2006/relationships/hyperlink" Target="https://curia.europa.eu/juris/document/document.jsf?text=&amp;docid=232154&amp;pageIndex=0&amp;doclang=EN&amp;mode=lst&amp;dir=&amp;occ=first&amp;part=1&amp;cid=10904675" TargetMode="External"/><Relationship Id="rId113" Type="http://schemas.openxmlformats.org/officeDocument/2006/relationships/header" Target="header1.xml"/><Relationship Id="rId118" Type="http://schemas.openxmlformats.org/officeDocument/2006/relationships/footer" Target="footer3.xml"/><Relationship Id="rId80" Type="http://schemas.openxmlformats.org/officeDocument/2006/relationships/hyperlink" Target="https://curia.europa.eu/juris/document/document.jsf?text=&amp;docid=58142&amp;pageIndex=0&amp;doclang=EN&amp;mode=lst&amp;dir=&amp;occ=first&amp;part=1&amp;cid=8886921" TargetMode="External"/><Relationship Id="rId85" Type="http://schemas.openxmlformats.org/officeDocument/2006/relationships/hyperlink" Target="https://curia.europa.eu/juris/document/document.jsf?text=&amp;docid=133244&amp;pageIndex=0&amp;doclang=en&amp;mode=lst&amp;dir=&amp;occ=first&amp;part=1&amp;cid=10904675" TargetMode="External"/><Relationship Id="rId12" Type="http://schemas.openxmlformats.org/officeDocument/2006/relationships/hyperlink" Target="https://eur-lex.europa.eu/legal-content/EN/TXT/PDF/?uri=CELEX:61994CJ0194" TargetMode="External"/><Relationship Id="rId17" Type="http://schemas.openxmlformats.org/officeDocument/2006/relationships/hyperlink" Target="https://curia.europa.eu/juris/showPdf.jsf?text=&amp;docid=99992&amp;pageIndex=0&amp;doclang=EN&amp;mode=lst&amp;dir=&amp;occ=first&amp;part=1&amp;cid=10811412" TargetMode="External"/><Relationship Id="rId33" Type="http://schemas.openxmlformats.org/officeDocument/2006/relationships/hyperlink" Target="https://curia.europa.eu/juris/document/document.jsf?text=&amp;docid=206117&amp;pageIndex=0&amp;doclang=EN&amp;mode=lst&amp;dir=&amp;occ=first&amp;part=1&amp;cid=9777324" TargetMode="External"/><Relationship Id="rId38" Type="http://schemas.openxmlformats.org/officeDocument/2006/relationships/hyperlink" Target="https://curia.europa.eu/juris/document/document.jsf?text=&amp;docid=125226&amp;pageIndex=0&amp;doclang=EN&amp;mode=lst&amp;dir=&amp;occ=first&amp;part=1&amp;cid=9889670" TargetMode="External"/><Relationship Id="rId59" Type="http://schemas.openxmlformats.org/officeDocument/2006/relationships/hyperlink" Target="https://curia.europa.eu/juris/showPdf.jsf?text=&amp;docid=43725&amp;pageIndex=0&amp;doclang=EN&amp;mode=lst&amp;dir=&amp;occ=first&amp;part=1&amp;cid=10811412" TargetMode="External"/><Relationship Id="rId103" Type="http://schemas.openxmlformats.org/officeDocument/2006/relationships/hyperlink" Target="https://curia.europa.eu/juris/document/document.jsf?text=&amp;docid=133244&amp;pageIndex=0&amp;doclang=EN&amp;mode=lst&amp;dir=&amp;occ=first&amp;part=1&amp;cid=10904675" TargetMode="External"/><Relationship Id="rId108" Type="http://schemas.openxmlformats.org/officeDocument/2006/relationships/hyperlink" Target="https://curia.europa.eu/juris/document/document.jsf?text=&amp;docid=45692&amp;pageIndex=0&amp;doclang=EN&amp;mode=lst&amp;dir=&amp;occ=first&amp;part=1&amp;cid=10763343" TargetMode="External"/><Relationship Id="rId54" Type="http://schemas.openxmlformats.org/officeDocument/2006/relationships/hyperlink" Target="https://curia.europa.eu/juris/document/document.jsf?text=&amp;docid=221791&amp;pageIndex=0&amp;doclang=EN&amp;mode=lst&amp;dir=&amp;occ=first&amp;part=1&amp;cid=10861227" TargetMode="External"/><Relationship Id="rId70" Type="http://schemas.openxmlformats.org/officeDocument/2006/relationships/hyperlink" Target="https://curia.europa.eu/juris/document/document.jsf?text=&amp;docid=268786&amp;pageIndex=0&amp;doclang=EN&amp;mode=lst&amp;dir=&amp;occ=first&amp;part=1&amp;cid=14061944" TargetMode="External"/><Relationship Id="rId75" Type="http://schemas.openxmlformats.org/officeDocument/2006/relationships/hyperlink" Target="https://curia.europa.eu/juris/showPdf.jsf?text=&amp;docid=98889&amp;pageIndex=0&amp;doclang=EN&amp;mode=lst&amp;dir=&amp;occ=first&amp;part=1&amp;cid=12994086" TargetMode="External"/><Relationship Id="rId91" Type="http://schemas.openxmlformats.org/officeDocument/2006/relationships/hyperlink" Target="https://curia.europa.eu/juris/document/document.jsf?text=&amp;docid=59577&amp;pageIndex=0&amp;doclang=FR&amp;mode=lst&amp;dir=&amp;occ=first&amp;part=1&amp;cid=12994086" TargetMode="External"/><Relationship Id="rId96" Type="http://schemas.openxmlformats.org/officeDocument/2006/relationships/hyperlink" Target="https://curia.europa.eu/juris/showPdf.jsf?text=&amp;docid=100042&amp;pageIndex=0&amp;doclang=EN&amp;mode=lst&amp;dir=&amp;occ=first&amp;part=1&amp;cid=1081141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uria.europa.eu/juris/document/document.jsf?text=&amp;docid=45877&amp;pageIndex=0&amp;doclang=EN&amp;mode=lst&amp;dir=&amp;occ=first&amp;part=1&amp;cid=8919687" TargetMode="External"/><Relationship Id="rId28" Type="http://schemas.openxmlformats.org/officeDocument/2006/relationships/hyperlink" Target="https://curia.europa.eu/juris/document/document.jsf?text=&amp;docid=85136&amp;pageIndex=0&amp;doclang=EN&amp;mode=lst&amp;dir=&amp;occ=first&amp;part=1&amp;cid=15388659" TargetMode="External"/><Relationship Id="rId49" Type="http://schemas.openxmlformats.org/officeDocument/2006/relationships/hyperlink" Target="https://curia.europa.eu/juris/document/document.jsf?text=&amp;docid=184507&amp;pageIndex=0&amp;doclang=EN&amp;mode=lst&amp;dir=&amp;occ=first&amp;part=1&amp;cid=9889670"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hyperlink" Target="https://eur-lex.europa.eu/eli/dir/1983/189/oj/eng" TargetMode="External"/><Relationship Id="rId31" Type="http://schemas.openxmlformats.org/officeDocument/2006/relationships/hyperlink" Target="https://curia.europa.eu/juris/document/document.jsf?text=&amp;docid=184891&amp;pageIndex=0&amp;doclang=EN&amp;mode=lst&amp;dir=&amp;occ=first&amp;part=1&amp;cid=9777324" TargetMode="External"/><Relationship Id="rId44" Type="http://schemas.openxmlformats.org/officeDocument/2006/relationships/hyperlink" Target="https://curia.europa.eu/juris/document/document.jsf?text=C-727%252F17&amp;docid=226861&amp;pageIndex=0&amp;doclang=EN&amp;mode=req&amp;dir=&amp;occ=first&amp;part=1&amp;cid=9761408" TargetMode="External"/><Relationship Id="rId52" Type="http://schemas.openxmlformats.org/officeDocument/2006/relationships/hyperlink" Target="https://curia.europa.eu/juris/document/document.jsf?text=&amp;docid=206117&amp;pageIndex=0&amp;doclang=EN&amp;mode=lst&amp;dir=&amp;occ=first&amp;part=1&amp;cid=9777324" TargetMode="External"/><Relationship Id="rId60" Type="http://schemas.openxmlformats.org/officeDocument/2006/relationships/hyperlink" Target="https://curia.europa.eu/juris/document/document.jsf?text=&amp;docid=58142&amp;pageIndex=0&amp;doclang=EN&amp;mode=lst&amp;dir=&amp;occ=first&amp;part=1&amp;cid=8886921" TargetMode="External"/><Relationship Id="rId65" Type="http://schemas.openxmlformats.org/officeDocument/2006/relationships/hyperlink" Target="https://curia.europa.eu/juris/document/document.jsf?text=C-727%252F17&amp;docid=226861&amp;pageIndex=0&amp;doclang=EN&amp;mode=req&amp;dir=&amp;occ=first&amp;part=1&amp;cid=9761408" TargetMode="External"/><Relationship Id="rId73" Type="http://schemas.openxmlformats.org/officeDocument/2006/relationships/hyperlink" Target="https://curia.europa.eu/juris/showPdf.jsf?text=&amp;docid=98488&amp;pageIndex=0&amp;doclang=EN&amp;mode=lst&amp;dir=&amp;occ=first&amp;part=1&amp;cid=12994086" TargetMode="External"/><Relationship Id="rId78" Type="http://schemas.openxmlformats.org/officeDocument/2006/relationships/hyperlink" Target="https://curia.europa.eu/juris/showPdf.jsf?text=&amp;docid=98765&amp;pageIndex=0&amp;doclang=EN&amp;mode=lst&amp;dir=&amp;occ=first&amp;part=1&amp;cid=10811412" TargetMode="External"/><Relationship Id="rId81" Type="http://schemas.openxmlformats.org/officeDocument/2006/relationships/hyperlink" Target="https://curia.europa.eu/juris/document/document.jsf?text=&amp;docid=296555&amp;pageIndex=0&amp;doclang=en&amp;mode=lst&amp;dir=&amp;occ=first&amp;part=1&amp;cid=14002600" TargetMode="External"/><Relationship Id="rId86" Type="http://schemas.openxmlformats.org/officeDocument/2006/relationships/hyperlink" Target="https://curia.europa.eu/juris/document/document.jsf?text=&amp;docid=154825&amp;pageIndex=0&amp;doclang=EN&amp;mode=lst&amp;dir=&amp;occ=first&amp;part=1&amp;cid=9889670" TargetMode="External"/><Relationship Id="rId94" Type="http://schemas.openxmlformats.org/officeDocument/2006/relationships/hyperlink" Target="https://curia.europa.eu/juris/document/document.jsf?text=&amp;docid=271072&amp;pageIndex=0&amp;doclang=EN&amp;mode=lst&amp;dir=&amp;occ=first&amp;part=1&amp;cid=14061944" TargetMode="External"/><Relationship Id="rId99" Type="http://schemas.openxmlformats.org/officeDocument/2006/relationships/hyperlink" Target="https://curia.europa.eu/juris/showPdf.jsf?text=&amp;docid=99809&amp;pageIndex=0&amp;doclang=en&amp;mode=lst&amp;dir=&amp;occ=first&amp;part=1&amp;cid=10904675" TargetMode="External"/><Relationship Id="rId101" Type="http://schemas.openxmlformats.org/officeDocument/2006/relationships/hyperlink" Target="https://curia.europa.eu/juris/document/document.jsf?text=&amp;docid=47386&amp;pageIndex=0&amp;doclang=EN&amp;mode=lst&amp;dir=&amp;occ=first&amp;part=1&amp;cid=8919687" TargetMode="External"/><Relationship Id="rId4" Type="http://schemas.openxmlformats.org/officeDocument/2006/relationships/settings" Target="settings.xml"/><Relationship Id="rId9" Type="http://schemas.openxmlformats.org/officeDocument/2006/relationships/hyperlink" Target="https://eur-lex.europa.eu/legal-content/EN/TXT/PDF/?uri=CELEX:01998L0034-19980805" TargetMode="External"/><Relationship Id="rId13" Type="http://schemas.openxmlformats.org/officeDocument/2006/relationships/hyperlink" Target="https://curia.europa.eu/juris/showPdf.jsf?text=&amp;docid=100864&amp;pageIndex=0&amp;doclang=EN&amp;mode=lst&amp;dir=&amp;occ=first&amp;part=1&amp;cid=10811412" TargetMode="External"/><Relationship Id="rId18" Type="http://schemas.openxmlformats.org/officeDocument/2006/relationships/hyperlink" Target="https://curia.europa.eu/juris/document/document.jsf?text=&amp;docid=44578&amp;pageIndex=0&amp;doclang=EN&amp;mode=lst&amp;dir=&amp;occ=first&amp;part=1&amp;cid=10779034" TargetMode="External"/><Relationship Id="rId39" Type="http://schemas.openxmlformats.org/officeDocument/2006/relationships/hyperlink" Target="https://curia.europa.eu/juris/document/document.jsf?text=&amp;docid=154825&amp;pageIndex=0&amp;doclang=EN&amp;mode=lst&amp;dir=&amp;occ=first&amp;part=1&amp;cid=9889670" TargetMode="External"/><Relationship Id="rId109" Type="http://schemas.openxmlformats.org/officeDocument/2006/relationships/hyperlink" Target="https://curia.europa.eu/juris/document/document.jsf?text=&amp;docid=165924&amp;pageIndex=0&amp;doclang=EN&amp;mode=lst&amp;dir=&amp;occ=first&amp;part=1&amp;cid=12979947" TargetMode="External"/><Relationship Id="rId34" Type="http://schemas.openxmlformats.org/officeDocument/2006/relationships/hyperlink" Target="https://curia.europa.eu/juris/document/document.jsf?text=C-727%252F17&amp;docid=226861&amp;pageIndex=0&amp;doclang=EN&amp;mode=req&amp;dir=&amp;occ=first&amp;part=1&amp;cid=9761408" TargetMode="External"/><Relationship Id="rId50" Type="http://schemas.openxmlformats.org/officeDocument/2006/relationships/hyperlink" Target="https://curia.europa.eu/juris/document/document.jsf?text=&amp;docid=198047&amp;pageIndex=0&amp;doclang=EN&amp;mode=lst&amp;dir=&amp;occ=first&amp;part=1&amp;cid=10880021" TargetMode="External"/><Relationship Id="rId55" Type="http://schemas.openxmlformats.org/officeDocument/2006/relationships/hyperlink" Target="https://curia.europa.eu/juris/document/document.jsf?text=&amp;docid=232725&amp;pageIndex=0&amp;doclang=EN&amp;mode=lst&amp;dir=&amp;occ=first&amp;part=1&amp;cid=7847310" TargetMode="External"/><Relationship Id="rId76" Type="http://schemas.openxmlformats.org/officeDocument/2006/relationships/hyperlink" Target="https://curia.europa.eu/juris/document/document.jsf?text=&amp;docid=59577&amp;pageIndex=0&amp;doclang=FR&amp;mode=lst&amp;dir=&amp;occ=first&amp;part=1&amp;cid=12994086" TargetMode="External"/><Relationship Id="rId97" Type="http://schemas.openxmlformats.org/officeDocument/2006/relationships/hyperlink" Target="https://curia.europa.eu/juris/document/document.jsf?text=&amp;docid=43935&amp;pageIndex=0&amp;doclang=EN&amp;mode=lst&amp;dir=&amp;occ=first&amp;part=1&amp;cid=10779034" TargetMode="External"/><Relationship Id="rId104" Type="http://schemas.openxmlformats.org/officeDocument/2006/relationships/hyperlink" Target="https://curia.europa.eu/juris/document/document.jsf?text=&amp;docid=174105&amp;pageIndex=0&amp;doclang=EN&amp;mode=lst&amp;dir=&amp;occ=first&amp;part=1&amp;cid=10904675"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uria.europa.eu/juris/document/document.jsf?text=&amp;docid=60336&amp;pageIndex=0&amp;doclang=EN&amp;mode=lst&amp;dir=&amp;occ=first&amp;part=1&amp;cid=1728241" TargetMode="External"/><Relationship Id="rId92" Type="http://schemas.openxmlformats.org/officeDocument/2006/relationships/hyperlink" Target="https://curia.europa.eu/juris/document/document.jsf?text=&amp;docid=232150&amp;pageIndex=0&amp;doclang=EN&amp;mode=lst&amp;dir=&amp;occ=first&amp;part=1&amp;cid=12985433" TargetMode="External"/><Relationship Id="rId2" Type="http://schemas.openxmlformats.org/officeDocument/2006/relationships/numbering" Target="numbering.xml"/><Relationship Id="rId29" Type="http://schemas.openxmlformats.org/officeDocument/2006/relationships/hyperlink" Target="https://curia.europa.eu/juris/document/document.jsf?text=&amp;docid=125226&amp;pageIndex=0&amp;doclang=EN&amp;mode=lst&amp;dir=&amp;occ=first&amp;part=1&amp;cid=9889670" TargetMode="External"/><Relationship Id="rId24" Type="http://schemas.openxmlformats.org/officeDocument/2006/relationships/hyperlink" Target="https://curia.europa.eu/juris/document/document.jsf?text=&amp;docid=47386&amp;pageIndex=0&amp;doclang=EN&amp;mode=lst&amp;dir=&amp;occ=first&amp;part=1&amp;cid=8919687" TargetMode="External"/><Relationship Id="rId40" Type="http://schemas.openxmlformats.org/officeDocument/2006/relationships/hyperlink" Target="https://curia.europa.eu/juris/document/document.jsf?text=C-98%252F14&amp;docid=164955&amp;pageIndex=0&amp;doclang=EN&amp;mode=req&amp;dir=&amp;occ=first&amp;part=1&amp;cid=9889670" TargetMode="External"/><Relationship Id="rId45" Type="http://schemas.openxmlformats.org/officeDocument/2006/relationships/hyperlink" Target="https://curia.europa.eu/juris/document/document.jsf?text=&amp;docid=267738&amp;pageIndex=0&amp;doclang=EN&amp;mode=lst&amp;dir=&amp;occ=first&amp;part=1&amp;cid=14061944" TargetMode="External"/><Relationship Id="rId66" Type="http://schemas.openxmlformats.org/officeDocument/2006/relationships/hyperlink" Target="https://curia.europa.eu/juris/showPdf.jsf?text=&amp;docid=100864&amp;pageIndex=0&amp;doclang=EN&amp;mode=lst&amp;dir=&amp;occ=first&amp;part=1&amp;cid=10811412" TargetMode="External"/><Relationship Id="rId87" Type="http://schemas.openxmlformats.org/officeDocument/2006/relationships/hyperlink" Target="https://curia.europa.eu/juris/showPdf.jsf?text=&amp;docid=99992&amp;pageIndex=0&amp;doclang=EN&amp;mode=lst&amp;dir=&amp;occ=first&amp;part=1&amp;cid=10811412" TargetMode="External"/><Relationship Id="rId110" Type="http://schemas.openxmlformats.org/officeDocument/2006/relationships/hyperlink" Target="https://curia.europa.eu/juris/document/document.jsf?text=&amp;docid=280771&amp;pageIndex=0&amp;doclang=EN&amp;mode=lst&amp;dir=&amp;occ=first&amp;part=1&amp;cid=14061944" TargetMode="External"/><Relationship Id="rId115" Type="http://schemas.openxmlformats.org/officeDocument/2006/relationships/footer" Target="footer1.xml"/><Relationship Id="rId61" Type="http://schemas.openxmlformats.org/officeDocument/2006/relationships/hyperlink" Target="https://curia.europa.eu/juris/document/document.jsf?docid=59571&amp;mode=req&amp;pageIndex=1&amp;dir=&amp;occ=first&amp;part=1&amp;text=&amp;doclang=EN&amp;cid=8886921" TargetMode="External"/><Relationship Id="rId82" Type="http://schemas.openxmlformats.org/officeDocument/2006/relationships/hyperlink" Target="https://curia.europa.eu/juris/showPdf.jsf?text=&amp;docid=43725&amp;pageIndex=0&amp;doclang=en&amp;mode=lst&amp;dir=&amp;occ=first&amp;part=1&amp;cid=10904675" TargetMode="External"/><Relationship Id="rId19" Type="http://schemas.openxmlformats.org/officeDocument/2006/relationships/hyperlink" Target="https://curia.europa.eu/juris/document/document.jsf?text=&amp;docid=47026&amp;pageIndex=0&amp;doclang=EN&amp;mode=lst&amp;dir=&amp;occ=first&amp;part=1&amp;cid=8919687" TargetMode="External"/><Relationship Id="rId14" Type="http://schemas.openxmlformats.org/officeDocument/2006/relationships/hyperlink" Target="https://curia.europa.eu/juris/document/document.jsf?text=&amp;docid=45811&amp;pageIndex=0&amp;doclang=EN&amp;mode=lst&amp;dir=&amp;occ=first&amp;part=1&amp;cid=8919687" TargetMode="External"/><Relationship Id="rId30" Type="http://schemas.openxmlformats.org/officeDocument/2006/relationships/hyperlink" Target="https://curia.europa.eu/juris/document/document.jsf?text=&amp;docid=154825&amp;pageIndex=0&amp;doclang=EN&amp;mode=lst&amp;dir=&amp;occ=first&amp;part=1&amp;cid=9889670" TargetMode="External"/><Relationship Id="rId35" Type="http://schemas.openxmlformats.org/officeDocument/2006/relationships/hyperlink" Target="https://curia.europa.eu/juris/document/document.jsf?text=&amp;docid=232725&amp;pageIndex=0&amp;doclang=EN&amp;mode=lst&amp;dir=&amp;occ=first&amp;part=1&amp;cid=7847310" TargetMode="External"/><Relationship Id="rId56" Type="http://schemas.openxmlformats.org/officeDocument/2006/relationships/hyperlink" Target="https://curia.europa.eu/juris/document/document.jsf?text=&amp;docid=234921&amp;pageIndex=0&amp;doclang=EN&amp;mode=lst&amp;dir=&amp;occ=first&amp;part=1&amp;cid=10811412" TargetMode="External"/><Relationship Id="rId77" Type="http://schemas.openxmlformats.org/officeDocument/2006/relationships/hyperlink" Target="https://curia.europa.eu/juris/document/document.jsf?text=&amp;docid=185545&amp;pageIndex=0&amp;doclang=EN&amp;mode=lst&amp;dir=&amp;occ=first&amp;part=1&amp;cid=13138882" TargetMode="External"/><Relationship Id="rId100" Type="http://schemas.openxmlformats.org/officeDocument/2006/relationships/hyperlink" Target="https://curia.europa.eu/juris/document/document.jsf?text=&amp;docid=43935&amp;pageIndex=0&amp;doclang=EN&amp;mode=lst&amp;dir=&amp;occ=first&amp;part=1&amp;cid=10779034" TargetMode="External"/><Relationship Id="rId105" Type="http://schemas.openxmlformats.org/officeDocument/2006/relationships/hyperlink" Target="https://curia.europa.eu/juris/document/document.jsf?text=&amp;docid=177362&amp;pageIndex=0&amp;doclang=FR&amp;mode=lst&amp;dir=&amp;occ=first&amp;part=1&amp;cid=12982840" TargetMode="External"/><Relationship Id="rId8" Type="http://schemas.openxmlformats.org/officeDocument/2006/relationships/hyperlink" Target="https://eur-lex.europa.eu/eli/dir/2015/1535/oj/eng" TargetMode="External"/><Relationship Id="rId51" Type="http://schemas.openxmlformats.org/officeDocument/2006/relationships/hyperlink" Target="https://curia.europa.eu/juris/document/document.jsf?text=&amp;docid=200882&amp;pageIndex=0&amp;doclang=EN&amp;mode=lst&amp;dir=&amp;occ=first&amp;part=1&amp;cid=10880021" TargetMode="External"/><Relationship Id="rId72" Type="http://schemas.openxmlformats.org/officeDocument/2006/relationships/hyperlink" Target="https://curia.europa.eu/juris/document/document.jsf?text=&amp;docid=217670&amp;pageIndex=0&amp;doclang=EN&amp;mode=lst&amp;dir=&amp;occ=first&amp;part=1&amp;cid=10880021" TargetMode="External"/><Relationship Id="rId93" Type="http://schemas.openxmlformats.org/officeDocument/2006/relationships/hyperlink" Target="https://curia.europa.eu/juris/document/document.jsf?text=&amp;docid=226981&amp;pageIndex=0&amp;doclang=EN&amp;mode=lst&amp;dir=&amp;occ=first&amp;part=1&amp;cid=5973987" TargetMode="External"/><Relationship Id="rId98" Type="http://schemas.openxmlformats.org/officeDocument/2006/relationships/hyperlink" Target="https://curia.europa.eu/juris/document/document.jsf?text=&amp;docid=58142&amp;pageIndex=0&amp;doclang=EN&amp;mode=lst&amp;dir=&amp;occ=first&amp;part=1&amp;cid=8886921" TargetMode="External"/><Relationship Id="rId3" Type="http://schemas.openxmlformats.org/officeDocument/2006/relationships/styles" Target="styles.xml"/><Relationship Id="rId25" Type="http://schemas.openxmlformats.org/officeDocument/2006/relationships/hyperlink" Target="https://curia.europa.eu/juris/document/document.jsf?text=&amp;docid=59577&amp;pageIndex=0&amp;doclang=FR&amp;mode=lst&amp;dir=&amp;occ=first&amp;part=1&amp;cid=12994086" TargetMode="External"/><Relationship Id="rId46" Type="http://schemas.openxmlformats.org/officeDocument/2006/relationships/hyperlink" Target="https://curia.europa.eu/juris/document/document.jsf?text=&amp;docid=271072&amp;pageIndex=0&amp;doclang=EN&amp;mode=lst&amp;dir=&amp;occ=first&amp;part=1&amp;cid=14061944" TargetMode="External"/><Relationship Id="rId67" Type="http://schemas.openxmlformats.org/officeDocument/2006/relationships/hyperlink" Target="https://curia.europa.eu/juris/document/document.jsf?text=&amp;docid=154825&amp;pageIndex=0&amp;doclang=EN&amp;mode=lst&amp;dir=&amp;occ=first&amp;part=1&amp;cid=9889670" TargetMode="External"/><Relationship Id="rId116" Type="http://schemas.openxmlformats.org/officeDocument/2006/relationships/footer" Target="footer2.xml"/><Relationship Id="rId20" Type="http://schemas.openxmlformats.org/officeDocument/2006/relationships/hyperlink" Target="https://curia.europa.eu/juris/document/document.jsf?text=&amp;docid=45692&amp;pageIndex=0&amp;doclang=EN&amp;mode=lst&amp;dir=&amp;occ=first&amp;part=1&amp;cid=10763343" TargetMode="External"/><Relationship Id="rId41" Type="http://schemas.openxmlformats.org/officeDocument/2006/relationships/hyperlink" Target="https://curia.europa.eu/juris/document/document.jsf?text=&amp;docid=184507&amp;pageIndex=0&amp;doclang=EN&amp;mode=lst&amp;dir=&amp;occ=first&amp;part=1&amp;cid=9889670" TargetMode="External"/><Relationship Id="rId62" Type="http://schemas.openxmlformats.org/officeDocument/2006/relationships/hyperlink" Target="https://curia.europa.eu/juris/document/document.jsf?text=&amp;docid=63941&amp;pageIndex=0&amp;doclang=EN&amp;mode=lst&amp;dir=&amp;occ=first&amp;part=1&amp;cid=8886921" TargetMode="External"/><Relationship Id="rId83" Type="http://schemas.openxmlformats.org/officeDocument/2006/relationships/hyperlink" Target="https://curia.europa.eu/juris/document/document.jsf?text=&amp;docid=43839&amp;pageIndex=0&amp;doclang=EN&amp;mode=lst&amp;dir=&amp;occ=first&amp;part=1&amp;cid=10811412" TargetMode="External"/><Relationship Id="rId88" Type="http://schemas.openxmlformats.org/officeDocument/2006/relationships/hyperlink" Target="https://curia.europa.eu/juris/document/document.jsf?text=&amp;docid=45692&amp;pageIndex=0&amp;doclang=EN&amp;mode=lst&amp;dir=&amp;occ=first&amp;part=1&amp;cid=10763343" TargetMode="External"/><Relationship Id="rId111" Type="http://schemas.openxmlformats.org/officeDocument/2006/relationships/hyperlink" Target="https://curia.europa.eu/juris/document/document.jsf?text=C-98%252F14&amp;docid=164955&amp;pageIndex=0&amp;doclang=EN&amp;mode=req&amp;dir=&amp;occ=first&amp;part=1&amp;cid=9889670" TargetMode="External"/><Relationship Id="rId15" Type="http://schemas.openxmlformats.org/officeDocument/2006/relationships/hyperlink" Target="https://curia.europa.eu/juris/document/document.jsf?text=&amp;docid=234921&amp;pageIndex=0&amp;doclang=EN&amp;mode=lst&amp;dir=&amp;occ=first&amp;part=1&amp;cid=7739074" TargetMode="External"/><Relationship Id="rId36" Type="http://schemas.openxmlformats.org/officeDocument/2006/relationships/hyperlink" Target="https://curia.europa.eu/juris/document/document.jsf?text=&amp;docid=58142&amp;pageIndex=0&amp;doclang=EN&amp;mode=lst&amp;dir=&amp;occ=first&amp;part=1&amp;cid=8886921" TargetMode="External"/><Relationship Id="rId57" Type="http://schemas.openxmlformats.org/officeDocument/2006/relationships/hyperlink" Target="https://curia.europa.eu/juris/document/document.jsf?text=&amp;docid=283281&amp;pageIndex=0&amp;doclang=EN&amp;mode=lst&amp;dir=&amp;occ=first&amp;part=1&amp;cid=14054161" TargetMode="External"/><Relationship Id="rId106" Type="http://schemas.openxmlformats.org/officeDocument/2006/relationships/hyperlink" Target="https://curia.europa.eu/juris/document/document.jsf?text=&amp;docid=187343&amp;pageIndex=0&amp;doclang=EN&amp;mode=lst&amp;dir=&amp;occ=first&amp;part=1&amp;cid=9777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2775D-4CE0-4D03-B06F-D0E02752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32170</Words>
  <Characters>174042</Characters>
  <Application>Microsoft Office Word</Application>
  <DocSecurity>0</DocSecurity>
  <Lines>3053</Lines>
  <Paragraphs>900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 Brice (GROW)</dc:creator>
  <cp:keywords/>
  <dc:description/>
  <cp:lastModifiedBy>ANTOSOVA Sarka (GROW)</cp:lastModifiedBy>
  <cp:revision>2</cp:revision>
  <cp:lastPrinted>2025-05-13T14:46:00Z</cp:lastPrinted>
  <dcterms:created xsi:type="dcterms:W3CDTF">2025-09-23T15:13:00Z</dcterms:created>
  <dcterms:modified xsi:type="dcterms:W3CDTF">2025-09-23T15:13:00Z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2025-04-02T09:32:03Z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b0298679-eda4-43ad-8f56-7a14780fa596</vt:lpwstr>
  </property>
  <property fmtid="{D5CDD505-2E9C-101B-9397-08002B2CF9AE}" pid="8" name="MSIP_Label_6bd9ddd1-4d20-43f6-abfa-fc3c07406f94_ContentBits">
    <vt:lpwstr>0</vt:lpwstr>
  </property>
</Properties>
</file>