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HU-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2019. november 18.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Francia Köztársaság Hivatalos Lapja, 0297. sz., 2019. november 17.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13. sz. jogszabály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2019. november 15-i 2019-1186. sz. kormányrendelet a rádióberendezések fajlagos energiaelnyelési tényezőjének feltüntetéséről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Az érintettek köre: a rádióberendezések gyártói, importőrei, forgalmazói.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Tárgy: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a fogyasztóknak a mérési kötelezettség alá eső rádióberendezések (mobiltelefonok, tabletek, rádiós távirányítású játékok stb.) fajlagos energiaelnyelési tényezőjének (SAR) értékéről való tájékoztatása.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Hatálybalépés: a kormányrendelet 2020. július 1-jén lép hatályba.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Megjegyzés: az elektromágneses hullámoknak való kitettséghez kapcsolódó mértéktartásról, átláthatóságról, tájékoztatásról és párbeszédről szóló, 2015. február 9-i 2015-136. sz. törvény 4. cikke azzal a céllal módosította a környezetvédelem melletti nemzeti elkötelezettségről szóló, 2010. július 12-i 2010-788. sz. törvény 184. cikkét, hogy a fajlagos energiaelnyelési tényező kötelező feltüntetését, amely kizárólag a mobiltelefon-készülékekre alkalmazandó, a mérési kötelezettség alá eső rádióberendezésekre is kiterjessze.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A fogyasztóvédelmi törvénykönyv L. 412-1. cikke alapján hozott kormányrendelet a rendeleti rendelkezéseket összhangba hozza a fent említett törvényi rendelkezésekkel, hogy azok a mérési kötelezettség alá eső összes rádióberendezésre alkalmazhatók legyenek.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Hivatkozások: a kormányrendelet elérhető a Légifrance honlapon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miniszterelnök,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szolidaritási és egészségügyi miniszter jelentése alapján,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rádióberendezések forgalmazására vonatkozó tagállami jogszabályok harmonizációjáról és az 1999/5/EK irányelv hatályon kívül helyezéséről szóló, 2014. április 16-i 2014/53/EU európai parlamenti és tanácsi irányelvre, és különösen annak 7. cikkére,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műszaki szabályokkal és az információs társadalom szolgáltatásaira vonatkozó szabályokkal kapcsolatos információszolgáltatási eljárás megállapításáról szóló, 2015. szeptember 9-i (EU) 2015/1535 európai parlamenti és tanácsi irányelvre,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fogyasztóvédelmi törvénykönyvre, és különösen annak L. 412-1. cikkére,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postai és elektronikus hírközlési törvénykönyvre, különösen annak L. 32., L. 36-5., R. 9. és R. 20-11. cikkére,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környezetvédelem melletti nemzeti elkötelezettségről szóló, 2010. július 12-i 2010-788. sz. módosított törvényre, és különösen annak 184. cikkére,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rádiós végberendezések fajlagos energiaelnyelési tényezőjének feltüntetéséről szóló, 2010. október 12-i 2010-1207. sz. kormányrendeletre,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az (EU) 2015/1535 irányelv értelmében az Európai Bizottságnak megküldött 2018/0086/F sz. értesítésre,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 környezetvédelmi törvénykönyv L. 123-19-1. cikke alapján 2018. április 16. és május 13. között lefolytatott nyilvános konzultáció során megfogalmazott észrevételekre,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tekintettel az elektronikus kommunikációt és postai szolgáltatásokat szabályozó hatóság 2019. július 4-i 2019-0964 sz. véleményére,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az Államtanács (szociális ügyosztály) meghallgatását követően,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következőket rendeli el: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1. cikk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fenti 2010. október 12-i kormányrendelet címéből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a „vég” előtagot el kell hagyni.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2. cikk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fenti 2010. október 12-i kormányrendelet 1. cikkében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az „a törvénykönyv 32. cikkének 10. és 11. pontjában említett rádiós végberendezések” szövegrész helyébe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az „azok a legalább 20 mW sugárzási teljesítményű rádióberendezések, amelyekről észszerűen feltételezhető, hogy azokat a fejtől vagy valamely más emberi testrésztől legfeljebb 20 cm távolságra fogják használni,” szövegrész lép.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3. cikk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Ez a kormányrendelet 2020. július 1-jén lép hatályba.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4. cikk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 kormányrendelet végrehajtásáért, amelyet a Francia Köztársaság Hivatalos Lapjában tesznek közzé, illetékességi területének megfelelően a szolidaritási és egészségügyi miniszter, valamint a gazdasági és pénzügyminiszter felel.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Kelt: 2019. november 15-én.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miniszterelnök nevében: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szolidaritási és egészségügyi miniszter,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 gazdasági és pénzügyminiszter,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hu-H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